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495935</wp:posOffset>
            </wp:positionV>
            <wp:extent cx="7279005" cy="1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9005" cy="19685"/>
                    </a:xfrm>
                    <a:prstGeom prst="rect">
                      <a:avLst/>
                    </a:prstGeom>
                    <a:noFill/>
                  </pic:spPr>
                </pic:pic>
              </a:graphicData>
            </a:graphic>
          </wp:anchor>
        </w:drawing>
        <w:t>UNITED STATES</w:t>
      </w:r>
    </w:p>
    <w:p>
      <w:pPr>
        <w:spacing w:after="0" w:line="15"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SECURITIES AND EXCHANGE COMMISSION</w:t>
      </w:r>
    </w:p>
    <w:p>
      <w:pPr>
        <w:spacing w:after="0" w:line="15"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Washington, D.C. 20549</w:t>
      </w:r>
    </w:p>
    <w:p>
      <w:pPr>
        <w:spacing w:after="0" w:line="186"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FORM 10-Q</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(Mark One)</w:t>
      </w:r>
    </w:p>
    <w:p>
      <w:pPr>
        <w:spacing w:after="0" w:line="14" w:lineRule="exact"/>
        <w:rPr>
          <w:sz w:val="20"/>
          <w:szCs w:val="20"/>
          <w:color w:val="auto"/>
        </w:rPr>
      </w:pPr>
    </w:p>
    <w:p>
      <w:pPr>
        <w:ind w:left="640" w:hanging="637"/>
        <w:spacing w:after="0"/>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6" w:lineRule="exact"/>
        <w:rPr>
          <w:sz w:val="20"/>
          <w:szCs w:val="20"/>
          <w:color w:val="auto"/>
        </w:rPr>
      </w:pPr>
    </w:p>
    <w:p>
      <w:pPr>
        <w:ind w:left="640"/>
        <w:spacing w:after="0"/>
        <w:tabs>
          <w:tab w:leader="none" w:pos="6020" w:val="left"/>
        </w:tabs>
        <w:rPr>
          <w:sz w:val="20"/>
          <w:szCs w:val="20"/>
          <w:color w:val="auto"/>
        </w:rPr>
      </w:pPr>
      <w:r>
        <w:rPr>
          <w:rFonts w:ascii="Arial" w:cs="Arial" w:eastAsia="Arial" w:hAnsi="Arial"/>
          <w:sz w:val="14"/>
          <w:szCs w:val="14"/>
          <w:color w:val="auto"/>
        </w:rPr>
        <w:t>For the quarterly period ended</w:t>
      </w:r>
      <w:r>
        <w:rPr>
          <w:sz w:val="20"/>
          <w:szCs w:val="20"/>
          <w:color w:val="auto"/>
        </w:rPr>
        <w:tab/>
      </w:r>
      <w:r>
        <w:rPr>
          <w:rFonts w:ascii="Arial" w:cs="Arial" w:eastAsia="Arial" w:hAnsi="Arial"/>
          <w:sz w:val="11"/>
          <w:szCs w:val="11"/>
          <w:color w:val="auto"/>
        </w:rPr>
        <w:t>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3834765</wp:posOffset>
            </wp:positionH>
            <wp:positionV relativeFrom="paragraph">
              <wp:posOffset>9525</wp:posOffset>
            </wp:positionV>
            <wp:extent cx="344551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45510" cy="13335"/>
                    </a:xfrm>
                    <a:prstGeom prst="rect">
                      <a:avLst/>
                    </a:prstGeom>
                    <a:noFill/>
                  </pic:spPr>
                </pic:pic>
              </a:graphicData>
            </a:graphic>
          </wp:anchor>
        </w:drawing>
      </w:r>
    </w:p>
    <w:p>
      <w:pPr>
        <w:spacing w:after="0" w:line="201" w:lineRule="exact"/>
        <w:rPr>
          <w:sz w:val="20"/>
          <w:szCs w:val="20"/>
          <w:color w:val="auto"/>
        </w:rPr>
      </w:pPr>
    </w:p>
    <w:p>
      <w:pPr>
        <w:jc w:val="center"/>
        <w:ind w:left="580"/>
        <w:spacing w:after="0"/>
        <w:rPr>
          <w:sz w:val="20"/>
          <w:szCs w:val="20"/>
          <w:color w:val="auto"/>
        </w:rPr>
      </w:pPr>
      <w:r>
        <w:rPr>
          <w:rFonts w:ascii="Arial" w:cs="Arial" w:eastAsia="Arial" w:hAnsi="Arial"/>
          <w:sz w:val="14"/>
          <w:szCs w:val="14"/>
          <w:color w:val="auto"/>
        </w:rPr>
        <w:t>or</w:t>
      </w:r>
    </w:p>
    <w:p>
      <w:pPr>
        <w:spacing w:after="0" w:line="197" w:lineRule="exact"/>
        <w:rPr>
          <w:sz w:val="20"/>
          <w:szCs w:val="20"/>
          <w:color w:val="auto"/>
        </w:rPr>
      </w:pPr>
    </w:p>
    <w:p>
      <w:pPr>
        <w:ind w:left="160" w:hanging="157"/>
        <w:spacing w:after="0"/>
        <w:tabs>
          <w:tab w:leader="none" w:pos="160" w:val="left"/>
        </w:tabs>
        <w:numPr>
          <w:ilvl w:val="0"/>
          <w:numId w:val="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b w:val="1"/>
          <w:bCs w:val="1"/>
          <w:color w:val="auto"/>
        </w:rPr>
        <w:t>TRANSITION REPORT PURSUANT TO SECTION 13 OR 15(d) OF THE SECURITIES EXCHANGE ACT OF 1934</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6020" w:type="dxa"/>
            <w:vAlign w:val="bottom"/>
            <w:gridSpan w:val="3"/>
          </w:tcPr>
          <w:p>
            <w:pPr>
              <w:ind w:left="620"/>
              <w:spacing w:after="0"/>
              <w:rPr>
                <w:sz w:val="20"/>
                <w:szCs w:val="20"/>
                <w:color w:val="auto"/>
              </w:rPr>
            </w:pPr>
            <w:r>
              <w:rPr>
                <w:rFonts w:ascii="Arial" w:cs="Arial" w:eastAsia="Arial" w:hAnsi="Arial"/>
                <w:sz w:val="14"/>
                <w:szCs w:val="14"/>
                <w:color w:val="auto"/>
              </w:rPr>
              <w:t>For the transition period from</w:t>
            </w:r>
          </w:p>
        </w:tc>
        <w:tc>
          <w:tcPr>
            <w:tcW w:w="1960" w:type="dxa"/>
            <w:vAlign w:val="bottom"/>
            <w:gridSpan w:val="2"/>
          </w:tcPr>
          <w:p>
            <w:pPr>
              <w:ind w:left="620"/>
              <w:spacing w:after="0"/>
              <w:rPr>
                <w:sz w:val="20"/>
                <w:szCs w:val="20"/>
                <w:color w:val="auto"/>
              </w:rPr>
            </w:pPr>
            <w:r>
              <w:rPr>
                <w:rFonts w:ascii="Arial" w:cs="Arial" w:eastAsia="Arial" w:hAnsi="Arial"/>
                <w:sz w:val="14"/>
                <w:szCs w:val="14"/>
                <w:color w:val="auto"/>
              </w:rPr>
              <w:t>to</w:t>
            </w:r>
          </w:p>
        </w:tc>
        <w:tc>
          <w:tcPr>
            <w:tcW w:w="15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505"/>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8"/>
              </w:rPr>
              <w:t>Former name, former address</w:t>
            </w:r>
          </w:p>
        </w:tc>
      </w:tr>
      <w:tr>
        <w:trPr>
          <w:trHeight w:val="176"/>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120" w:type="dxa"/>
            <w:vAlign w:val="bottom"/>
            <w:gridSpan w:val="2"/>
          </w:tcPr>
          <w:p>
            <w:pPr>
              <w:ind w:left="340"/>
              <w:spacing w:after="0"/>
              <w:rPr>
                <w:sz w:val="20"/>
                <w:szCs w:val="20"/>
                <w:color w:val="auto"/>
              </w:rPr>
            </w:pPr>
            <w:r>
              <w:rPr>
                <w:rFonts w:ascii="Arial" w:cs="Arial" w:eastAsia="Arial" w:hAnsi="Arial"/>
                <w:sz w:val="14"/>
                <w:szCs w:val="14"/>
                <w:color w:val="auto"/>
                <w:w w:val="91"/>
              </w:rPr>
              <w:t>Exact Name of Registrants as Specified in their Charters, Address</w:t>
            </w:r>
          </w:p>
        </w:tc>
        <w:tc>
          <w:tcPr>
            <w:tcW w:w="1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jc w:val="center"/>
              <w:ind w:left="71"/>
              <w:spacing w:after="0"/>
              <w:rPr>
                <w:sz w:val="20"/>
                <w:szCs w:val="20"/>
                <w:color w:val="auto"/>
              </w:rPr>
            </w:pPr>
            <w:r>
              <w:rPr>
                <w:rFonts w:ascii="Arial" w:cs="Arial" w:eastAsia="Arial" w:hAnsi="Arial"/>
                <w:sz w:val="14"/>
                <w:szCs w:val="14"/>
                <w:color w:val="auto"/>
                <w:w w:val="91"/>
              </w:rPr>
              <w:t>I.R.S. Employer</w:t>
            </w:r>
          </w:p>
        </w:tc>
        <w:tc>
          <w:tcPr>
            <w:tcW w:w="1940" w:type="dxa"/>
            <w:vAlign w:val="bottom"/>
          </w:tcPr>
          <w:p>
            <w:pPr>
              <w:jc w:val="center"/>
              <w:spacing w:after="0"/>
              <w:rPr>
                <w:sz w:val="20"/>
                <w:szCs w:val="20"/>
                <w:color w:val="auto"/>
              </w:rPr>
            </w:pPr>
            <w:r>
              <w:rPr>
                <w:rFonts w:ascii="Arial" w:cs="Arial" w:eastAsia="Arial" w:hAnsi="Arial"/>
                <w:sz w:val="14"/>
                <w:szCs w:val="14"/>
                <w:color w:val="auto"/>
                <w:w w:val="91"/>
              </w:rPr>
              <w:t>and former fiscal year, if</w:t>
            </w:r>
          </w:p>
        </w:tc>
      </w:tr>
      <w:tr>
        <w:trPr>
          <w:trHeight w:val="178"/>
        </w:trPr>
        <w:tc>
          <w:tcPr>
            <w:tcW w:w="20" w:type="dxa"/>
            <w:vAlign w:val="bottom"/>
          </w:tcPr>
          <w:p>
            <w:pPr>
              <w:spacing w:after="0"/>
              <w:rPr>
                <w:sz w:val="15"/>
                <w:szCs w:val="15"/>
                <w:color w:val="auto"/>
              </w:rPr>
            </w:pPr>
          </w:p>
        </w:tc>
        <w:tc>
          <w:tcPr>
            <w:tcW w:w="190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Commission File No.</w:t>
            </w:r>
          </w:p>
        </w:tc>
        <w:tc>
          <w:tcPr>
            <w:tcW w:w="4120" w:type="dxa"/>
            <w:vAlign w:val="bottom"/>
            <w:tcBorders>
              <w:bottom w:val="single" w:sz="8" w:color="auto"/>
            </w:tcBorders>
            <w:gridSpan w:val="2"/>
          </w:tcPr>
          <w:p>
            <w:pPr>
              <w:ind w:left="1520"/>
              <w:spacing w:after="0"/>
              <w:rPr>
                <w:sz w:val="20"/>
                <w:szCs w:val="20"/>
                <w:color w:val="auto"/>
              </w:rPr>
            </w:pPr>
            <w:r>
              <w:rPr>
                <w:rFonts w:ascii="Arial" w:cs="Arial" w:eastAsia="Arial" w:hAnsi="Arial"/>
                <w:sz w:val="14"/>
                <w:szCs w:val="14"/>
                <w:color w:val="auto"/>
              </w:rPr>
              <w:t>and Telephone Number</w:t>
            </w: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States of Incorporation</w:t>
            </w:r>
          </w:p>
        </w:tc>
        <w:tc>
          <w:tcPr>
            <w:tcW w:w="1520" w:type="dxa"/>
            <w:vAlign w:val="bottom"/>
            <w:tcBorders>
              <w:bottom w:val="single" w:sz="8" w:color="auto"/>
            </w:tcBorders>
          </w:tcPr>
          <w:p>
            <w:pPr>
              <w:jc w:val="center"/>
              <w:ind w:left="91"/>
              <w:spacing w:after="0"/>
              <w:rPr>
                <w:sz w:val="20"/>
                <w:szCs w:val="20"/>
                <w:color w:val="auto"/>
              </w:rPr>
            </w:pPr>
            <w:r>
              <w:rPr>
                <w:rFonts w:ascii="Arial" w:cs="Arial" w:eastAsia="Arial" w:hAnsi="Arial"/>
                <w:sz w:val="14"/>
                <w:szCs w:val="14"/>
                <w:color w:val="auto"/>
                <w:w w:val="93"/>
              </w:rPr>
              <w:t>Identification Nos.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changed since last report</w:t>
            </w:r>
          </w:p>
        </w:tc>
      </w:tr>
      <w:tr>
        <w:trPr>
          <w:trHeight w:val="195"/>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1-14201</w:t>
            </w:r>
          </w:p>
        </w:tc>
        <w:tc>
          <w:tcPr>
            <w:tcW w:w="4120" w:type="dxa"/>
            <w:vAlign w:val="bottom"/>
            <w:gridSpan w:val="2"/>
          </w:tcPr>
          <w:p>
            <w:pPr>
              <w:ind w:left="280"/>
              <w:spacing w:after="0"/>
              <w:rPr>
                <w:sz w:val="20"/>
                <w:szCs w:val="20"/>
                <w:color w:val="auto"/>
              </w:rPr>
            </w:pPr>
            <w:r>
              <w:rPr>
                <w:rFonts w:ascii="Arial" w:cs="Arial" w:eastAsia="Arial" w:hAnsi="Arial"/>
                <w:sz w:val="14"/>
                <w:szCs w:val="14"/>
                <w:color w:val="auto"/>
              </w:rPr>
              <w:t>SEMPRA ENERGY</w:t>
            </w:r>
          </w:p>
        </w:tc>
        <w:tc>
          <w:tcPr>
            <w:tcW w:w="1960" w:type="dxa"/>
            <w:vAlign w:val="bottom"/>
            <w:gridSpan w:val="2"/>
          </w:tcPr>
          <w:p>
            <w:pPr>
              <w:jc w:val="center"/>
              <w:spacing w:after="0"/>
              <w:rPr>
                <w:sz w:val="20"/>
                <w:szCs w:val="20"/>
                <w:color w:val="auto"/>
              </w:rPr>
            </w:pPr>
            <w:r>
              <w:rPr>
                <w:rFonts w:ascii="Arial" w:cs="Arial" w:eastAsia="Arial" w:hAnsi="Arial"/>
                <w:sz w:val="14"/>
                <w:szCs w:val="14"/>
                <w:color w:val="auto"/>
                <w:w w:val="94"/>
              </w:rPr>
              <w:t>California</w:t>
            </w:r>
          </w:p>
        </w:tc>
        <w:tc>
          <w:tcPr>
            <w:tcW w:w="1520" w:type="dxa"/>
            <w:vAlign w:val="bottom"/>
          </w:tcPr>
          <w:p>
            <w:pPr>
              <w:jc w:val="center"/>
              <w:ind w:left="71"/>
              <w:spacing w:after="0"/>
              <w:rPr>
                <w:sz w:val="20"/>
                <w:szCs w:val="20"/>
                <w:color w:val="auto"/>
              </w:rPr>
            </w:pPr>
            <w:r>
              <w:rPr>
                <w:rFonts w:ascii="Arial" w:cs="Arial" w:eastAsia="Arial" w:hAnsi="Arial"/>
                <w:sz w:val="14"/>
                <w:szCs w:val="14"/>
                <w:color w:val="auto"/>
                <w:w w:val="88"/>
              </w:rPr>
              <w:t>33-0732627</w:t>
            </w:r>
          </w:p>
        </w:tc>
        <w:tc>
          <w:tcPr>
            <w:tcW w:w="1940" w:type="dxa"/>
            <w:vAlign w:val="bottom"/>
          </w:tcPr>
          <w:p>
            <w:pPr>
              <w:jc w:val="center"/>
              <w:spacing w:after="0"/>
              <w:rPr>
                <w:sz w:val="20"/>
                <w:szCs w:val="20"/>
                <w:color w:val="auto"/>
              </w:rPr>
            </w:pPr>
            <w:r>
              <w:rPr>
                <w:rFonts w:ascii="Arial" w:cs="Arial" w:eastAsia="Arial" w:hAnsi="Arial"/>
                <w:sz w:val="14"/>
                <w:szCs w:val="14"/>
                <w:color w:val="auto"/>
                <w:w w:val="88"/>
              </w:rPr>
              <w:t>No change</w:t>
            </w:r>
          </w:p>
        </w:tc>
      </w:tr>
      <w:tr>
        <w:trPr>
          <w:trHeight w:val="196"/>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120" w:type="dxa"/>
            <w:vAlign w:val="bottom"/>
            <w:gridSpan w:val="2"/>
          </w:tcPr>
          <w:p>
            <w:pPr>
              <w:ind w:left="280"/>
              <w:spacing w:after="0"/>
              <w:rPr>
                <w:sz w:val="20"/>
                <w:szCs w:val="20"/>
                <w:color w:val="auto"/>
              </w:rPr>
            </w:pPr>
            <w:r>
              <w:rPr>
                <w:rFonts w:ascii="Arial" w:cs="Arial" w:eastAsia="Arial" w:hAnsi="Arial"/>
                <w:sz w:val="14"/>
                <w:szCs w:val="14"/>
                <w:color w:val="auto"/>
              </w:rPr>
              <w:t>101 Ash Street</w:t>
            </w:r>
          </w:p>
        </w:tc>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120" w:type="dxa"/>
            <w:vAlign w:val="bottom"/>
            <w:gridSpan w:val="2"/>
          </w:tcPr>
          <w:p>
            <w:pPr>
              <w:ind w:left="280"/>
              <w:spacing w:after="0"/>
              <w:rPr>
                <w:sz w:val="20"/>
                <w:szCs w:val="20"/>
                <w:color w:val="auto"/>
              </w:rPr>
            </w:pPr>
            <w:r>
              <w:rPr>
                <w:rFonts w:ascii="Arial" w:cs="Arial" w:eastAsia="Arial" w:hAnsi="Arial"/>
                <w:sz w:val="14"/>
                <w:szCs w:val="14"/>
                <w:color w:val="auto"/>
              </w:rPr>
              <w:t>San Diego, California 92101</w:t>
            </w:r>
          </w:p>
        </w:tc>
        <w:tc>
          <w:tcPr>
            <w:tcW w:w="1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20" w:type="dxa"/>
            <w:vAlign w:val="bottom"/>
          </w:tcPr>
          <w:p>
            <w:pPr>
              <w:ind w:left="280"/>
              <w:spacing w:after="0"/>
              <w:rPr>
                <w:sz w:val="20"/>
                <w:szCs w:val="20"/>
                <w:color w:val="auto"/>
              </w:rPr>
            </w:pPr>
            <w:r>
              <w:rPr>
                <w:rFonts w:ascii="Arial" w:cs="Arial" w:eastAsia="Arial" w:hAnsi="Arial"/>
                <w:sz w:val="14"/>
                <w:szCs w:val="14"/>
                <w:color w:val="auto"/>
              </w:rPr>
              <w:t>(619)696-2000</w:t>
            </w:r>
          </w:p>
        </w:tc>
        <w:tc>
          <w:tcPr>
            <w:tcW w:w="2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362"/>
        </w:trPr>
        <w:tc>
          <w:tcPr>
            <w:tcW w:w="1920" w:type="dxa"/>
            <w:vAlign w:val="bottom"/>
            <w:gridSpan w:val="2"/>
          </w:tcPr>
          <w:p>
            <w:pPr>
              <w:spacing w:after="0"/>
              <w:rPr>
                <w:sz w:val="20"/>
                <w:szCs w:val="20"/>
                <w:color w:val="auto"/>
              </w:rPr>
            </w:pPr>
            <w:r>
              <w:rPr>
                <w:rFonts w:ascii="Arial" w:cs="Arial" w:eastAsia="Arial" w:hAnsi="Arial"/>
                <w:sz w:val="14"/>
                <w:szCs w:val="14"/>
                <w:color w:val="auto"/>
              </w:rPr>
              <w:t>1-3779</w:t>
            </w:r>
          </w:p>
        </w:tc>
        <w:tc>
          <w:tcPr>
            <w:tcW w:w="4120" w:type="dxa"/>
            <w:vAlign w:val="bottom"/>
            <w:gridSpan w:val="2"/>
          </w:tcPr>
          <w:p>
            <w:pPr>
              <w:ind w:left="280"/>
              <w:spacing w:after="0"/>
              <w:rPr>
                <w:sz w:val="20"/>
                <w:szCs w:val="20"/>
                <w:color w:val="auto"/>
              </w:rPr>
            </w:pPr>
            <w:r>
              <w:rPr>
                <w:rFonts w:ascii="Arial" w:cs="Arial" w:eastAsia="Arial" w:hAnsi="Arial"/>
                <w:sz w:val="14"/>
                <w:szCs w:val="14"/>
                <w:color w:val="auto"/>
              </w:rPr>
              <w:t>SAN DIEGO GAS &amp; ELECTRIC COMPANY</w:t>
            </w:r>
          </w:p>
        </w:tc>
        <w:tc>
          <w:tcPr>
            <w:tcW w:w="1960" w:type="dxa"/>
            <w:vAlign w:val="bottom"/>
            <w:gridSpan w:val="2"/>
          </w:tcPr>
          <w:p>
            <w:pPr>
              <w:jc w:val="center"/>
              <w:spacing w:after="0"/>
              <w:rPr>
                <w:sz w:val="20"/>
                <w:szCs w:val="20"/>
                <w:color w:val="auto"/>
              </w:rPr>
            </w:pPr>
            <w:r>
              <w:rPr>
                <w:rFonts w:ascii="Arial" w:cs="Arial" w:eastAsia="Arial" w:hAnsi="Arial"/>
                <w:sz w:val="14"/>
                <w:szCs w:val="14"/>
                <w:color w:val="auto"/>
                <w:w w:val="94"/>
              </w:rPr>
              <w:t>California</w:t>
            </w:r>
          </w:p>
        </w:tc>
        <w:tc>
          <w:tcPr>
            <w:tcW w:w="1520" w:type="dxa"/>
            <w:vAlign w:val="bottom"/>
          </w:tcPr>
          <w:p>
            <w:pPr>
              <w:jc w:val="center"/>
              <w:ind w:left="71"/>
              <w:spacing w:after="0"/>
              <w:rPr>
                <w:sz w:val="20"/>
                <w:szCs w:val="20"/>
                <w:color w:val="auto"/>
              </w:rPr>
            </w:pPr>
            <w:r>
              <w:rPr>
                <w:rFonts w:ascii="Arial" w:cs="Arial" w:eastAsia="Arial" w:hAnsi="Arial"/>
                <w:sz w:val="14"/>
                <w:szCs w:val="14"/>
                <w:color w:val="auto"/>
                <w:w w:val="88"/>
              </w:rPr>
              <w:t>95-1184800</w:t>
            </w:r>
          </w:p>
        </w:tc>
        <w:tc>
          <w:tcPr>
            <w:tcW w:w="1940" w:type="dxa"/>
            <w:vAlign w:val="bottom"/>
          </w:tcPr>
          <w:p>
            <w:pPr>
              <w:jc w:val="center"/>
              <w:spacing w:after="0"/>
              <w:rPr>
                <w:sz w:val="20"/>
                <w:szCs w:val="20"/>
                <w:color w:val="auto"/>
              </w:rPr>
            </w:pPr>
            <w:r>
              <w:rPr>
                <w:rFonts w:ascii="Arial" w:cs="Arial" w:eastAsia="Arial" w:hAnsi="Arial"/>
                <w:sz w:val="14"/>
                <w:szCs w:val="14"/>
                <w:color w:val="auto"/>
                <w:w w:val="88"/>
              </w:rPr>
              <w:t>No change</w:t>
            </w:r>
          </w:p>
        </w:tc>
      </w:tr>
      <w:tr>
        <w:trPr>
          <w:trHeight w:val="196"/>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120" w:type="dxa"/>
            <w:vAlign w:val="bottom"/>
            <w:gridSpan w:val="2"/>
          </w:tcPr>
          <w:p>
            <w:pPr>
              <w:ind w:left="280"/>
              <w:spacing w:after="0"/>
              <w:rPr>
                <w:sz w:val="20"/>
                <w:szCs w:val="20"/>
                <w:color w:val="auto"/>
              </w:rPr>
            </w:pPr>
            <w:r>
              <w:rPr>
                <w:rFonts w:ascii="Arial" w:cs="Arial" w:eastAsia="Arial" w:hAnsi="Arial"/>
                <w:sz w:val="14"/>
                <w:szCs w:val="14"/>
                <w:color w:val="auto"/>
              </w:rPr>
              <w:t>8326 Century Park Court</w:t>
            </w:r>
          </w:p>
        </w:tc>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120" w:type="dxa"/>
            <w:vAlign w:val="bottom"/>
            <w:gridSpan w:val="2"/>
          </w:tcPr>
          <w:p>
            <w:pPr>
              <w:ind w:left="280"/>
              <w:spacing w:after="0"/>
              <w:rPr>
                <w:sz w:val="20"/>
                <w:szCs w:val="20"/>
                <w:color w:val="auto"/>
              </w:rPr>
            </w:pPr>
            <w:r>
              <w:rPr>
                <w:rFonts w:ascii="Arial" w:cs="Arial" w:eastAsia="Arial" w:hAnsi="Arial"/>
                <w:sz w:val="14"/>
                <w:szCs w:val="14"/>
                <w:color w:val="auto"/>
              </w:rPr>
              <w:t>San Diego, California 92123</w:t>
            </w:r>
          </w:p>
        </w:tc>
        <w:tc>
          <w:tcPr>
            <w:tcW w:w="1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20" w:type="dxa"/>
            <w:vAlign w:val="bottom"/>
          </w:tcPr>
          <w:p>
            <w:pPr>
              <w:ind w:left="280"/>
              <w:spacing w:after="0"/>
              <w:rPr>
                <w:sz w:val="20"/>
                <w:szCs w:val="20"/>
                <w:color w:val="auto"/>
              </w:rPr>
            </w:pPr>
            <w:r>
              <w:rPr>
                <w:rFonts w:ascii="Arial" w:cs="Arial" w:eastAsia="Arial" w:hAnsi="Arial"/>
                <w:sz w:val="14"/>
                <w:szCs w:val="14"/>
                <w:color w:val="auto"/>
              </w:rPr>
              <w:t>(619)696-2000</w:t>
            </w:r>
          </w:p>
        </w:tc>
        <w:tc>
          <w:tcPr>
            <w:tcW w:w="2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362"/>
        </w:trPr>
        <w:tc>
          <w:tcPr>
            <w:tcW w:w="1920" w:type="dxa"/>
            <w:vAlign w:val="bottom"/>
            <w:gridSpan w:val="2"/>
          </w:tcPr>
          <w:p>
            <w:pPr>
              <w:spacing w:after="0"/>
              <w:rPr>
                <w:sz w:val="20"/>
                <w:szCs w:val="20"/>
                <w:color w:val="auto"/>
              </w:rPr>
            </w:pPr>
            <w:r>
              <w:rPr>
                <w:rFonts w:ascii="Arial" w:cs="Arial" w:eastAsia="Arial" w:hAnsi="Arial"/>
                <w:sz w:val="14"/>
                <w:szCs w:val="14"/>
                <w:color w:val="auto"/>
              </w:rPr>
              <w:t>1-40</w:t>
            </w:r>
          </w:p>
        </w:tc>
        <w:tc>
          <w:tcPr>
            <w:tcW w:w="4120" w:type="dxa"/>
            <w:vAlign w:val="bottom"/>
            <w:gridSpan w:val="2"/>
          </w:tcPr>
          <w:p>
            <w:pPr>
              <w:ind w:left="280"/>
              <w:spacing w:after="0"/>
              <w:rPr>
                <w:sz w:val="20"/>
                <w:szCs w:val="20"/>
                <w:color w:val="auto"/>
              </w:rPr>
            </w:pPr>
            <w:r>
              <w:rPr>
                <w:rFonts w:ascii="Arial" w:cs="Arial" w:eastAsia="Arial" w:hAnsi="Arial"/>
                <w:sz w:val="14"/>
                <w:szCs w:val="14"/>
                <w:color w:val="auto"/>
              </w:rPr>
              <w:t>PACIFIC ENTERPRISES</w:t>
            </w:r>
          </w:p>
        </w:tc>
        <w:tc>
          <w:tcPr>
            <w:tcW w:w="1960" w:type="dxa"/>
            <w:vAlign w:val="bottom"/>
            <w:gridSpan w:val="2"/>
          </w:tcPr>
          <w:p>
            <w:pPr>
              <w:jc w:val="center"/>
              <w:spacing w:after="0"/>
              <w:rPr>
                <w:sz w:val="20"/>
                <w:szCs w:val="20"/>
                <w:color w:val="auto"/>
              </w:rPr>
            </w:pPr>
            <w:r>
              <w:rPr>
                <w:rFonts w:ascii="Arial" w:cs="Arial" w:eastAsia="Arial" w:hAnsi="Arial"/>
                <w:sz w:val="14"/>
                <w:szCs w:val="14"/>
                <w:color w:val="auto"/>
                <w:w w:val="94"/>
              </w:rPr>
              <w:t>California</w:t>
            </w:r>
          </w:p>
        </w:tc>
        <w:tc>
          <w:tcPr>
            <w:tcW w:w="1520" w:type="dxa"/>
            <w:vAlign w:val="bottom"/>
          </w:tcPr>
          <w:p>
            <w:pPr>
              <w:jc w:val="center"/>
              <w:ind w:left="71"/>
              <w:spacing w:after="0"/>
              <w:rPr>
                <w:sz w:val="20"/>
                <w:szCs w:val="20"/>
                <w:color w:val="auto"/>
              </w:rPr>
            </w:pPr>
            <w:r>
              <w:rPr>
                <w:rFonts w:ascii="Arial" w:cs="Arial" w:eastAsia="Arial" w:hAnsi="Arial"/>
                <w:sz w:val="14"/>
                <w:szCs w:val="14"/>
                <w:color w:val="auto"/>
                <w:w w:val="88"/>
              </w:rPr>
              <w:t>94-0743670</w:t>
            </w:r>
          </w:p>
        </w:tc>
        <w:tc>
          <w:tcPr>
            <w:tcW w:w="1940" w:type="dxa"/>
            <w:vAlign w:val="bottom"/>
          </w:tcPr>
          <w:p>
            <w:pPr>
              <w:jc w:val="center"/>
              <w:spacing w:after="0"/>
              <w:rPr>
                <w:sz w:val="20"/>
                <w:szCs w:val="20"/>
                <w:color w:val="auto"/>
              </w:rPr>
            </w:pPr>
            <w:r>
              <w:rPr>
                <w:rFonts w:ascii="Arial" w:cs="Arial" w:eastAsia="Arial" w:hAnsi="Arial"/>
                <w:sz w:val="14"/>
                <w:szCs w:val="14"/>
                <w:color w:val="auto"/>
                <w:w w:val="88"/>
              </w:rPr>
              <w:t>No change</w:t>
            </w:r>
          </w:p>
        </w:tc>
      </w:tr>
      <w:tr>
        <w:trPr>
          <w:trHeight w:val="196"/>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120" w:type="dxa"/>
            <w:vAlign w:val="bottom"/>
            <w:gridSpan w:val="2"/>
          </w:tcPr>
          <w:p>
            <w:pPr>
              <w:ind w:left="280"/>
              <w:spacing w:after="0"/>
              <w:rPr>
                <w:sz w:val="20"/>
                <w:szCs w:val="20"/>
                <w:color w:val="auto"/>
              </w:rPr>
            </w:pPr>
            <w:r>
              <w:rPr>
                <w:rFonts w:ascii="Arial" w:cs="Arial" w:eastAsia="Arial" w:hAnsi="Arial"/>
                <w:sz w:val="14"/>
                <w:szCs w:val="14"/>
                <w:color w:val="auto"/>
              </w:rPr>
              <w:t>101 Ash Street</w:t>
            </w:r>
          </w:p>
        </w:tc>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120" w:type="dxa"/>
            <w:vAlign w:val="bottom"/>
            <w:gridSpan w:val="2"/>
          </w:tcPr>
          <w:p>
            <w:pPr>
              <w:ind w:left="280"/>
              <w:spacing w:after="0"/>
              <w:rPr>
                <w:sz w:val="20"/>
                <w:szCs w:val="20"/>
                <w:color w:val="auto"/>
              </w:rPr>
            </w:pPr>
            <w:r>
              <w:rPr>
                <w:rFonts w:ascii="Arial" w:cs="Arial" w:eastAsia="Arial" w:hAnsi="Arial"/>
                <w:sz w:val="14"/>
                <w:szCs w:val="14"/>
                <w:color w:val="auto"/>
              </w:rPr>
              <w:t>San Diego, California 92101</w:t>
            </w:r>
          </w:p>
        </w:tc>
        <w:tc>
          <w:tcPr>
            <w:tcW w:w="1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20" w:type="dxa"/>
            <w:vAlign w:val="bottom"/>
          </w:tcPr>
          <w:p>
            <w:pPr>
              <w:ind w:left="280"/>
              <w:spacing w:after="0"/>
              <w:rPr>
                <w:sz w:val="20"/>
                <w:szCs w:val="20"/>
                <w:color w:val="auto"/>
              </w:rPr>
            </w:pPr>
            <w:r>
              <w:rPr>
                <w:rFonts w:ascii="Arial" w:cs="Arial" w:eastAsia="Arial" w:hAnsi="Arial"/>
                <w:sz w:val="14"/>
                <w:szCs w:val="14"/>
                <w:color w:val="auto"/>
              </w:rPr>
              <w:t>(619)696-2020</w:t>
            </w:r>
          </w:p>
        </w:tc>
        <w:tc>
          <w:tcPr>
            <w:tcW w:w="2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362"/>
        </w:trPr>
        <w:tc>
          <w:tcPr>
            <w:tcW w:w="1920" w:type="dxa"/>
            <w:vAlign w:val="bottom"/>
            <w:gridSpan w:val="2"/>
          </w:tcPr>
          <w:p>
            <w:pPr>
              <w:spacing w:after="0"/>
              <w:rPr>
                <w:sz w:val="20"/>
                <w:szCs w:val="20"/>
                <w:color w:val="auto"/>
              </w:rPr>
            </w:pPr>
            <w:r>
              <w:rPr>
                <w:rFonts w:ascii="Arial" w:cs="Arial" w:eastAsia="Arial" w:hAnsi="Arial"/>
                <w:sz w:val="14"/>
                <w:szCs w:val="14"/>
                <w:color w:val="auto"/>
              </w:rPr>
              <w:t>1-1402</w:t>
            </w:r>
          </w:p>
        </w:tc>
        <w:tc>
          <w:tcPr>
            <w:tcW w:w="4120" w:type="dxa"/>
            <w:vAlign w:val="bottom"/>
            <w:gridSpan w:val="2"/>
          </w:tcPr>
          <w:p>
            <w:pPr>
              <w:ind w:left="280"/>
              <w:spacing w:after="0"/>
              <w:rPr>
                <w:sz w:val="20"/>
                <w:szCs w:val="20"/>
                <w:color w:val="auto"/>
              </w:rPr>
            </w:pPr>
            <w:r>
              <w:rPr>
                <w:rFonts w:ascii="Arial" w:cs="Arial" w:eastAsia="Arial" w:hAnsi="Arial"/>
                <w:sz w:val="14"/>
                <w:szCs w:val="14"/>
                <w:color w:val="auto"/>
              </w:rPr>
              <w:t>SOUTHERN CALIFORNIA GAS COMPANY</w:t>
            </w:r>
          </w:p>
        </w:tc>
        <w:tc>
          <w:tcPr>
            <w:tcW w:w="1960" w:type="dxa"/>
            <w:vAlign w:val="bottom"/>
            <w:gridSpan w:val="2"/>
          </w:tcPr>
          <w:p>
            <w:pPr>
              <w:jc w:val="center"/>
              <w:spacing w:after="0"/>
              <w:rPr>
                <w:sz w:val="20"/>
                <w:szCs w:val="20"/>
                <w:color w:val="auto"/>
              </w:rPr>
            </w:pPr>
            <w:r>
              <w:rPr>
                <w:rFonts w:ascii="Arial" w:cs="Arial" w:eastAsia="Arial" w:hAnsi="Arial"/>
                <w:sz w:val="14"/>
                <w:szCs w:val="14"/>
                <w:color w:val="auto"/>
                <w:w w:val="94"/>
              </w:rPr>
              <w:t>California</w:t>
            </w:r>
          </w:p>
        </w:tc>
        <w:tc>
          <w:tcPr>
            <w:tcW w:w="1520" w:type="dxa"/>
            <w:vAlign w:val="bottom"/>
          </w:tcPr>
          <w:p>
            <w:pPr>
              <w:jc w:val="center"/>
              <w:ind w:left="71"/>
              <w:spacing w:after="0"/>
              <w:rPr>
                <w:sz w:val="20"/>
                <w:szCs w:val="20"/>
                <w:color w:val="auto"/>
              </w:rPr>
            </w:pPr>
            <w:r>
              <w:rPr>
                <w:rFonts w:ascii="Arial" w:cs="Arial" w:eastAsia="Arial" w:hAnsi="Arial"/>
                <w:sz w:val="14"/>
                <w:szCs w:val="14"/>
                <w:color w:val="auto"/>
                <w:w w:val="88"/>
              </w:rPr>
              <w:t>95-1240705</w:t>
            </w:r>
          </w:p>
        </w:tc>
        <w:tc>
          <w:tcPr>
            <w:tcW w:w="1940" w:type="dxa"/>
            <w:vAlign w:val="bottom"/>
          </w:tcPr>
          <w:p>
            <w:pPr>
              <w:jc w:val="center"/>
              <w:spacing w:after="0"/>
              <w:rPr>
                <w:sz w:val="20"/>
                <w:szCs w:val="20"/>
                <w:color w:val="auto"/>
              </w:rPr>
            </w:pPr>
            <w:r>
              <w:rPr>
                <w:rFonts w:ascii="Arial" w:cs="Arial" w:eastAsia="Arial" w:hAnsi="Arial"/>
                <w:sz w:val="14"/>
                <w:szCs w:val="14"/>
                <w:color w:val="auto"/>
                <w:w w:val="88"/>
              </w:rPr>
              <w:t>No change</w:t>
            </w:r>
          </w:p>
        </w:tc>
      </w:tr>
      <w:tr>
        <w:trPr>
          <w:trHeight w:val="196"/>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120" w:type="dxa"/>
            <w:vAlign w:val="bottom"/>
            <w:gridSpan w:val="2"/>
          </w:tcPr>
          <w:p>
            <w:pPr>
              <w:ind w:left="280"/>
              <w:spacing w:after="0"/>
              <w:rPr>
                <w:sz w:val="20"/>
                <w:szCs w:val="20"/>
                <w:color w:val="auto"/>
              </w:rPr>
            </w:pPr>
            <w:r>
              <w:rPr>
                <w:rFonts w:ascii="Arial" w:cs="Arial" w:eastAsia="Arial" w:hAnsi="Arial"/>
                <w:sz w:val="14"/>
                <w:szCs w:val="14"/>
                <w:color w:val="auto"/>
              </w:rPr>
              <w:t>555 West Fifth Street</w:t>
            </w:r>
          </w:p>
        </w:tc>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40" w:type="dxa"/>
            <w:vAlign w:val="bottom"/>
          </w:tcPr>
          <w:p>
            <w:pPr>
              <w:spacing w:after="0"/>
              <w:rPr>
                <w:sz w:val="17"/>
                <w:szCs w:val="17"/>
                <w:color w:val="auto"/>
              </w:rPr>
            </w:pPr>
          </w:p>
        </w:tc>
      </w:tr>
    </w:tbl>
    <w:p>
      <w:pPr>
        <w:spacing w:after="0" w:line="1"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Los Angeles, California 90013</w:t>
      </w:r>
    </w:p>
    <w:p>
      <w:pPr>
        <w:spacing w:after="0" w:line="15"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(213)244-1200</w:t>
      </w:r>
    </w:p>
    <w:p>
      <w:pPr>
        <w:spacing w:after="0" w:line="200" w:lineRule="exact"/>
        <w:rPr>
          <w:sz w:val="20"/>
          <w:szCs w:val="20"/>
          <w:color w:val="auto"/>
        </w:rPr>
      </w:pPr>
    </w:p>
    <w:p>
      <w:pPr>
        <w:spacing w:after="0" w:line="321"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w:t>
      </w:r>
    </w:p>
    <w:p>
      <w:pPr>
        <w:spacing w:after="0" w:line="159" w:lineRule="exact"/>
        <w:rPr>
          <w:sz w:val="20"/>
          <w:szCs w:val="20"/>
          <w:color w:val="auto"/>
        </w:rPr>
      </w:pPr>
    </w:p>
    <w:p>
      <w:pPr>
        <w:ind w:left="7200"/>
        <w:spacing w:after="0"/>
        <w:tabs>
          <w:tab w:leader="none" w:pos="8000" w:val="left"/>
          <w:tab w:leader="none" w:pos="9900" w:val="left"/>
        </w:tabs>
        <w:rPr>
          <w:sz w:val="20"/>
          <w:szCs w:val="20"/>
          <w:color w:val="auto"/>
        </w:rPr>
      </w:pP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X</w:t>
      </w:r>
      <w:r>
        <w:rPr>
          <w:sz w:val="20"/>
          <w:szCs w:val="20"/>
          <w:color w:val="auto"/>
        </w:rPr>
        <w:tab/>
      </w: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4733925</wp:posOffset>
            </wp:positionH>
            <wp:positionV relativeFrom="paragraph">
              <wp:posOffset>22860</wp:posOffset>
            </wp:positionV>
            <wp:extent cx="81407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4070" cy="13335"/>
                    </a:xfrm>
                    <a:prstGeom prst="rect">
                      <a:avLst/>
                    </a:prstGeom>
                    <a:noFill/>
                  </pic:spPr>
                </pic:pic>
              </a:graphicData>
            </a:graphic>
          </wp:anchor>
        </w:drawing>
        <w:drawing>
          <wp:anchor simplePos="0" relativeHeight="251657728" behindDoc="1" locked="0" layoutInCell="0" allowOverlap="1">
            <wp:simplePos x="0" y="0"/>
            <wp:positionH relativeFrom="column">
              <wp:posOffset>6447155</wp:posOffset>
            </wp:positionH>
            <wp:positionV relativeFrom="paragraph">
              <wp:posOffset>22860</wp:posOffset>
            </wp:positionV>
            <wp:extent cx="833755"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33755" cy="13335"/>
                    </a:xfrm>
                    <a:prstGeom prst="rect">
                      <a:avLst/>
                    </a:prstGeom>
                    <a:noFill/>
                  </pic:spPr>
                </pic:pic>
              </a:graphicData>
            </a:graphic>
          </wp:anchor>
        </w:drawing>
      </w:r>
    </w:p>
    <w:p>
      <w:pPr>
        <w:sectPr>
          <w:pgSz w:w="11900" w:h="16838" w:orient="portrait"/>
          <w:cols w:equalWidth="0" w:num="1">
            <w:col w:w="11460"/>
          </w:cols>
          <w:pgMar w:left="220" w:top="987" w:right="219" w:bottom="1440" w:gutter="0" w:footer="0" w:header="0"/>
        </w:sectPr>
      </w:pPr>
    </w:p>
    <w:bookmarkStart w:id="2" w:name="page3"/>
    <w:bookmarkEnd w:id="2"/>
    <w:p>
      <w:pPr>
        <w:ind w:right="60"/>
        <w:spacing w:after="0" w:line="282"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registrants were required to submit and post such files).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0" w:type="dxa"/>
            <w:vAlign w:val="bottom"/>
          </w:tcPr>
          <w:p>
            <w:pPr>
              <w:spacing w:after="0"/>
              <w:rPr>
                <w:sz w:val="20"/>
                <w:szCs w:val="20"/>
                <w:color w:val="auto"/>
              </w:rPr>
            </w:pPr>
            <w:r>
              <w:rPr>
                <w:rFonts w:ascii="Arial" w:cs="Arial" w:eastAsia="Arial" w:hAnsi="Arial"/>
                <w:sz w:val="14"/>
                <w:szCs w:val="14"/>
                <w:color w:val="auto"/>
              </w:rPr>
              <w:t>Sempra Energy</w:t>
            </w:r>
          </w:p>
        </w:tc>
        <w:tc>
          <w:tcPr>
            <w:tcW w:w="2860" w:type="dxa"/>
            <w:vAlign w:val="bottom"/>
          </w:tcPr>
          <w:p>
            <w:pPr>
              <w:ind w:left="2600"/>
              <w:spacing w:after="0"/>
              <w:rPr>
                <w:sz w:val="20"/>
                <w:szCs w:val="20"/>
                <w:color w:val="auto"/>
              </w:rPr>
            </w:pPr>
            <w:r>
              <w:rPr>
                <w:rFonts w:ascii="Arial" w:cs="Arial" w:eastAsia="Arial" w:hAnsi="Arial"/>
                <w:sz w:val="14"/>
                <w:szCs w:val="14"/>
                <w:color w:val="auto"/>
                <w:w w:val="99"/>
              </w:rPr>
              <w:t>Yes</w:t>
            </w:r>
          </w:p>
        </w:tc>
        <w:tc>
          <w:tcPr>
            <w:tcW w:w="1280" w:type="dxa"/>
            <w:vAlign w:val="bottom"/>
          </w:tcPr>
          <w:p>
            <w:pPr>
              <w:ind w:left="560"/>
              <w:spacing w:after="0"/>
              <w:rPr>
                <w:sz w:val="20"/>
                <w:szCs w:val="20"/>
                <w:color w:val="auto"/>
              </w:rPr>
            </w:pPr>
            <w:r>
              <w:rPr>
                <w:rFonts w:ascii="Arial" w:cs="Arial" w:eastAsia="Arial" w:hAnsi="Arial"/>
                <w:sz w:val="14"/>
                <w:szCs w:val="14"/>
                <w:color w:val="auto"/>
              </w:rPr>
              <w:t>X</w:t>
            </w:r>
          </w:p>
        </w:tc>
        <w:tc>
          <w:tcPr>
            <w:tcW w:w="1360" w:type="dxa"/>
            <w:vAlign w:val="bottom"/>
          </w:tcPr>
          <w:p>
            <w:pPr>
              <w:ind w:left="1180"/>
              <w:spacing w:after="0"/>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23"/>
        </w:trPr>
        <w:tc>
          <w:tcPr>
            <w:tcW w:w="4600" w:type="dxa"/>
            <w:vAlign w:val="bottom"/>
            <w:vMerge w:val="restart"/>
          </w:tcPr>
          <w:p>
            <w:pPr>
              <w:spacing w:after="0"/>
              <w:rPr>
                <w:sz w:val="20"/>
                <w:szCs w:val="20"/>
                <w:color w:val="auto"/>
              </w:rPr>
            </w:pPr>
            <w:r>
              <w:rPr>
                <w:rFonts w:ascii="Arial" w:cs="Arial" w:eastAsia="Arial" w:hAnsi="Arial"/>
                <w:sz w:val="14"/>
                <w:szCs w:val="14"/>
                <w:color w:val="auto"/>
              </w:rPr>
              <w:t>San Diego Gas &amp; Electric Company</w:t>
            </w:r>
          </w:p>
        </w:tc>
        <w:tc>
          <w:tcPr>
            <w:tcW w:w="2860" w:type="dxa"/>
            <w:vAlign w:val="bottom"/>
            <w:vMerge w:val="restart"/>
          </w:tcPr>
          <w:p>
            <w:pPr>
              <w:ind w:left="2600"/>
              <w:spacing w:after="0"/>
              <w:rPr>
                <w:sz w:val="20"/>
                <w:szCs w:val="20"/>
                <w:color w:val="auto"/>
              </w:rPr>
            </w:pPr>
            <w:r>
              <w:rPr>
                <w:rFonts w:ascii="Arial" w:cs="Arial" w:eastAsia="Arial" w:hAnsi="Arial"/>
                <w:sz w:val="14"/>
                <w:szCs w:val="14"/>
                <w:color w:val="auto"/>
                <w:w w:val="99"/>
              </w:rPr>
              <w:t>Yes</w:t>
            </w:r>
          </w:p>
        </w:tc>
        <w:tc>
          <w:tcPr>
            <w:tcW w:w="1280" w:type="dxa"/>
            <w:vAlign w:val="bottom"/>
            <w:tcBorders>
              <w:bottom w:val="single" w:sz="8" w:color="auto"/>
            </w:tcBorders>
          </w:tcPr>
          <w:p>
            <w:pPr>
              <w:spacing w:after="0" w:line="20" w:lineRule="exact"/>
              <w:rPr>
                <w:sz w:val="1"/>
                <w:szCs w:val="1"/>
                <w:color w:val="auto"/>
              </w:rPr>
            </w:pPr>
          </w:p>
        </w:tc>
        <w:tc>
          <w:tcPr>
            <w:tcW w:w="1360" w:type="dxa"/>
            <w:vAlign w:val="bottom"/>
            <w:vMerge w:val="restart"/>
          </w:tcPr>
          <w:p>
            <w:pPr>
              <w:ind w:left="1180"/>
              <w:spacing w:after="0"/>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197"/>
        </w:trPr>
        <w:tc>
          <w:tcPr>
            <w:tcW w:w="4600" w:type="dxa"/>
            <w:vAlign w:val="bottom"/>
            <w:vMerge w:val="continue"/>
          </w:tcPr>
          <w:p>
            <w:pPr>
              <w:spacing w:after="0"/>
              <w:rPr>
                <w:sz w:val="17"/>
                <w:szCs w:val="17"/>
                <w:color w:val="auto"/>
              </w:rPr>
            </w:pPr>
          </w:p>
        </w:tc>
        <w:tc>
          <w:tcPr>
            <w:tcW w:w="2860" w:type="dxa"/>
            <w:vAlign w:val="bottom"/>
            <w:vMerge w:val="continue"/>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00" w:type="dxa"/>
            <w:vAlign w:val="bottom"/>
          </w:tcPr>
          <w:p>
            <w:pPr>
              <w:spacing w:after="0"/>
              <w:rPr>
                <w:sz w:val="20"/>
                <w:szCs w:val="20"/>
                <w:color w:val="auto"/>
              </w:rPr>
            </w:pPr>
            <w:r>
              <w:rPr>
                <w:rFonts w:ascii="Arial" w:cs="Arial" w:eastAsia="Arial" w:hAnsi="Arial"/>
                <w:sz w:val="14"/>
                <w:szCs w:val="14"/>
                <w:color w:val="auto"/>
              </w:rPr>
              <w:t>Pacific Enterprises</w:t>
            </w:r>
          </w:p>
        </w:tc>
        <w:tc>
          <w:tcPr>
            <w:tcW w:w="2860" w:type="dxa"/>
            <w:vAlign w:val="bottom"/>
          </w:tcPr>
          <w:p>
            <w:pPr>
              <w:ind w:left="2600"/>
              <w:spacing w:after="0"/>
              <w:rPr>
                <w:sz w:val="20"/>
                <w:szCs w:val="20"/>
                <w:color w:val="auto"/>
              </w:rPr>
            </w:pPr>
            <w:r>
              <w:rPr>
                <w:rFonts w:ascii="Arial" w:cs="Arial" w:eastAsia="Arial" w:hAnsi="Arial"/>
                <w:sz w:val="14"/>
                <w:szCs w:val="14"/>
                <w:color w:val="auto"/>
                <w:w w:val="99"/>
              </w:rPr>
              <w:t>Yes</w:t>
            </w:r>
          </w:p>
        </w:tc>
        <w:tc>
          <w:tcPr>
            <w:tcW w:w="1280" w:type="dxa"/>
            <w:vAlign w:val="bottom"/>
            <w:tcBorders>
              <w:bottom w:val="single" w:sz="8" w:color="auto"/>
            </w:tcBorders>
          </w:tcPr>
          <w:p>
            <w:pPr>
              <w:spacing w:after="0"/>
              <w:rPr>
                <w:sz w:val="17"/>
                <w:szCs w:val="17"/>
                <w:color w:val="auto"/>
              </w:rPr>
            </w:pPr>
          </w:p>
        </w:tc>
        <w:tc>
          <w:tcPr>
            <w:tcW w:w="1360" w:type="dxa"/>
            <w:vAlign w:val="bottom"/>
          </w:tcPr>
          <w:p>
            <w:pPr>
              <w:ind w:left="1180"/>
              <w:spacing w:after="0"/>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197"/>
        </w:trPr>
        <w:tc>
          <w:tcPr>
            <w:tcW w:w="4600" w:type="dxa"/>
            <w:vAlign w:val="bottom"/>
          </w:tcPr>
          <w:p>
            <w:pPr>
              <w:spacing w:after="0"/>
              <w:rPr>
                <w:sz w:val="20"/>
                <w:szCs w:val="20"/>
                <w:color w:val="auto"/>
              </w:rPr>
            </w:pPr>
            <w:r>
              <w:rPr>
                <w:rFonts w:ascii="Arial" w:cs="Arial" w:eastAsia="Arial" w:hAnsi="Arial"/>
                <w:sz w:val="14"/>
                <w:szCs w:val="14"/>
                <w:color w:val="auto"/>
              </w:rPr>
              <w:t>Southern California Gas Company</w:t>
            </w:r>
          </w:p>
        </w:tc>
        <w:tc>
          <w:tcPr>
            <w:tcW w:w="2860" w:type="dxa"/>
            <w:vAlign w:val="bottom"/>
          </w:tcPr>
          <w:p>
            <w:pPr>
              <w:ind w:left="2600"/>
              <w:spacing w:after="0"/>
              <w:rPr>
                <w:sz w:val="20"/>
                <w:szCs w:val="20"/>
                <w:color w:val="auto"/>
              </w:rPr>
            </w:pPr>
            <w:r>
              <w:rPr>
                <w:rFonts w:ascii="Arial" w:cs="Arial" w:eastAsia="Arial" w:hAnsi="Arial"/>
                <w:sz w:val="14"/>
                <w:szCs w:val="14"/>
                <w:color w:val="auto"/>
                <w:w w:val="99"/>
              </w:rPr>
              <w:t>Yes</w:t>
            </w:r>
          </w:p>
        </w:tc>
        <w:tc>
          <w:tcPr>
            <w:tcW w:w="1280" w:type="dxa"/>
            <w:vAlign w:val="bottom"/>
            <w:tcBorders>
              <w:bottom w:val="single" w:sz="8" w:color="auto"/>
            </w:tcBorders>
          </w:tcPr>
          <w:p>
            <w:pPr>
              <w:spacing w:after="0"/>
              <w:rPr>
                <w:sz w:val="17"/>
                <w:szCs w:val="17"/>
                <w:color w:val="auto"/>
              </w:rPr>
            </w:pPr>
          </w:p>
        </w:tc>
        <w:tc>
          <w:tcPr>
            <w:tcW w:w="1360" w:type="dxa"/>
            <w:vAlign w:val="bottom"/>
          </w:tcPr>
          <w:p>
            <w:pPr>
              <w:ind w:left="1180"/>
              <w:spacing w:after="0"/>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6447155</wp:posOffset>
            </wp:positionH>
            <wp:positionV relativeFrom="paragraph">
              <wp:posOffset>-426085</wp:posOffset>
            </wp:positionV>
            <wp:extent cx="833755"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3755" cy="13335"/>
                    </a:xfrm>
                    <a:prstGeom prst="rect">
                      <a:avLst/>
                    </a:prstGeom>
                    <a:noFill/>
                  </pic:spPr>
                </pic:pic>
              </a:graphicData>
            </a:graphic>
          </wp:anchor>
        </w:drawing>
        <w:drawing>
          <wp:anchor simplePos="0" relativeHeight="251657728" behindDoc="1" locked="0" layoutInCell="0" allowOverlap="1">
            <wp:simplePos x="0" y="0"/>
            <wp:positionH relativeFrom="column">
              <wp:posOffset>6447155</wp:posOffset>
            </wp:positionH>
            <wp:positionV relativeFrom="paragraph">
              <wp:posOffset>-288290</wp:posOffset>
            </wp:positionV>
            <wp:extent cx="833755"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33755" cy="13335"/>
                    </a:xfrm>
                    <a:prstGeom prst="rect">
                      <a:avLst/>
                    </a:prstGeom>
                    <a:noFill/>
                  </pic:spPr>
                </pic:pic>
              </a:graphicData>
            </a:graphic>
          </wp:anchor>
        </w:drawing>
        <w:drawing>
          <wp:anchor simplePos="0" relativeHeight="251657728" behindDoc="1" locked="0" layoutInCell="0" allowOverlap="1">
            <wp:simplePos x="0" y="0"/>
            <wp:positionH relativeFrom="column">
              <wp:posOffset>6447155</wp:posOffset>
            </wp:positionH>
            <wp:positionV relativeFrom="paragraph">
              <wp:posOffset>-150495</wp:posOffset>
            </wp:positionV>
            <wp:extent cx="833755"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33755" cy="13335"/>
                    </a:xfrm>
                    <a:prstGeom prst="rect">
                      <a:avLst/>
                    </a:prstGeom>
                    <a:noFill/>
                  </pic:spPr>
                </pic:pic>
              </a:graphicData>
            </a:graphic>
          </wp:anchor>
        </w:drawing>
        <w:drawing>
          <wp:anchor simplePos="0" relativeHeight="251657728" behindDoc="1" locked="0" layoutInCell="0" allowOverlap="1">
            <wp:simplePos x="0" y="0"/>
            <wp:positionH relativeFrom="column">
              <wp:posOffset>6447155</wp:posOffset>
            </wp:positionH>
            <wp:positionV relativeFrom="paragraph">
              <wp:posOffset>-12700</wp:posOffset>
            </wp:positionV>
            <wp:extent cx="833755"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33755" cy="13335"/>
                    </a:xfrm>
                    <a:prstGeom prst="rect">
                      <a:avLst/>
                    </a:prstGeom>
                    <a:noFill/>
                  </pic:spPr>
                </pic:pic>
              </a:graphicData>
            </a:graphic>
          </wp:anchor>
        </w:drawing>
      </w:r>
    </w:p>
    <w:p>
      <w:pPr>
        <w:spacing w:after="0" w:line="155" w:lineRule="exact"/>
        <w:rPr>
          <w:sz w:val="20"/>
          <w:szCs w:val="20"/>
          <w:color w:val="auto"/>
        </w:rPr>
      </w:pPr>
    </w:p>
    <w:p>
      <w:pPr>
        <w:ind w:right="720"/>
        <w:spacing w:after="0" w:line="28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60" w:type="dxa"/>
            <w:vAlign w:val="bottom"/>
          </w:tcPr>
          <w:p>
            <w:pPr>
              <w:spacing w:after="0"/>
              <w:rPr>
                <w:sz w:val="15"/>
                <w:szCs w:val="15"/>
                <w:color w:val="auto"/>
              </w:rPr>
            </w:pPr>
          </w:p>
        </w:tc>
        <w:tc>
          <w:tcPr>
            <w:tcW w:w="2260" w:type="dxa"/>
            <w:vAlign w:val="bottom"/>
            <w:gridSpan w:val="2"/>
          </w:tcPr>
          <w:p>
            <w:pPr>
              <w:ind w:left="820"/>
              <w:spacing w:after="0"/>
              <w:rPr>
                <w:sz w:val="20"/>
                <w:szCs w:val="20"/>
                <w:color w:val="auto"/>
              </w:rPr>
            </w:pPr>
            <w:r>
              <w:rPr>
                <w:rFonts w:ascii="Arial" w:cs="Arial" w:eastAsia="Arial" w:hAnsi="Arial"/>
                <w:sz w:val="14"/>
                <w:szCs w:val="14"/>
                <w:color w:val="auto"/>
              </w:rPr>
              <w:t>Large</w:t>
            </w: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7"/>
        </w:trPr>
        <w:tc>
          <w:tcPr>
            <w:tcW w:w="2460" w:type="dxa"/>
            <w:vAlign w:val="bottom"/>
          </w:tcPr>
          <w:p>
            <w:pPr>
              <w:spacing w:after="0"/>
              <w:rPr>
                <w:sz w:val="18"/>
                <w:szCs w:val="18"/>
                <w:color w:val="auto"/>
              </w:rPr>
            </w:pPr>
          </w:p>
        </w:tc>
        <w:tc>
          <w:tcPr>
            <w:tcW w:w="2260" w:type="dxa"/>
            <w:vAlign w:val="bottom"/>
            <w:gridSpan w:val="2"/>
          </w:tcPr>
          <w:p>
            <w:pPr>
              <w:ind w:left="540"/>
              <w:spacing w:after="0"/>
              <w:rPr>
                <w:sz w:val="20"/>
                <w:szCs w:val="20"/>
                <w:color w:val="auto"/>
              </w:rPr>
            </w:pPr>
            <w:r>
              <w:rPr>
                <w:rFonts w:ascii="Arial" w:cs="Arial" w:eastAsia="Arial" w:hAnsi="Arial"/>
                <w:sz w:val="14"/>
                <w:szCs w:val="14"/>
                <w:color w:val="auto"/>
              </w:rPr>
              <w:t>accelerated filer</w:t>
            </w:r>
          </w:p>
        </w:tc>
        <w:tc>
          <w:tcPr>
            <w:tcW w:w="2520" w:type="dxa"/>
            <w:vAlign w:val="bottom"/>
            <w:gridSpan w:val="2"/>
          </w:tcPr>
          <w:p>
            <w:pPr>
              <w:jc w:val="right"/>
              <w:ind w:right="691"/>
              <w:spacing w:after="0"/>
              <w:rPr>
                <w:sz w:val="20"/>
                <w:szCs w:val="20"/>
                <w:color w:val="auto"/>
              </w:rPr>
            </w:pPr>
            <w:r>
              <w:rPr>
                <w:rFonts w:ascii="Arial" w:cs="Arial" w:eastAsia="Arial" w:hAnsi="Arial"/>
                <w:sz w:val="14"/>
                <w:szCs w:val="14"/>
                <w:color w:val="auto"/>
              </w:rPr>
              <w:t>Accelerated filer</w:t>
            </w:r>
          </w:p>
        </w:tc>
        <w:tc>
          <w:tcPr>
            <w:tcW w:w="2220" w:type="dxa"/>
            <w:vAlign w:val="bottom"/>
            <w:gridSpan w:val="3"/>
          </w:tcPr>
          <w:p>
            <w:pPr>
              <w:jc w:val="center"/>
              <w:ind w:left="391"/>
              <w:spacing w:after="0"/>
              <w:rPr>
                <w:sz w:val="20"/>
                <w:szCs w:val="20"/>
                <w:color w:val="auto"/>
              </w:rPr>
            </w:pPr>
            <w:r>
              <w:rPr>
                <w:rFonts w:ascii="Arial" w:cs="Arial" w:eastAsia="Arial" w:hAnsi="Arial"/>
                <w:sz w:val="14"/>
                <w:szCs w:val="14"/>
                <w:color w:val="auto"/>
                <w:w w:val="89"/>
              </w:rPr>
              <w:t>Non-accelerated filer</w:t>
            </w:r>
          </w:p>
        </w:tc>
        <w:tc>
          <w:tcPr>
            <w:tcW w:w="2000" w:type="dxa"/>
            <w:vAlign w:val="bottom"/>
            <w:gridSpan w:val="2"/>
          </w:tcPr>
          <w:p>
            <w:pPr>
              <w:jc w:val="right"/>
              <w:ind w:right="111"/>
              <w:spacing w:after="0"/>
              <w:rPr>
                <w:sz w:val="20"/>
                <w:szCs w:val="20"/>
                <w:color w:val="auto"/>
              </w:rPr>
            </w:pPr>
            <w:r>
              <w:rPr>
                <w:rFonts w:ascii="Arial" w:cs="Arial" w:eastAsia="Arial" w:hAnsi="Arial"/>
                <w:sz w:val="14"/>
                <w:szCs w:val="14"/>
                <w:color w:val="auto"/>
              </w:rPr>
              <w:t>Smaller reporting company</w:t>
            </w:r>
          </w:p>
        </w:tc>
      </w:tr>
      <w:tr>
        <w:trPr>
          <w:trHeight w:val="23"/>
        </w:trPr>
        <w:tc>
          <w:tcPr>
            <w:tcW w:w="2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4"/>
                <w:szCs w:val="14"/>
                <w:color w:val="auto"/>
              </w:rPr>
              <w:t>Sempra Energy</w:t>
            </w:r>
          </w:p>
        </w:tc>
        <w:tc>
          <w:tcPr>
            <w:tcW w:w="900" w:type="dxa"/>
            <w:vAlign w:val="bottom"/>
          </w:tcPr>
          <w:p>
            <w:pPr>
              <w:ind w:left="8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51"/>
              <w:spacing w:after="0"/>
              <w:rPr>
                <w:sz w:val="20"/>
                <w:szCs w:val="20"/>
                <w:color w:val="auto"/>
              </w:rPr>
            </w:pPr>
            <w:r>
              <w:rPr>
                <w:rFonts w:ascii="Arial" w:cs="Arial" w:eastAsia="Arial" w:hAnsi="Arial"/>
                <w:sz w:val="14"/>
                <w:szCs w:val="14"/>
                <w:color w:val="auto"/>
              </w:rPr>
              <w:t>X ]</w:t>
            </w:r>
          </w:p>
        </w:tc>
        <w:tc>
          <w:tcPr>
            <w:tcW w:w="13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11"/>
              <w:spacing w:after="0"/>
              <w:rPr>
                <w:sz w:val="20"/>
                <w:szCs w:val="20"/>
                <w:color w:val="auto"/>
              </w:rPr>
            </w:pPr>
            <w:r>
              <w:rPr>
                <w:rFonts w:ascii="Arial" w:cs="Arial" w:eastAsia="Arial" w:hAnsi="Arial"/>
                <w:sz w:val="14"/>
                <w:szCs w:val="14"/>
                <w:color w:val="auto"/>
              </w:rPr>
              <w:t>]</w:t>
            </w:r>
          </w:p>
        </w:tc>
        <w:tc>
          <w:tcPr>
            <w:tcW w:w="1260" w:type="dxa"/>
            <w:vAlign w:val="bottom"/>
          </w:tcPr>
          <w:p>
            <w:pPr>
              <w:ind w:left="1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0" w:type="dxa"/>
            <w:vAlign w:val="bottom"/>
          </w:tcPr>
          <w:p>
            <w:pPr>
              <w:jc w:val="right"/>
              <w:ind w:right="65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31"/>
              <w:spacing w:after="0"/>
              <w:rPr>
                <w:sz w:val="20"/>
                <w:szCs w:val="20"/>
                <w:color w:val="auto"/>
              </w:rPr>
            </w:pPr>
            <w:r>
              <w:rPr>
                <w:rFonts w:ascii="Arial" w:cs="Arial" w:eastAsia="Arial" w:hAnsi="Arial"/>
                <w:sz w:val="14"/>
                <w:szCs w:val="14"/>
                <w:color w:val="auto"/>
              </w:rPr>
              <w:t>]</w:t>
            </w:r>
          </w:p>
        </w:tc>
      </w:tr>
      <w:tr>
        <w:trPr>
          <w:trHeight w:val="217"/>
        </w:trPr>
        <w:tc>
          <w:tcPr>
            <w:tcW w:w="2460" w:type="dxa"/>
            <w:vAlign w:val="bottom"/>
          </w:tcPr>
          <w:p>
            <w:pPr>
              <w:spacing w:after="0"/>
              <w:rPr>
                <w:sz w:val="20"/>
                <w:szCs w:val="20"/>
                <w:color w:val="auto"/>
              </w:rPr>
            </w:pPr>
            <w:r>
              <w:rPr>
                <w:rFonts w:ascii="Arial" w:cs="Arial" w:eastAsia="Arial" w:hAnsi="Arial"/>
                <w:sz w:val="14"/>
                <w:szCs w:val="14"/>
                <w:color w:val="auto"/>
              </w:rPr>
              <w:t>San Diego Gas &amp; Electric Company</w:t>
            </w:r>
          </w:p>
        </w:tc>
        <w:tc>
          <w:tcPr>
            <w:tcW w:w="900" w:type="dxa"/>
            <w:vAlign w:val="bottom"/>
          </w:tcPr>
          <w:p>
            <w:pPr>
              <w:ind w:left="8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31"/>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11"/>
              <w:spacing w:after="0"/>
              <w:rPr>
                <w:sz w:val="20"/>
                <w:szCs w:val="20"/>
                <w:color w:val="auto"/>
              </w:rPr>
            </w:pPr>
            <w:r>
              <w:rPr>
                <w:rFonts w:ascii="Arial" w:cs="Arial" w:eastAsia="Arial" w:hAnsi="Arial"/>
                <w:sz w:val="14"/>
                <w:szCs w:val="14"/>
                <w:color w:val="auto"/>
              </w:rPr>
              <w:t>]</w:t>
            </w:r>
          </w:p>
        </w:tc>
        <w:tc>
          <w:tcPr>
            <w:tcW w:w="2220" w:type="dxa"/>
            <w:vAlign w:val="bottom"/>
            <w:gridSpan w:val="3"/>
          </w:tcPr>
          <w:p>
            <w:pPr>
              <w:ind w:left="1180"/>
              <w:spacing w:after="0"/>
              <w:rPr>
                <w:sz w:val="20"/>
                <w:szCs w:val="20"/>
                <w:color w:val="auto"/>
              </w:rPr>
            </w:pPr>
            <w:r>
              <w:rPr>
                <w:rFonts w:ascii="Arial" w:cs="Arial" w:eastAsia="Arial" w:hAnsi="Arial"/>
                <w:sz w:val="14"/>
                <w:szCs w:val="14"/>
                <w:color w:val="auto"/>
              </w:rPr>
              <w:t>[ X ]</w:t>
            </w:r>
          </w:p>
        </w:tc>
        <w:tc>
          <w:tcPr>
            <w:tcW w:w="10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31"/>
              <w:spacing w:after="0"/>
              <w:rPr>
                <w:sz w:val="20"/>
                <w:szCs w:val="20"/>
                <w:color w:val="auto"/>
              </w:rPr>
            </w:pPr>
            <w:r>
              <w:rPr>
                <w:rFonts w:ascii="Arial" w:cs="Arial" w:eastAsia="Arial" w:hAnsi="Arial"/>
                <w:sz w:val="14"/>
                <w:szCs w:val="14"/>
                <w:color w:val="auto"/>
              </w:rPr>
              <w:t>]</w:t>
            </w:r>
          </w:p>
        </w:tc>
      </w:tr>
      <w:tr>
        <w:trPr>
          <w:trHeight w:val="217"/>
        </w:trPr>
        <w:tc>
          <w:tcPr>
            <w:tcW w:w="2460" w:type="dxa"/>
            <w:vAlign w:val="bottom"/>
          </w:tcPr>
          <w:p>
            <w:pPr>
              <w:spacing w:after="0"/>
              <w:rPr>
                <w:sz w:val="20"/>
                <w:szCs w:val="20"/>
                <w:color w:val="auto"/>
              </w:rPr>
            </w:pPr>
            <w:r>
              <w:rPr>
                <w:rFonts w:ascii="Arial" w:cs="Arial" w:eastAsia="Arial" w:hAnsi="Arial"/>
                <w:sz w:val="14"/>
                <w:szCs w:val="14"/>
                <w:color w:val="auto"/>
              </w:rPr>
              <w:t>Pacific Enterprises</w:t>
            </w:r>
          </w:p>
        </w:tc>
        <w:tc>
          <w:tcPr>
            <w:tcW w:w="900" w:type="dxa"/>
            <w:vAlign w:val="bottom"/>
          </w:tcPr>
          <w:p>
            <w:pPr>
              <w:ind w:left="8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31"/>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11"/>
              <w:spacing w:after="0"/>
              <w:rPr>
                <w:sz w:val="20"/>
                <w:szCs w:val="20"/>
                <w:color w:val="auto"/>
              </w:rPr>
            </w:pPr>
            <w:r>
              <w:rPr>
                <w:rFonts w:ascii="Arial" w:cs="Arial" w:eastAsia="Arial" w:hAnsi="Arial"/>
                <w:sz w:val="14"/>
                <w:szCs w:val="14"/>
                <w:color w:val="auto"/>
              </w:rPr>
              <w:t>]</w:t>
            </w:r>
          </w:p>
        </w:tc>
        <w:tc>
          <w:tcPr>
            <w:tcW w:w="1260" w:type="dxa"/>
            <w:vAlign w:val="bottom"/>
          </w:tcPr>
          <w:p>
            <w:pPr>
              <w:ind w:left="1180"/>
              <w:spacing w:after="0"/>
              <w:rPr>
                <w:sz w:val="20"/>
                <w:szCs w:val="20"/>
                <w:color w:val="auto"/>
              </w:rPr>
            </w:pPr>
            <w:r>
              <w:rPr>
                <w:rFonts w:ascii="Arial" w:cs="Arial" w:eastAsia="Arial" w:hAnsi="Arial"/>
                <w:sz w:val="14"/>
                <w:szCs w:val="14"/>
                <w:color w:val="auto"/>
              </w:rPr>
              <w:t>[</w:t>
            </w:r>
          </w:p>
        </w:tc>
        <w:tc>
          <w:tcPr>
            <w:tcW w:w="160" w:type="dxa"/>
            <w:vAlign w:val="bottom"/>
          </w:tcPr>
          <w:p>
            <w:pPr>
              <w:jc w:val="center"/>
              <w:spacing w:after="0"/>
              <w:rPr>
                <w:sz w:val="20"/>
                <w:szCs w:val="20"/>
                <w:color w:val="auto"/>
              </w:rPr>
            </w:pPr>
            <w:r>
              <w:rPr>
                <w:rFonts w:ascii="Arial" w:cs="Arial" w:eastAsia="Arial" w:hAnsi="Arial"/>
                <w:sz w:val="14"/>
                <w:szCs w:val="14"/>
                <w:color w:val="auto"/>
              </w:rPr>
              <w:t>X</w:t>
            </w:r>
          </w:p>
        </w:tc>
        <w:tc>
          <w:tcPr>
            <w:tcW w:w="800" w:type="dxa"/>
            <w:vAlign w:val="bottom"/>
          </w:tcPr>
          <w:p>
            <w:pPr>
              <w:jc w:val="right"/>
              <w:ind w:right="65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31"/>
              <w:spacing w:after="0"/>
              <w:rPr>
                <w:sz w:val="20"/>
                <w:szCs w:val="20"/>
                <w:color w:val="auto"/>
              </w:rPr>
            </w:pPr>
            <w:r>
              <w:rPr>
                <w:rFonts w:ascii="Arial" w:cs="Arial" w:eastAsia="Arial" w:hAnsi="Arial"/>
                <w:sz w:val="14"/>
                <w:szCs w:val="14"/>
                <w:color w:val="auto"/>
              </w:rPr>
              <w:t>]</w:t>
            </w:r>
          </w:p>
        </w:tc>
      </w:tr>
      <w:tr>
        <w:trPr>
          <w:trHeight w:val="217"/>
        </w:trPr>
        <w:tc>
          <w:tcPr>
            <w:tcW w:w="2460" w:type="dxa"/>
            <w:vAlign w:val="bottom"/>
          </w:tcPr>
          <w:p>
            <w:pPr>
              <w:spacing w:after="0"/>
              <w:rPr>
                <w:sz w:val="20"/>
                <w:szCs w:val="20"/>
                <w:color w:val="auto"/>
              </w:rPr>
            </w:pPr>
            <w:r>
              <w:rPr>
                <w:rFonts w:ascii="Arial" w:cs="Arial" w:eastAsia="Arial" w:hAnsi="Arial"/>
                <w:sz w:val="14"/>
                <w:szCs w:val="14"/>
                <w:color w:val="auto"/>
              </w:rPr>
              <w:t>Southern California Gas Company</w:t>
            </w:r>
          </w:p>
        </w:tc>
        <w:tc>
          <w:tcPr>
            <w:tcW w:w="900" w:type="dxa"/>
            <w:vAlign w:val="bottom"/>
          </w:tcPr>
          <w:p>
            <w:pPr>
              <w:ind w:left="8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31"/>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11"/>
              <w:spacing w:after="0"/>
              <w:rPr>
                <w:sz w:val="20"/>
                <w:szCs w:val="20"/>
                <w:color w:val="auto"/>
              </w:rPr>
            </w:pPr>
            <w:r>
              <w:rPr>
                <w:rFonts w:ascii="Arial" w:cs="Arial" w:eastAsia="Arial" w:hAnsi="Arial"/>
                <w:sz w:val="14"/>
                <w:szCs w:val="14"/>
                <w:color w:val="auto"/>
              </w:rPr>
              <w:t>]</w:t>
            </w:r>
          </w:p>
        </w:tc>
        <w:tc>
          <w:tcPr>
            <w:tcW w:w="1260" w:type="dxa"/>
            <w:vAlign w:val="bottom"/>
          </w:tcPr>
          <w:p>
            <w:pPr>
              <w:ind w:left="1180"/>
              <w:spacing w:after="0"/>
              <w:rPr>
                <w:sz w:val="20"/>
                <w:szCs w:val="20"/>
                <w:color w:val="auto"/>
              </w:rPr>
            </w:pPr>
            <w:r>
              <w:rPr>
                <w:rFonts w:ascii="Arial" w:cs="Arial" w:eastAsia="Arial" w:hAnsi="Arial"/>
                <w:sz w:val="14"/>
                <w:szCs w:val="14"/>
                <w:color w:val="auto"/>
              </w:rPr>
              <w:t>[</w:t>
            </w:r>
          </w:p>
        </w:tc>
        <w:tc>
          <w:tcPr>
            <w:tcW w:w="160" w:type="dxa"/>
            <w:vAlign w:val="bottom"/>
          </w:tcPr>
          <w:p>
            <w:pPr>
              <w:jc w:val="center"/>
              <w:spacing w:after="0"/>
              <w:rPr>
                <w:sz w:val="20"/>
                <w:szCs w:val="20"/>
                <w:color w:val="auto"/>
              </w:rPr>
            </w:pPr>
            <w:r>
              <w:rPr>
                <w:rFonts w:ascii="Arial" w:cs="Arial" w:eastAsia="Arial" w:hAnsi="Arial"/>
                <w:sz w:val="14"/>
                <w:szCs w:val="14"/>
                <w:color w:val="auto"/>
              </w:rPr>
              <w:t>X</w:t>
            </w:r>
          </w:p>
        </w:tc>
        <w:tc>
          <w:tcPr>
            <w:tcW w:w="800" w:type="dxa"/>
            <w:vAlign w:val="bottom"/>
          </w:tcPr>
          <w:p>
            <w:pPr>
              <w:jc w:val="right"/>
              <w:ind w:right="651"/>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31"/>
              <w:spacing w:after="0"/>
              <w:rPr>
                <w:sz w:val="20"/>
                <w:szCs w:val="20"/>
                <w:color w:val="auto"/>
              </w:rPr>
            </w:pPr>
            <w:r>
              <w:rPr>
                <w:rFonts w:ascii="Arial" w:cs="Arial" w:eastAsia="Arial" w:hAnsi="Arial"/>
                <w:sz w:val="14"/>
                <w:szCs w:val="14"/>
                <w:color w:val="auto"/>
              </w:rPr>
              <w:t>]</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60" w:type="dxa"/>
            <w:vAlign w:val="bottom"/>
          </w:tcPr>
          <w:p>
            <w:pPr>
              <w:spacing w:after="0"/>
              <w:rPr>
                <w:sz w:val="20"/>
                <w:szCs w:val="20"/>
                <w:color w:val="auto"/>
              </w:rPr>
            </w:pPr>
            <w:r>
              <w:rPr>
                <w:rFonts w:ascii="Arial" w:cs="Arial" w:eastAsia="Arial" w:hAnsi="Arial"/>
                <w:sz w:val="14"/>
                <w:szCs w:val="14"/>
                <w:color w:val="auto"/>
              </w:rPr>
              <w:t>Sempra Energy</w:t>
            </w:r>
          </w:p>
        </w:tc>
        <w:tc>
          <w:tcPr>
            <w:tcW w:w="5920" w:type="dxa"/>
            <w:vAlign w:val="bottom"/>
            <w:gridSpan w:val="2"/>
          </w:tcPr>
          <w:p>
            <w:pPr>
              <w:ind w:left="4500"/>
              <w:spacing w:after="0"/>
              <w:rPr>
                <w:sz w:val="20"/>
                <w:szCs w:val="20"/>
                <w:color w:val="auto"/>
              </w:rPr>
            </w:pPr>
            <w:r>
              <w:rPr>
                <w:rFonts w:ascii="Arial" w:cs="Arial" w:eastAsia="Arial" w:hAnsi="Arial"/>
                <w:sz w:val="14"/>
                <w:szCs w:val="14"/>
                <w:color w:val="auto"/>
              </w:rPr>
              <w:t>Yes</w:t>
            </w:r>
          </w:p>
        </w:tc>
        <w:tc>
          <w:tcPr>
            <w:tcW w:w="1280" w:type="dxa"/>
            <w:vAlign w:val="bottom"/>
          </w:tcPr>
          <w:p>
            <w:pPr>
              <w:ind w:left="1040"/>
              <w:spacing w:after="0"/>
              <w:rPr>
                <w:sz w:val="20"/>
                <w:szCs w:val="20"/>
                <w:color w:val="auto"/>
              </w:rPr>
            </w:pPr>
            <w:r>
              <w:rPr>
                <w:rFonts w:ascii="Arial" w:cs="Arial" w:eastAsia="Arial" w:hAnsi="Arial"/>
                <w:sz w:val="14"/>
                <w:szCs w:val="14"/>
                <w:color w:val="auto"/>
              </w:rPr>
              <w:t>No</w:t>
            </w:r>
          </w:p>
        </w:tc>
        <w:tc>
          <w:tcPr>
            <w:tcW w:w="1300" w:type="dxa"/>
            <w:vAlign w:val="bottom"/>
          </w:tcPr>
          <w:p>
            <w:pPr>
              <w:ind w:left="56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3"/>
        </w:trPr>
        <w:tc>
          <w:tcPr>
            <w:tcW w:w="2960" w:type="dxa"/>
            <w:vAlign w:val="bottom"/>
            <w:vMerge w:val="restart"/>
          </w:tcPr>
          <w:p>
            <w:pPr>
              <w:spacing w:after="0"/>
              <w:rPr>
                <w:sz w:val="20"/>
                <w:szCs w:val="20"/>
                <w:color w:val="auto"/>
              </w:rPr>
            </w:pPr>
            <w:r>
              <w:rPr>
                <w:rFonts w:ascii="Arial" w:cs="Arial" w:eastAsia="Arial" w:hAnsi="Arial"/>
                <w:sz w:val="14"/>
                <w:szCs w:val="14"/>
                <w:color w:val="auto"/>
              </w:rPr>
              <w:t>San Diego Gas &amp; Electric Company</w:t>
            </w:r>
          </w:p>
        </w:tc>
        <w:tc>
          <w:tcPr>
            <w:tcW w:w="4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960" w:type="dxa"/>
            <w:vAlign w:val="bottom"/>
            <w:vMerge w:val="continue"/>
          </w:tcPr>
          <w:p>
            <w:pPr>
              <w:spacing w:after="0"/>
              <w:rPr>
                <w:sz w:val="16"/>
                <w:szCs w:val="16"/>
                <w:color w:val="auto"/>
              </w:rPr>
            </w:pPr>
          </w:p>
        </w:tc>
        <w:tc>
          <w:tcPr>
            <w:tcW w:w="5920" w:type="dxa"/>
            <w:vAlign w:val="bottom"/>
            <w:gridSpan w:val="2"/>
          </w:tcPr>
          <w:p>
            <w:pPr>
              <w:ind w:left="4500"/>
              <w:spacing w:after="0"/>
              <w:rPr>
                <w:sz w:val="20"/>
                <w:szCs w:val="20"/>
                <w:color w:val="auto"/>
              </w:rPr>
            </w:pPr>
            <w:r>
              <w:rPr>
                <w:rFonts w:ascii="Arial" w:cs="Arial" w:eastAsia="Arial" w:hAnsi="Arial"/>
                <w:sz w:val="14"/>
                <w:szCs w:val="14"/>
                <w:color w:val="auto"/>
              </w:rPr>
              <w:t>Yes</w:t>
            </w:r>
          </w:p>
        </w:tc>
        <w:tc>
          <w:tcPr>
            <w:tcW w:w="1280" w:type="dxa"/>
            <w:vAlign w:val="bottom"/>
          </w:tcPr>
          <w:p>
            <w:pPr>
              <w:ind w:left="1040"/>
              <w:spacing w:after="0"/>
              <w:rPr>
                <w:sz w:val="20"/>
                <w:szCs w:val="20"/>
                <w:color w:val="auto"/>
              </w:rPr>
            </w:pPr>
            <w:r>
              <w:rPr>
                <w:rFonts w:ascii="Arial" w:cs="Arial" w:eastAsia="Arial" w:hAnsi="Arial"/>
                <w:sz w:val="14"/>
                <w:szCs w:val="14"/>
                <w:color w:val="auto"/>
              </w:rPr>
              <w:t>No</w:t>
            </w:r>
          </w:p>
        </w:tc>
        <w:tc>
          <w:tcPr>
            <w:tcW w:w="1300" w:type="dxa"/>
            <w:vAlign w:val="bottom"/>
          </w:tcPr>
          <w:p>
            <w:pPr>
              <w:ind w:left="56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3"/>
        </w:trPr>
        <w:tc>
          <w:tcPr>
            <w:tcW w:w="2960" w:type="dxa"/>
            <w:vAlign w:val="bottom"/>
            <w:vMerge w:val="restart"/>
          </w:tcPr>
          <w:p>
            <w:pPr>
              <w:spacing w:after="0"/>
              <w:rPr>
                <w:sz w:val="20"/>
                <w:szCs w:val="20"/>
                <w:color w:val="auto"/>
              </w:rPr>
            </w:pPr>
            <w:r>
              <w:rPr>
                <w:rFonts w:ascii="Arial" w:cs="Arial" w:eastAsia="Arial" w:hAnsi="Arial"/>
                <w:sz w:val="14"/>
                <w:szCs w:val="14"/>
                <w:color w:val="auto"/>
              </w:rPr>
              <w:t>Pacific Enterprises</w:t>
            </w:r>
          </w:p>
        </w:tc>
        <w:tc>
          <w:tcPr>
            <w:tcW w:w="4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960" w:type="dxa"/>
            <w:vAlign w:val="bottom"/>
            <w:vMerge w:val="continue"/>
          </w:tcPr>
          <w:p>
            <w:pPr>
              <w:spacing w:after="0"/>
              <w:rPr>
                <w:sz w:val="16"/>
                <w:szCs w:val="16"/>
                <w:color w:val="auto"/>
              </w:rPr>
            </w:pPr>
          </w:p>
        </w:tc>
        <w:tc>
          <w:tcPr>
            <w:tcW w:w="5920" w:type="dxa"/>
            <w:vAlign w:val="bottom"/>
            <w:gridSpan w:val="2"/>
          </w:tcPr>
          <w:p>
            <w:pPr>
              <w:ind w:left="4500"/>
              <w:spacing w:after="0"/>
              <w:rPr>
                <w:sz w:val="20"/>
                <w:szCs w:val="20"/>
                <w:color w:val="auto"/>
              </w:rPr>
            </w:pPr>
            <w:r>
              <w:rPr>
                <w:rFonts w:ascii="Arial" w:cs="Arial" w:eastAsia="Arial" w:hAnsi="Arial"/>
                <w:sz w:val="14"/>
                <w:szCs w:val="14"/>
                <w:color w:val="auto"/>
              </w:rPr>
              <w:t>Yes</w:t>
            </w:r>
          </w:p>
        </w:tc>
        <w:tc>
          <w:tcPr>
            <w:tcW w:w="1280" w:type="dxa"/>
            <w:vAlign w:val="bottom"/>
          </w:tcPr>
          <w:p>
            <w:pPr>
              <w:ind w:left="1040"/>
              <w:spacing w:after="0"/>
              <w:rPr>
                <w:sz w:val="20"/>
                <w:szCs w:val="20"/>
                <w:color w:val="auto"/>
              </w:rPr>
            </w:pPr>
            <w:r>
              <w:rPr>
                <w:rFonts w:ascii="Arial" w:cs="Arial" w:eastAsia="Arial" w:hAnsi="Arial"/>
                <w:sz w:val="14"/>
                <w:szCs w:val="14"/>
                <w:color w:val="auto"/>
              </w:rPr>
              <w:t>No</w:t>
            </w:r>
          </w:p>
        </w:tc>
        <w:tc>
          <w:tcPr>
            <w:tcW w:w="1300" w:type="dxa"/>
            <w:vAlign w:val="bottom"/>
          </w:tcPr>
          <w:p>
            <w:pPr>
              <w:ind w:left="56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3"/>
        </w:trPr>
        <w:tc>
          <w:tcPr>
            <w:tcW w:w="2960" w:type="dxa"/>
            <w:vAlign w:val="bottom"/>
            <w:vMerge w:val="restart"/>
          </w:tcPr>
          <w:p>
            <w:pPr>
              <w:spacing w:after="0"/>
              <w:rPr>
                <w:sz w:val="20"/>
                <w:szCs w:val="20"/>
                <w:color w:val="auto"/>
              </w:rPr>
            </w:pPr>
            <w:r>
              <w:rPr>
                <w:rFonts w:ascii="Arial" w:cs="Arial" w:eastAsia="Arial" w:hAnsi="Arial"/>
                <w:sz w:val="14"/>
                <w:szCs w:val="14"/>
                <w:color w:val="auto"/>
              </w:rPr>
              <w:t>Southern California Gas Company</w:t>
            </w:r>
          </w:p>
        </w:tc>
        <w:tc>
          <w:tcPr>
            <w:tcW w:w="4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960" w:type="dxa"/>
            <w:vAlign w:val="bottom"/>
            <w:vMerge w:val="continue"/>
          </w:tcPr>
          <w:p>
            <w:pPr>
              <w:spacing w:after="0"/>
              <w:rPr>
                <w:sz w:val="16"/>
                <w:szCs w:val="16"/>
                <w:color w:val="auto"/>
              </w:rPr>
            </w:pPr>
          </w:p>
        </w:tc>
        <w:tc>
          <w:tcPr>
            <w:tcW w:w="5920" w:type="dxa"/>
            <w:vAlign w:val="bottom"/>
            <w:gridSpan w:val="2"/>
          </w:tcPr>
          <w:p>
            <w:pPr>
              <w:ind w:left="4500"/>
              <w:spacing w:after="0"/>
              <w:rPr>
                <w:sz w:val="20"/>
                <w:szCs w:val="20"/>
                <w:color w:val="auto"/>
              </w:rPr>
            </w:pPr>
            <w:r>
              <w:rPr>
                <w:rFonts w:ascii="Arial" w:cs="Arial" w:eastAsia="Arial" w:hAnsi="Arial"/>
                <w:sz w:val="14"/>
                <w:szCs w:val="14"/>
                <w:color w:val="auto"/>
              </w:rPr>
              <w:t>Yes</w:t>
            </w:r>
          </w:p>
        </w:tc>
        <w:tc>
          <w:tcPr>
            <w:tcW w:w="1280" w:type="dxa"/>
            <w:vAlign w:val="bottom"/>
          </w:tcPr>
          <w:p>
            <w:pPr>
              <w:ind w:left="1040"/>
              <w:spacing w:after="0"/>
              <w:rPr>
                <w:sz w:val="20"/>
                <w:szCs w:val="20"/>
                <w:color w:val="auto"/>
              </w:rPr>
            </w:pPr>
            <w:r>
              <w:rPr>
                <w:rFonts w:ascii="Arial" w:cs="Arial" w:eastAsia="Arial" w:hAnsi="Arial"/>
                <w:sz w:val="14"/>
                <w:szCs w:val="14"/>
                <w:color w:val="auto"/>
              </w:rPr>
              <w:t>No</w:t>
            </w:r>
          </w:p>
        </w:tc>
        <w:tc>
          <w:tcPr>
            <w:tcW w:w="1300" w:type="dxa"/>
            <w:vAlign w:val="bottom"/>
          </w:tcPr>
          <w:p>
            <w:pPr>
              <w:ind w:left="56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3"/>
        </w:trPr>
        <w:tc>
          <w:tcPr>
            <w:tcW w:w="7720" w:type="dxa"/>
            <w:vAlign w:val="bottom"/>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0"/>
        </w:trPr>
        <w:tc>
          <w:tcPr>
            <w:tcW w:w="8880" w:type="dxa"/>
            <w:vAlign w:val="bottom"/>
            <w:gridSpan w:val="3"/>
          </w:tcPr>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960" w:type="dxa"/>
            <w:vAlign w:val="bottom"/>
          </w:tcPr>
          <w:p>
            <w:pPr>
              <w:spacing w:after="0"/>
              <w:rPr>
                <w:sz w:val="20"/>
                <w:szCs w:val="20"/>
                <w:color w:val="auto"/>
              </w:rPr>
            </w:pPr>
            <w:r>
              <w:rPr>
                <w:rFonts w:ascii="Arial" w:cs="Arial" w:eastAsia="Arial" w:hAnsi="Arial"/>
                <w:sz w:val="14"/>
                <w:szCs w:val="14"/>
                <w:color w:val="auto"/>
              </w:rPr>
              <w:t>Common stock outstanding on May 5, 2011:</w:t>
            </w:r>
          </w:p>
        </w:tc>
        <w:tc>
          <w:tcPr>
            <w:tcW w:w="4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960" w:type="dxa"/>
            <w:vAlign w:val="bottom"/>
          </w:tcPr>
          <w:p>
            <w:pPr>
              <w:spacing w:after="0"/>
              <w:rPr>
                <w:sz w:val="20"/>
                <w:szCs w:val="20"/>
                <w:color w:val="auto"/>
              </w:rPr>
            </w:pPr>
            <w:r>
              <w:rPr>
                <w:rFonts w:ascii="Arial" w:cs="Arial" w:eastAsia="Arial" w:hAnsi="Arial"/>
                <w:sz w:val="14"/>
                <w:szCs w:val="14"/>
                <w:color w:val="auto"/>
              </w:rPr>
              <w:t>Sempra Energy</w:t>
            </w:r>
          </w:p>
        </w:tc>
        <w:tc>
          <w:tcPr>
            <w:tcW w:w="5920" w:type="dxa"/>
            <w:vAlign w:val="bottom"/>
            <w:gridSpan w:val="2"/>
          </w:tcPr>
          <w:p>
            <w:pPr>
              <w:ind w:left="520"/>
              <w:spacing w:after="0"/>
              <w:rPr>
                <w:sz w:val="20"/>
                <w:szCs w:val="20"/>
                <w:color w:val="auto"/>
              </w:rPr>
            </w:pPr>
            <w:r>
              <w:rPr>
                <w:rFonts w:ascii="Arial" w:cs="Arial" w:eastAsia="Arial" w:hAnsi="Arial"/>
                <w:sz w:val="14"/>
                <w:szCs w:val="14"/>
                <w:color w:val="auto"/>
              </w:rPr>
              <w:t>239,445,387 shares</w:t>
            </w: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960" w:type="dxa"/>
            <w:vAlign w:val="bottom"/>
          </w:tcPr>
          <w:p>
            <w:pPr>
              <w:spacing w:after="0"/>
              <w:rPr>
                <w:sz w:val="20"/>
                <w:szCs w:val="20"/>
                <w:color w:val="auto"/>
              </w:rPr>
            </w:pPr>
            <w:r>
              <w:rPr>
                <w:rFonts w:ascii="Arial" w:cs="Arial" w:eastAsia="Arial" w:hAnsi="Arial"/>
                <w:sz w:val="14"/>
                <w:szCs w:val="14"/>
                <w:color w:val="auto"/>
              </w:rPr>
              <w:t>San Diego Gas &amp; Electric Company</w:t>
            </w:r>
          </w:p>
        </w:tc>
        <w:tc>
          <w:tcPr>
            <w:tcW w:w="5920" w:type="dxa"/>
            <w:vAlign w:val="bottom"/>
            <w:gridSpan w:val="2"/>
          </w:tcPr>
          <w:p>
            <w:pPr>
              <w:ind w:left="520"/>
              <w:spacing w:after="0"/>
              <w:rPr>
                <w:sz w:val="20"/>
                <w:szCs w:val="20"/>
                <w:color w:val="auto"/>
              </w:rPr>
            </w:pPr>
            <w:r>
              <w:rPr>
                <w:rFonts w:ascii="Arial" w:cs="Arial" w:eastAsia="Arial" w:hAnsi="Arial"/>
                <w:sz w:val="14"/>
                <w:szCs w:val="14"/>
                <w:color w:val="auto"/>
              </w:rPr>
              <w:t>Wholly owned by Enova Corporation, which is wholly owned by Sempra Energy</w:t>
            </w: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tcPr>
          <w:p>
            <w:pPr>
              <w:spacing w:after="0"/>
              <w:rPr>
                <w:sz w:val="20"/>
                <w:szCs w:val="20"/>
                <w:color w:val="auto"/>
              </w:rPr>
            </w:pPr>
            <w:r>
              <w:rPr>
                <w:rFonts w:ascii="Arial" w:cs="Arial" w:eastAsia="Arial" w:hAnsi="Arial"/>
                <w:sz w:val="14"/>
                <w:szCs w:val="14"/>
                <w:color w:val="auto"/>
              </w:rPr>
              <w:t>Pacific Enterprises</w:t>
            </w:r>
          </w:p>
        </w:tc>
        <w:tc>
          <w:tcPr>
            <w:tcW w:w="5920" w:type="dxa"/>
            <w:vAlign w:val="bottom"/>
            <w:gridSpan w:val="2"/>
          </w:tcPr>
          <w:p>
            <w:pPr>
              <w:ind w:left="520"/>
              <w:spacing w:after="0"/>
              <w:rPr>
                <w:sz w:val="20"/>
                <w:szCs w:val="20"/>
                <w:color w:val="auto"/>
              </w:rPr>
            </w:pPr>
            <w:r>
              <w:rPr>
                <w:rFonts w:ascii="Arial" w:cs="Arial" w:eastAsia="Arial" w:hAnsi="Arial"/>
                <w:sz w:val="14"/>
                <w:szCs w:val="14"/>
                <w:color w:val="auto"/>
              </w:rPr>
              <w:t>Wholly owned by Sempra Energy</w:t>
            </w: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tcPr>
          <w:p>
            <w:pPr>
              <w:spacing w:after="0"/>
              <w:rPr>
                <w:sz w:val="20"/>
                <w:szCs w:val="20"/>
                <w:color w:val="auto"/>
              </w:rPr>
            </w:pPr>
            <w:r>
              <w:rPr>
                <w:rFonts w:ascii="Arial" w:cs="Arial" w:eastAsia="Arial" w:hAnsi="Arial"/>
                <w:sz w:val="14"/>
                <w:szCs w:val="14"/>
                <w:color w:val="auto"/>
              </w:rPr>
              <w:t>Southern California Gas Company</w:t>
            </w:r>
          </w:p>
        </w:tc>
        <w:tc>
          <w:tcPr>
            <w:tcW w:w="5920" w:type="dxa"/>
            <w:vAlign w:val="bottom"/>
            <w:gridSpan w:val="2"/>
          </w:tcPr>
          <w:p>
            <w:pPr>
              <w:ind w:left="520"/>
              <w:spacing w:after="0"/>
              <w:rPr>
                <w:sz w:val="20"/>
                <w:szCs w:val="20"/>
                <w:color w:val="auto"/>
              </w:rPr>
            </w:pPr>
            <w:r>
              <w:rPr>
                <w:rFonts w:ascii="Arial" w:cs="Arial" w:eastAsia="Arial" w:hAnsi="Arial"/>
                <w:sz w:val="14"/>
                <w:szCs w:val="14"/>
                <w:color w:val="auto"/>
              </w:rPr>
              <w:t>Wholly owned by Pacific Enterprises, which is wholly owned by Sempra Energy</w:t>
            </w: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3"/>
        </w:trPr>
        <w:tc>
          <w:tcPr>
            <w:tcW w:w="29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770" w:right="219" w:bottom="1440" w:gutter="0" w:footer="0" w:header="0"/>
        </w:sectPr>
      </w:pPr>
    </w:p>
    <w:bookmarkStart w:id="3" w:name="page4"/>
    <w:bookmarkEnd w:id="3"/>
    <w:p>
      <w:pPr>
        <w:spacing w:after="0"/>
        <w:rPr>
          <w:sz w:val="20"/>
          <w:szCs w:val="20"/>
          <w:color w:val="auto"/>
        </w:rPr>
      </w:pPr>
      <w:r>
        <w:rPr>
          <w:rFonts w:ascii="Arial" w:cs="Arial" w:eastAsia="Arial" w:hAnsi="Arial"/>
          <w:sz w:val="19"/>
          <w:szCs w:val="19"/>
          <w:color w:val="auto"/>
        </w:rPr>
        <w:t>SEMPRA ENERGY FORM 10-Q</w:t>
      </w:r>
    </w:p>
    <w:p>
      <w:pPr>
        <w:spacing w:after="0" w:line="238" w:lineRule="auto"/>
        <w:rPr>
          <w:sz w:val="20"/>
          <w:szCs w:val="20"/>
          <w:color w:val="auto"/>
        </w:rPr>
      </w:pPr>
      <w:r>
        <w:rPr>
          <w:rFonts w:ascii="Arial" w:cs="Arial" w:eastAsia="Arial" w:hAnsi="Arial"/>
          <w:sz w:val="19"/>
          <w:szCs w:val="19"/>
          <w:color w:val="auto"/>
        </w:rPr>
        <w:t>SAN DIEGO GAS &amp; ELECTRIC COMPANY FORM 10-Q</w:t>
      </w:r>
    </w:p>
    <w:p>
      <w:pPr>
        <w:spacing w:after="0" w:line="238" w:lineRule="auto"/>
        <w:rPr>
          <w:sz w:val="20"/>
          <w:szCs w:val="20"/>
          <w:color w:val="auto"/>
        </w:rPr>
      </w:pPr>
      <w:r>
        <w:rPr>
          <w:rFonts w:ascii="Arial" w:cs="Arial" w:eastAsia="Arial" w:hAnsi="Arial"/>
          <w:sz w:val="19"/>
          <w:szCs w:val="19"/>
          <w:color w:val="auto"/>
        </w:rPr>
        <w:t>PACIFIC ENTERPRISES FORM 10-Q</w:t>
      </w:r>
    </w:p>
    <w:p>
      <w:pPr>
        <w:spacing w:after="0"/>
        <w:rPr>
          <w:sz w:val="20"/>
          <w:szCs w:val="20"/>
          <w:color w:val="auto"/>
        </w:rPr>
      </w:pPr>
      <w:r>
        <w:rPr>
          <w:rFonts w:ascii="Arial" w:cs="Arial" w:eastAsia="Arial" w:hAnsi="Arial"/>
          <w:sz w:val="19"/>
          <w:szCs w:val="19"/>
          <w:color w:val="auto"/>
        </w:rPr>
        <w:t>SOUTHERN CALIFORNIA GAS COMPANY FORM 10-Q</w:t>
      </w:r>
    </w:p>
    <w:p>
      <w:pPr>
        <w:spacing w:after="0" w:line="238" w:lineRule="auto"/>
        <w:rPr>
          <w:sz w:val="20"/>
          <w:szCs w:val="20"/>
          <w:color w:val="auto"/>
        </w:rPr>
      </w:pPr>
      <w:r>
        <w:rPr>
          <w:rFonts w:ascii="Arial" w:cs="Arial" w:eastAsia="Arial" w:hAnsi="Arial"/>
          <w:sz w:val="19"/>
          <w:szCs w:val="19"/>
          <w:color w:val="auto"/>
        </w:rPr>
        <w:t>TABLE OF CONTENTS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Information Regarding Forward-Looking Statements</w:t>
            </w:r>
          </w:p>
        </w:tc>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2"/>
                <w:szCs w:val="12"/>
                <w:i w:val="1"/>
                <w:iCs w:val="1"/>
                <w:color w:val="auto"/>
              </w:rPr>
              <w:t>Page</w:t>
            </w:r>
          </w:p>
        </w:tc>
        <w:tc>
          <w:tcPr>
            <w:tcW w:w="0" w:type="dxa"/>
            <w:vAlign w:val="bottom"/>
          </w:tcPr>
          <w:p>
            <w:pPr>
              <w:spacing w:after="0"/>
              <w:rPr>
                <w:sz w:val="1"/>
                <w:szCs w:val="1"/>
                <w:color w:val="auto"/>
              </w:rPr>
            </w:pPr>
          </w:p>
        </w:tc>
      </w:tr>
      <w:tr>
        <w:trPr>
          <w:trHeight w:val="148"/>
        </w:trPr>
        <w:tc>
          <w:tcPr>
            <w:tcW w:w="9700" w:type="dxa"/>
            <w:vAlign w:val="bottom"/>
            <w:gridSpan w:val="3"/>
            <w:vMerge w:val="continue"/>
          </w:tcPr>
          <w:p>
            <w:pPr>
              <w:spacing w:after="0"/>
              <w:rPr>
                <w:sz w:val="12"/>
                <w:szCs w:val="12"/>
                <w:color w:val="auto"/>
              </w:rPr>
            </w:pPr>
          </w:p>
        </w:tc>
        <w:tc>
          <w:tcPr>
            <w:tcW w:w="1760" w:type="dxa"/>
            <w:vAlign w:val="bottom"/>
          </w:tcPr>
          <w:p>
            <w:pPr>
              <w:jc w:val="center"/>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9680" w:type="dxa"/>
            <w:vAlign w:val="bottom"/>
            <w:tcBorders>
              <w:bottom w:val="single" w:sz="8" w:color="auto"/>
            </w:tcBorders>
            <w:gridSpan w:val="2"/>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9680" w:type="dxa"/>
            <w:vAlign w:val="bottom"/>
            <w:gridSpan w:val="2"/>
          </w:tcPr>
          <w:p>
            <w:pPr>
              <w:spacing w:after="0"/>
              <w:rPr>
                <w:sz w:val="20"/>
                <w:szCs w:val="20"/>
                <w:color w:val="auto"/>
              </w:rPr>
            </w:pPr>
            <w:r>
              <w:rPr>
                <w:rFonts w:ascii="Arial" w:cs="Arial" w:eastAsia="Arial" w:hAnsi="Arial"/>
                <w:sz w:val="12"/>
                <w:szCs w:val="12"/>
                <w:b w:val="1"/>
                <w:bCs w:val="1"/>
                <w:color w:val="auto"/>
              </w:rPr>
              <w:t>PART I – FINANCIAL INFORMATION</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980" w:type="dxa"/>
            <w:vAlign w:val="bottom"/>
            <w:gridSpan w:val="2"/>
          </w:tcPr>
          <w:p>
            <w:pPr>
              <w:spacing w:after="0" w:line="134" w:lineRule="exact"/>
              <w:rPr>
                <w:sz w:val="20"/>
                <w:szCs w:val="20"/>
                <w:color w:val="auto"/>
              </w:rPr>
            </w:pPr>
            <w:r>
              <w:rPr>
                <w:rFonts w:ascii="Arial" w:cs="Arial" w:eastAsia="Arial" w:hAnsi="Arial"/>
                <w:sz w:val="12"/>
                <w:szCs w:val="12"/>
                <w:color w:val="auto"/>
              </w:rPr>
              <w:t>Item 1.</w:t>
            </w:r>
          </w:p>
        </w:tc>
        <w:tc>
          <w:tcPr>
            <w:tcW w:w="7720" w:type="dxa"/>
            <w:vAlign w:val="bottom"/>
          </w:tcPr>
          <w:p>
            <w:pPr>
              <w:ind w:left="60"/>
              <w:spacing w:after="0" w:line="134" w:lineRule="exact"/>
              <w:rPr>
                <w:sz w:val="20"/>
                <w:szCs w:val="20"/>
                <w:color w:val="auto"/>
              </w:rPr>
            </w:pPr>
            <w:r>
              <w:rPr>
                <w:rFonts w:ascii="Arial" w:cs="Arial" w:eastAsia="Arial" w:hAnsi="Arial"/>
                <w:sz w:val="12"/>
                <w:szCs w:val="12"/>
                <w:color w:val="auto"/>
              </w:rPr>
              <w:t>Financial Statements</w:t>
            </w:r>
          </w:p>
        </w:tc>
        <w:tc>
          <w:tcPr>
            <w:tcW w:w="1760" w:type="dxa"/>
            <w:vAlign w:val="bottom"/>
          </w:tcPr>
          <w:p>
            <w:pPr>
              <w:jc w:val="center"/>
              <w:spacing w:after="0" w:line="134" w:lineRule="exact"/>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34"/>
        </w:trPr>
        <w:tc>
          <w:tcPr>
            <w:tcW w:w="1980" w:type="dxa"/>
            <w:vAlign w:val="bottom"/>
            <w:gridSpan w:val="2"/>
          </w:tcPr>
          <w:p>
            <w:pPr>
              <w:spacing w:after="0" w:line="134" w:lineRule="exact"/>
              <w:rPr>
                <w:sz w:val="20"/>
                <w:szCs w:val="20"/>
                <w:color w:val="auto"/>
              </w:rPr>
            </w:pPr>
            <w:r>
              <w:rPr>
                <w:rFonts w:ascii="Arial" w:cs="Arial" w:eastAsia="Arial" w:hAnsi="Arial"/>
                <w:sz w:val="12"/>
                <w:szCs w:val="12"/>
                <w:color w:val="auto"/>
              </w:rPr>
              <w:t>Item 2.</w:t>
            </w:r>
          </w:p>
        </w:tc>
        <w:tc>
          <w:tcPr>
            <w:tcW w:w="7720" w:type="dxa"/>
            <w:vAlign w:val="bottom"/>
          </w:tcPr>
          <w:p>
            <w:pPr>
              <w:ind w:left="60"/>
              <w:spacing w:after="0" w:line="134" w:lineRule="exact"/>
              <w:rPr>
                <w:sz w:val="20"/>
                <w:szCs w:val="20"/>
                <w:color w:val="auto"/>
              </w:rPr>
            </w:pPr>
            <w:r>
              <w:rPr>
                <w:rFonts w:ascii="Arial" w:cs="Arial" w:eastAsia="Arial" w:hAnsi="Arial"/>
                <w:sz w:val="12"/>
                <w:szCs w:val="12"/>
                <w:color w:val="auto"/>
              </w:rPr>
              <w:t>Management’s Discussion and Analysis of Financial Condition and Results of Operations</w:t>
            </w:r>
          </w:p>
        </w:tc>
        <w:tc>
          <w:tcPr>
            <w:tcW w:w="1760" w:type="dxa"/>
            <w:vAlign w:val="bottom"/>
          </w:tcPr>
          <w:p>
            <w:pPr>
              <w:jc w:val="center"/>
              <w:spacing w:after="0" w:line="134" w:lineRule="exact"/>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34"/>
        </w:trPr>
        <w:tc>
          <w:tcPr>
            <w:tcW w:w="1980" w:type="dxa"/>
            <w:vAlign w:val="bottom"/>
            <w:gridSpan w:val="2"/>
          </w:tcPr>
          <w:p>
            <w:pPr>
              <w:spacing w:after="0" w:line="134" w:lineRule="exact"/>
              <w:rPr>
                <w:sz w:val="20"/>
                <w:szCs w:val="20"/>
                <w:color w:val="auto"/>
              </w:rPr>
            </w:pPr>
            <w:r>
              <w:rPr>
                <w:rFonts w:ascii="Arial" w:cs="Arial" w:eastAsia="Arial" w:hAnsi="Arial"/>
                <w:sz w:val="12"/>
                <w:szCs w:val="12"/>
                <w:color w:val="auto"/>
              </w:rPr>
              <w:t>Item 3.</w:t>
            </w:r>
          </w:p>
        </w:tc>
        <w:tc>
          <w:tcPr>
            <w:tcW w:w="7720" w:type="dxa"/>
            <w:vAlign w:val="bottom"/>
          </w:tcPr>
          <w:p>
            <w:pPr>
              <w:ind w:left="60"/>
              <w:spacing w:after="0" w:line="134" w:lineRule="exact"/>
              <w:rPr>
                <w:sz w:val="20"/>
                <w:szCs w:val="20"/>
                <w:color w:val="auto"/>
              </w:rPr>
            </w:pPr>
            <w:r>
              <w:rPr>
                <w:rFonts w:ascii="Arial" w:cs="Arial" w:eastAsia="Arial" w:hAnsi="Arial"/>
                <w:sz w:val="12"/>
                <w:szCs w:val="12"/>
                <w:color w:val="auto"/>
              </w:rPr>
              <w:t>Quantitative and Qualitative Disclosures About Market Risk</w:t>
            </w:r>
          </w:p>
        </w:tc>
        <w:tc>
          <w:tcPr>
            <w:tcW w:w="1760" w:type="dxa"/>
            <w:vAlign w:val="bottom"/>
          </w:tcPr>
          <w:p>
            <w:pPr>
              <w:jc w:val="center"/>
              <w:spacing w:after="0" w:line="134" w:lineRule="exact"/>
              <w:rPr>
                <w:sz w:val="20"/>
                <w:szCs w:val="20"/>
                <w:color w:val="auto"/>
              </w:rPr>
            </w:pPr>
            <w:r>
              <w:rPr>
                <w:rFonts w:ascii="Arial" w:cs="Arial" w:eastAsia="Arial" w:hAnsi="Arial"/>
                <w:sz w:val="12"/>
                <w:szCs w:val="12"/>
                <w:color w:val="auto"/>
              </w:rPr>
              <w:t>83</w:t>
            </w:r>
          </w:p>
        </w:tc>
        <w:tc>
          <w:tcPr>
            <w:tcW w:w="0" w:type="dxa"/>
            <w:vAlign w:val="bottom"/>
          </w:tcPr>
          <w:p>
            <w:pPr>
              <w:spacing w:after="0"/>
              <w:rPr>
                <w:sz w:val="1"/>
                <w:szCs w:val="1"/>
                <w:color w:val="auto"/>
              </w:rPr>
            </w:pPr>
          </w:p>
        </w:tc>
      </w:tr>
      <w:tr>
        <w:trPr>
          <w:trHeight w:val="148"/>
        </w:trPr>
        <w:tc>
          <w:tcPr>
            <w:tcW w:w="1980" w:type="dxa"/>
            <w:vAlign w:val="bottom"/>
            <w:gridSpan w:val="2"/>
          </w:tcPr>
          <w:p>
            <w:pPr>
              <w:spacing w:after="0"/>
              <w:rPr>
                <w:sz w:val="20"/>
                <w:szCs w:val="20"/>
                <w:color w:val="auto"/>
              </w:rPr>
            </w:pPr>
            <w:r>
              <w:rPr>
                <w:rFonts w:ascii="Arial" w:cs="Arial" w:eastAsia="Arial" w:hAnsi="Arial"/>
                <w:sz w:val="12"/>
                <w:szCs w:val="12"/>
                <w:color w:val="auto"/>
              </w:rPr>
              <w:t>Item 4.</w:t>
            </w:r>
          </w:p>
        </w:tc>
        <w:tc>
          <w:tcPr>
            <w:tcW w:w="7720" w:type="dxa"/>
            <w:vAlign w:val="bottom"/>
          </w:tcPr>
          <w:p>
            <w:pPr>
              <w:ind w:left="60"/>
              <w:spacing w:after="0"/>
              <w:rPr>
                <w:sz w:val="20"/>
                <w:szCs w:val="20"/>
                <w:color w:val="auto"/>
              </w:rPr>
            </w:pPr>
            <w:r>
              <w:rPr>
                <w:rFonts w:ascii="Arial" w:cs="Arial" w:eastAsia="Arial" w:hAnsi="Arial"/>
                <w:sz w:val="12"/>
                <w:szCs w:val="12"/>
                <w:color w:val="auto"/>
              </w:rPr>
              <w:t>Controls and Procedures</w:t>
            </w:r>
          </w:p>
        </w:tc>
        <w:tc>
          <w:tcPr>
            <w:tcW w:w="1760" w:type="dxa"/>
            <w:vAlign w:val="bottom"/>
          </w:tcPr>
          <w:p>
            <w:pPr>
              <w:jc w:val="center"/>
              <w:spacing w:after="0"/>
              <w:rPr>
                <w:sz w:val="20"/>
                <w:szCs w:val="20"/>
                <w:color w:val="auto"/>
              </w:rPr>
            </w:pPr>
            <w:r>
              <w:rPr>
                <w:rFonts w:ascii="Arial" w:cs="Arial" w:eastAsia="Arial" w:hAnsi="Arial"/>
                <w:sz w:val="12"/>
                <w:szCs w:val="12"/>
                <w:color w:val="auto"/>
              </w:rPr>
              <w:t>84</w:t>
            </w:r>
          </w:p>
        </w:tc>
        <w:tc>
          <w:tcPr>
            <w:tcW w:w="0" w:type="dxa"/>
            <w:vAlign w:val="bottom"/>
          </w:tcPr>
          <w:p>
            <w:pPr>
              <w:spacing w:after="0"/>
              <w:rPr>
                <w:sz w:val="1"/>
                <w:szCs w:val="1"/>
                <w:color w:val="auto"/>
              </w:rPr>
            </w:pPr>
          </w:p>
        </w:tc>
      </w:tr>
      <w:tr>
        <w:trPr>
          <w:trHeight w:val="161"/>
        </w:trPr>
        <w:tc>
          <w:tcPr>
            <w:tcW w:w="1980" w:type="dxa"/>
            <w:vAlign w:val="bottom"/>
            <w:tcBorders>
              <w:bottom w:val="single" w:sz="8" w:color="auto"/>
            </w:tcBorders>
            <w:gridSpan w:val="2"/>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80" w:type="dxa"/>
            <w:vAlign w:val="bottom"/>
            <w:gridSpan w:val="2"/>
          </w:tcPr>
          <w:p>
            <w:pPr>
              <w:spacing w:after="0"/>
              <w:rPr>
                <w:sz w:val="20"/>
                <w:szCs w:val="20"/>
                <w:color w:val="auto"/>
              </w:rPr>
            </w:pPr>
            <w:r>
              <w:rPr>
                <w:rFonts w:ascii="Arial" w:cs="Arial" w:eastAsia="Arial" w:hAnsi="Arial"/>
                <w:sz w:val="12"/>
                <w:szCs w:val="12"/>
                <w:b w:val="1"/>
                <w:bCs w:val="1"/>
                <w:color w:val="auto"/>
              </w:rPr>
              <w:t>PART II – OTHER INFORMATION</w:t>
            </w:r>
          </w:p>
        </w:tc>
        <w:tc>
          <w:tcPr>
            <w:tcW w:w="77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980" w:type="dxa"/>
            <w:vAlign w:val="bottom"/>
            <w:gridSpan w:val="2"/>
          </w:tcPr>
          <w:p>
            <w:pPr>
              <w:spacing w:after="0" w:line="134" w:lineRule="exact"/>
              <w:rPr>
                <w:sz w:val="20"/>
                <w:szCs w:val="20"/>
                <w:color w:val="auto"/>
              </w:rPr>
            </w:pPr>
            <w:r>
              <w:rPr>
                <w:rFonts w:ascii="Arial" w:cs="Arial" w:eastAsia="Arial" w:hAnsi="Arial"/>
                <w:sz w:val="12"/>
                <w:szCs w:val="12"/>
                <w:color w:val="auto"/>
              </w:rPr>
              <w:t>Item 1.</w:t>
            </w:r>
          </w:p>
        </w:tc>
        <w:tc>
          <w:tcPr>
            <w:tcW w:w="7720" w:type="dxa"/>
            <w:vAlign w:val="bottom"/>
          </w:tcPr>
          <w:p>
            <w:pPr>
              <w:ind w:left="60"/>
              <w:spacing w:after="0" w:line="134" w:lineRule="exact"/>
              <w:rPr>
                <w:sz w:val="20"/>
                <w:szCs w:val="20"/>
                <w:color w:val="auto"/>
              </w:rPr>
            </w:pPr>
            <w:r>
              <w:rPr>
                <w:rFonts w:ascii="Arial" w:cs="Arial" w:eastAsia="Arial" w:hAnsi="Arial"/>
                <w:sz w:val="12"/>
                <w:szCs w:val="12"/>
                <w:color w:val="auto"/>
              </w:rPr>
              <w:t>Legal Proceedings</w:t>
            </w:r>
          </w:p>
        </w:tc>
        <w:tc>
          <w:tcPr>
            <w:tcW w:w="1760" w:type="dxa"/>
            <w:vAlign w:val="bottom"/>
          </w:tcPr>
          <w:p>
            <w:pPr>
              <w:jc w:val="center"/>
              <w:spacing w:after="0" w:line="134" w:lineRule="exact"/>
              <w:rPr>
                <w:sz w:val="20"/>
                <w:szCs w:val="20"/>
                <w:color w:val="auto"/>
              </w:rPr>
            </w:pPr>
            <w:r>
              <w:rPr>
                <w:rFonts w:ascii="Arial" w:cs="Arial" w:eastAsia="Arial" w:hAnsi="Arial"/>
                <w:sz w:val="12"/>
                <w:szCs w:val="12"/>
                <w:color w:val="auto"/>
              </w:rPr>
              <w:t>85</w:t>
            </w:r>
          </w:p>
        </w:tc>
        <w:tc>
          <w:tcPr>
            <w:tcW w:w="0" w:type="dxa"/>
            <w:vAlign w:val="bottom"/>
          </w:tcPr>
          <w:p>
            <w:pPr>
              <w:spacing w:after="0"/>
              <w:rPr>
                <w:sz w:val="1"/>
                <w:szCs w:val="1"/>
                <w:color w:val="auto"/>
              </w:rPr>
            </w:pPr>
          </w:p>
        </w:tc>
      </w:tr>
      <w:tr>
        <w:trPr>
          <w:trHeight w:val="134"/>
        </w:trPr>
        <w:tc>
          <w:tcPr>
            <w:tcW w:w="1980" w:type="dxa"/>
            <w:vAlign w:val="bottom"/>
            <w:gridSpan w:val="2"/>
          </w:tcPr>
          <w:p>
            <w:pPr>
              <w:spacing w:after="0" w:line="134" w:lineRule="exact"/>
              <w:rPr>
                <w:sz w:val="20"/>
                <w:szCs w:val="20"/>
                <w:color w:val="auto"/>
              </w:rPr>
            </w:pPr>
            <w:r>
              <w:rPr>
                <w:rFonts w:ascii="Arial" w:cs="Arial" w:eastAsia="Arial" w:hAnsi="Arial"/>
                <w:sz w:val="12"/>
                <w:szCs w:val="12"/>
                <w:color w:val="auto"/>
              </w:rPr>
              <w:t>Item 1A.</w:t>
            </w:r>
          </w:p>
        </w:tc>
        <w:tc>
          <w:tcPr>
            <w:tcW w:w="7720" w:type="dxa"/>
            <w:vAlign w:val="bottom"/>
          </w:tcPr>
          <w:p>
            <w:pPr>
              <w:ind w:left="60"/>
              <w:spacing w:after="0" w:line="134" w:lineRule="exact"/>
              <w:rPr>
                <w:sz w:val="20"/>
                <w:szCs w:val="20"/>
                <w:color w:val="auto"/>
              </w:rPr>
            </w:pPr>
            <w:r>
              <w:rPr>
                <w:rFonts w:ascii="Arial" w:cs="Arial" w:eastAsia="Arial" w:hAnsi="Arial"/>
                <w:sz w:val="12"/>
                <w:szCs w:val="12"/>
                <w:color w:val="auto"/>
              </w:rPr>
              <w:t>Risk Factors</w:t>
            </w:r>
          </w:p>
        </w:tc>
        <w:tc>
          <w:tcPr>
            <w:tcW w:w="1760" w:type="dxa"/>
            <w:vAlign w:val="bottom"/>
          </w:tcPr>
          <w:p>
            <w:pPr>
              <w:jc w:val="center"/>
              <w:spacing w:after="0" w:line="134" w:lineRule="exact"/>
              <w:rPr>
                <w:sz w:val="20"/>
                <w:szCs w:val="20"/>
                <w:color w:val="auto"/>
              </w:rPr>
            </w:pPr>
            <w:r>
              <w:rPr>
                <w:rFonts w:ascii="Arial" w:cs="Arial" w:eastAsia="Arial" w:hAnsi="Arial"/>
                <w:sz w:val="12"/>
                <w:szCs w:val="12"/>
                <w:color w:val="auto"/>
              </w:rPr>
              <w:t>85</w:t>
            </w:r>
          </w:p>
        </w:tc>
        <w:tc>
          <w:tcPr>
            <w:tcW w:w="0" w:type="dxa"/>
            <w:vAlign w:val="bottom"/>
          </w:tcPr>
          <w:p>
            <w:pPr>
              <w:spacing w:after="0"/>
              <w:rPr>
                <w:sz w:val="1"/>
                <w:szCs w:val="1"/>
                <w:color w:val="auto"/>
              </w:rPr>
            </w:pPr>
          </w:p>
        </w:tc>
      </w:tr>
      <w:tr>
        <w:trPr>
          <w:trHeight w:val="134"/>
        </w:trPr>
        <w:tc>
          <w:tcPr>
            <w:tcW w:w="1980" w:type="dxa"/>
            <w:vAlign w:val="bottom"/>
            <w:gridSpan w:val="2"/>
          </w:tcPr>
          <w:p>
            <w:pPr>
              <w:spacing w:after="0" w:line="134" w:lineRule="exact"/>
              <w:rPr>
                <w:sz w:val="20"/>
                <w:szCs w:val="20"/>
                <w:color w:val="auto"/>
              </w:rPr>
            </w:pPr>
            <w:r>
              <w:rPr>
                <w:rFonts w:ascii="Arial" w:cs="Arial" w:eastAsia="Arial" w:hAnsi="Arial"/>
                <w:sz w:val="12"/>
                <w:szCs w:val="12"/>
                <w:color w:val="auto"/>
              </w:rPr>
              <w:t>Item 2.</w:t>
            </w:r>
          </w:p>
        </w:tc>
        <w:tc>
          <w:tcPr>
            <w:tcW w:w="7720" w:type="dxa"/>
            <w:vAlign w:val="bottom"/>
          </w:tcPr>
          <w:p>
            <w:pPr>
              <w:ind w:left="60"/>
              <w:spacing w:after="0" w:line="134" w:lineRule="exact"/>
              <w:rPr>
                <w:sz w:val="20"/>
                <w:szCs w:val="20"/>
                <w:color w:val="auto"/>
              </w:rPr>
            </w:pPr>
            <w:r>
              <w:rPr>
                <w:rFonts w:ascii="Arial" w:cs="Arial" w:eastAsia="Arial" w:hAnsi="Arial"/>
                <w:sz w:val="12"/>
                <w:szCs w:val="12"/>
                <w:color w:val="auto"/>
              </w:rPr>
              <w:t>Unregistered Sales of Equity Securities and Use of Proceeds</w:t>
            </w:r>
          </w:p>
        </w:tc>
        <w:tc>
          <w:tcPr>
            <w:tcW w:w="1760" w:type="dxa"/>
            <w:vAlign w:val="bottom"/>
          </w:tcPr>
          <w:p>
            <w:pPr>
              <w:jc w:val="center"/>
              <w:spacing w:after="0" w:line="134" w:lineRule="exact"/>
              <w:rPr>
                <w:sz w:val="20"/>
                <w:szCs w:val="20"/>
                <w:color w:val="auto"/>
              </w:rPr>
            </w:pPr>
            <w:r>
              <w:rPr>
                <w:rFonts w:ascii="Arial" w:cs="Arial" w:eastAsia="Arial" w:hAnsi="Arial"/>
                <w:sz w:val="12"/>
                <w:szCs w:val="12"/>
                <w:color w:val="auto"/>
              </w:rPr>
              <w:t>85</w:t>
            </w:r>
          </w:p>
        </w:tc>
        <w:tc>
          <w:tcPr>
            <w:tcW w:w="0" w:type="dxa"/>
            <w:vAlign w:val="bottom"/>
          </w:tcPr>
          <w:p>
            <w:pPr>
              <w:spacing w:after="0"/>
              <w:rPr>
                <w:sz w:val="1"/>
                <w:szCs w:val="1"/>
                <w:color w:val="auto"/>
              </w:rPr>
            </w:pPr>
          </w:p>
        </w:tc>
      </w:tr>
      <w:tr>
        <w:trPr>
          <w:trHeight w:val="148"/>
        </w:trPr>
        <w:tc>
          <w:tcPr>
            <w:tcW w:w="1980" w:type="dxa"/>
            <w:vAlign w:val="bottom"/>
            <w:gridSpan w:val="2"/>
          </w:tcPr>
          <w:p>
            <w:pPr>
              <w:spacing w:after="0"/>
              <w:rPr>
                <w:sz w:val="20"/>
                <w:szCs w:val="20"/>
                <w:color w:val="auto"/>
              </w:rPr>
            </w:pPr>
            <w:r>
              <w:rPr>
                <w:rFonts w:ascii="Arial" w:cs="Arial" w:eastAsia="Arial" w:hAnsi="Arial"/>
                <w:sz w:val="12"/>
                <w:szCs w:val="12"/>
                <w:color w:val="auto"/>
              </w:rPr>
              <w:t>Item 6.</w:t>
            </w:r>
          </w:p>
        </w:tc>
        <w:tc>
          <w:tcPr>
            <w:tcW w:w="7720" w:type="dxa"/>
            <w:vAlign w:val="bottom"/>
          </w:tcPr>
          <w:p>
            <w:pPr>
              <w:ind w:left="60"/>
              <w:spacing w:after="0"/>
              <w:rPr>
                <w:sz w:val="20"/>
                <w:szCs w:val="20"/>
                <w:color w:val="auto"/>
              </w:rPr>
            </w:pPr>
            <w:r>
              <w:rPr>
                <w:rFonts w:ascii="Arial" w:cs="Arial" w:eastAsia="Arial" w:hAnsi="Arial"/>
                <w:sz w:val="12"/>
                <w:szCs w:val="12"/>
                <w:color w:val="auto"/>
              </w:rPr>
              <w:t>Exhibits</w:t>
            </w:r>
          </w:p>
        </w:tc>
        <w:tc>
          <w:tcPr>
            <w:tcW w:w="1760" w:type="dxa"/>
            <w:vAlign w:val="bottom"/>
          </w:tcPr>
          <w:p>
            <w:pPr>
              <w:jc w:val="center"/>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300"/>
        </w:trPr>
        <w:tc>
          <w:tcPr>
            <w:tcW w:w="1980" w:type="dxa"/>
            <w:vAlign w:val="bottom"/>
            <w:gridSpan w:val="2"/>
          </w:tcPr>
          <w:p>
            <w:pPr>
              <w:spacing w:after="0"/>
              <w:rPr>
                <w:sz w:val="20"/>
                <w:szCs w:val="20"/>
                <w:color w:val="auto"/>
              </w:rPr>
            </w:pPr>
            <w:r>
              <w:rPr>
                <w:rFonts w:ascii="Arial" w:cs="Arial" w:eastAsia="Arial" w:hAnsi="Arial"/>
                <w:sz w:val="12"/>
                <w:szCs w:val="12"/>
                <w:color w:val="auto"/>
              </w:rPr>
              <w:t>Signatures</w:t>
            </w:r>
          </w:p>
        </w:tc>
        <w:tc>
          <w:tcPr>
            <w:tcW w:w="77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2"/>
                <w:szCs w:val="12"/>
                <w:color w:val="auto"/>
              </w:rPr>
              <w:t>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101600</wp:posOffset>
            </wp:positionV>
            <wp:extent cx="7279005"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spacing w:after="0" w:line="299" w:lineRule="exact"/>
        <w:rPr>
          <w:sz w:val="20"/>
          <w:szCs w:val="20"/>
          <w:color w:val="auto"/>
        </w:rPr>
      </w:pPr>
    </w:p>
    <w:p>
      <w:pPr>
        <w:ind w:left="380" w:right="80"/>
        <w:spacing w:after="0" w:line="265" w:lineRule="auto"/>
        <w:rPr>
          <w:sz w:val="20"/>
          <w:szCs w:val="20"/>
          <w:color w:val="auto"/>
        </w:rPr>
      </w:pPr>
      <w:r>
        <w:rPr>
          <w:rFonts w:ascii="Arial" w:cs="Arial" w:eastAsia="Arial" w:hAnsi="Arial"/>
          <w:sz w:val="11"/>
          <w:szCs w:val="11"/>
          <w:b w:val="1"/>
          <w:bCs w:val="1"/>
          <w:color w:val="auto"/>
        </w:rPr>
        <w:t>This combined Form 10-Q is separately filed by Sempra Energy, San Diego Gas &amp; Electric Company, Pacific Enterprises and Southern California Gas Company. Information contained herein relating to any individual company is filed by such company on its own behalf. Each company makes representations only as to itself and makes no other representation whatsoever as to any other company.</w:t>
      </w:r>
    </w:p>
    <w:p>
      <w:pPr>
        <w:spacing w:after="0" w:line="93" w:lineRule="exact"/>
        <w:rPr>
          <w:sz w:val="20"/>
          <w:szCs w:val="20"/>
          <w:color w:val="auto"/>
        </w:rPr>
      </w:pPr>
    </w:p>
    <w:p>
      <w:pPr>
        <w:jc w:val="both"/>
        <w:ind w:left="380" w:right="300"/>
        <w:spacing w:after="0" w:line="250" w:lineRule="auto"/>
        <w:rPr>
          <w:sz w:val="20"/>
          <w:szCs w:val="20"/>
          <w:color w:val="auto"/>
        </w:rPr>
      </w:pPr>
      <w:r>
        <w:rPr>
          <w:rFonts w:ascii="Arial" w:cs="Arial" w:eastAsia="Arial" w:hAnsi="Arial"/>
          <w:sz w:val="11"/>
          <w:szCs w:val="11"/>
          <w:b w:val="1"/>
          <w:bCs w:val="1"/>
          <w:color w:val="auto"/>
        </w:rPr>
        <w:t>You should read this report in its entirety as it pertains to each respective reporting company. No one section of the report deals with all aspects of the subject matter. Separate Part I - Item 1 sections are provided for each reporting company, except for the Notes to Condensed Consolidated Financial Statements. The Notes to Condensed Consolidated Financial Statements for all of the reporting companies are combined. All Items other than Part I – Item 1 are combined for the reporting companies.</w:t>
      </w:r>
    </w:p>
    <w:p>
      <w:pPr>
        <w:sectPr>
          <w:pgSz w:w="11900" w:h="16838" w:orient="portrait"/>
          <w:cols w:equalWidth="0" w:num="1">
            <w:col w:w="11460"/>
          </w:cols>
          <w:pgMar w:left="220" w:top="439" w:right="219" w:bottom="1440" w:gutter="0" w:footer="0" w:header="0"/>
        </w:sectPr>
      </w:pPr>
    </w:p>
    <w:bookmarkStart w:id="4" w:name="page5"/>
    <w:bookmarkEnd w:id="4"/>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436880</wp:posOffset>
            </wp:positionV>
            <wp:extent cx="729170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705" cy="6350"/>
                    </a:xfrm>
                    <a:prstGeom prst="rect">
                      <a:avLst/>
                    </a:prstGeom>
                    <a:noFill/>
                  </pic:spPr>
                </pic:pic>
              </a:graphicData>
            </a:graphic>
          </wp:anchor>
        </w:drawing>
        <w:t>INFORMATION REGARDING FORWARD-LOOKING STATEMENTS</w:t>
      </w:r>
    </w:p>
    <w:p>
      <w:pPr>
        <w:spacing w:after="0" w:line="150"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make statements in this report that are not historical fact and constitute forward-looking statements within the meaning of the Private Securities Litigation Reform Act of 1995. Forward-looking statements are necessarily based upon assumptions with respect to the future, involve risks and uncertainties, and are not guarantees of performance. These forward-looking statements represent our estimates and assumptions only as of the date of this report.</w:t>
      </w:r>
    </w:p>
    <w:p>
      <w:pPr>
        <w:spacing w:after="0" w:line="146" w:lineRule="exact"/>
        <w:rPr>
          <w:sz w:val="20"/>
          <w:szCs w:val="20"/>
          <w:color w:val="auto"/>
        </w:rPr>
      </w:pPr>
    </w:p>
    <w:p>
      <w:pPr>
        <w:ind w:right="220"/>
        <w:spacing w:after="0" w:line="267" w:lineRule="auto"/>
        <w:rPr>
          <w:sz w:val="20"/>
          <w:szCs w:val="20"/>
          <w:color w:val="auto"/>
        </w:rPr>
      </w:pPr>
      <w:r>
        <w:rPr>
          <w:rFonts w:ascii="Arial" w:cs="Arial" w:eastAsia="Arial" w:hAnsi="Arial"/>
          <w:sz w:val="14"/>
          <w:szCs w:val="14"/>
          <w:color w:val="auto"/>
        </w:rPr>
        <w:t>In this report, when we use words such as "believes," "expects," "anticipates," "plans," "estimates," "projects," "contemplates," "intends," "depends," "should," "could," "would," "will," "may," "potential," "target," "goals," or similar expressions, or when we discuss our strategy, plans or intentions, we are making forward-looking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Factors, among others, that could cause our actual results and future actions to differ materially from those described in forward-looking statements include</w:t>
      </w:r>
    </w:p>
    <w:p>
      <w:pPr>
        <w:spacing w:after="0" w:line="170" w:lineRule="exact"/>
        <w:rPr>
          <w:sz w:val="20"/>
          <w:szCs w:val="20"/>
          <w:color w:val="auto"/>
        </w:rPr>
      </w:pPr>
    </w:p>
    <w:p>
      <w:pPr>
        <w:ind w:left="260" w:hanging="14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local, regional, national and international economic, competitive, political, legislative and regulatory conditions and developments;</w:t>
      </w:r>
    </w:p>
    <w:p>
      <w:pPr>
        <w:spacing w:after="0" w:line="190" w:lineRule="exact"/>
        <w:rPr>
          <w:rFonts w:ascii="Arial" w:cs="Arial" w:eastAsia="Arial" w:hAnsi="Arial"/>
          <w:sz w:val="14"/>
          <w:szCs w:val="14"/>
          <w:color w:val="auto"/>
        </w:rPr>
      </w:pPr>
    </w:p>
    <w:p>
      <w:pPr>
        <w:ind w:left="260" w:hanging="147"/>
        <w:spacing w:after="0" w:line="267" w:lineRule="auto"/>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actions by the California Public Utilities Commission, California State Legislature, Federal Energy Regulatory Commission, Nuclear Regulatory Commission, California Energy Commission, California Air Resources Board, and other regulatory, governmental and environmental bodies in the United States and other countries in which we operate;</w:t>
      </w:r>
    </w:p>
    <w:p>
      <w:pPr>
        <w:spacing w:after="0" w:line="158" w:lineRule="exact"/>
        <w:rPr>
          <w:rFonts w:ascii="Arial" w:cs="Arial" w:eastAsia="Arial" w:hAnsi="Arial"/>
          <w:sz w:val="14"/>
          <w:szCs w:val="14"/>
          <w:color w:val="auto"/>
        </w:rPr>
      </w:pPr>
    </w:p>
    <w:p>
      <w:pPr>
        <w:ind w:left="260" w:hanging="14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capital markets conditions and inflation, interest and exchange rates;</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energy markets, including the timing and extent of changes and volatility in commodity prices;</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availability of electric power, natural gas and liquefied natural gas;</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weather conditions and conservation efforts;</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war and terrorist attacks;</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business, regulatory, environmental and legal decisions and requirements;</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status of deregulation of retail natural gas and electricity delivery;</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timing and success of business development efforts;</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resolution of litigation; and</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uncertainties, all of which are difficult to predict and many of which are beyond our control.</w:t>
      </w:r>
    </w:p>
    <w:p>
      <w:pPr>
        <w:spacing w:after="0" w:line="190"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We caution you not to rely unduly on any forward-looking statements. You should review and consider carefully the risks, uncertainties and other factors that affect our business as described in this report and in our Annual Report on Form 10-K and other reports that we file with the Securities and Exchange Commission.</w:t>
      </w:r>
    </w:p>
    <w:p>
      <w:pPr>
        <w:sectPr>
          <w:pgSz w:w="11900" w:h="16838" w:orient="portrait"/>
          <w:cols w:equalWidth="0" w:num="1">
            <w:col w:w="11460"/>
          </w:cols>
          <w:pgMar w:left="220" w:top="778" w:right="219" w:bottom="1440" w:gutter="0" w:footer="0" w:header="0"/>
        </w:sectPr>
      </w:pPr>
    </w:p>
    <w:bookmarkStart w:id="5" w:name="page6"/>
    <w:bookmarkEnd w:id="5"/>
    <w:p>
      <w:pPr>
        <w:spacing w:after="0" w:line="267" w:lineRule="auto"/>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PART I – FINANCIAL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255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9005" cy="25590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(Dollars in millions, except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04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1"/>
                <w:szCs w:val="11"/>
                <w:color w:val="auto"/>
              </w:rPr>
              <w:t>Three months ended March 31,</w:t>
            </w: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2011</w:t>
            </w:r>
          </w:p>
        </w:tc>
        <w:tc>
          <w:tcPr>
            <w:tcW w:w="7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color w:val="auto"/>
              </w:rPr>
              <w:t>2010</w:t>
            </w: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040" w:type="dxa"/>
            <w:vAlign w:val="bottom"/>
            <w:vMerge w:val="restart"/>
          </w:tcPr>
          <w:p>
            <w:pPr>
              <w:spacing w:after="0"/>
              <w:rPr>
                <w:sz w:val="20"/>
                <w:szCs w:val="20"/>
                <w:color w:val="auto"/>
              </w:rPr>
            </w:pPr>
            <w:r>
              <w:rPr>
                <w:rFonts w:ascii="Arial" w:cs="Arial" w:eastAsia="Arial" w:hAnsi="Arial"/>
                <w:sz w:val="12"/>
                <w:szCs w:val="12"/>
                <w:color w:val="auto"/>
              </w:rPr>
              <w:t>REVENUES</w:t>
            </w:r>
          </w:p>
        </w:tc>
        <w:tc>
          <w:tcPr>
            <w:tcW w:w="920" w:type="dxa"/>
            <w:vAlign w:val="bottom"/>
          </w:tcPr>
          <w:p>
            <w:pPr>
              <w:spacing w:after="0"/>
              <w:rPr>
                <w:sz w:val="12"/>
                <w:szCs w:val="12"/>
                <w:color w:val="auto"/>
              </w:rPr>
            </w:pPr>
          </w:p>
        </w:tc>
        <w:tc>
          <w:tcPr>
            <w:tcW w:w="1860" w:type="dxa"/>
            <w:vAlign w:val="bottom"/>
            <w:gridSpan w:val="2"/>
          </w:tcPr>
          <w:p>
            <w:pPr>
              <w:jc w:val="right"/>
              <w:ind w:right="739"/>
              <w:spacing w:after="0"/>
              <w:rPr>
                <w:sz w:val="20"/>
                <w:szCs w:val="20"/>
                <w:color w:val="auto"/>
              </w:rPr>
            </w:pPr>
            <w:r>
              <w:rPr>
                <w:rFonts w:ascii="Arial" w:cs="Arial" w:eastAsia="Arial" w:hAnsi="Arial"/>
                <w:sz w:val="11"/>
                <w:szCs w:val="11"/>
                <w:color w:val="auto"/>
              </w:rPr>
              <w:t>(unaudited)</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804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8040" w:type="dxa"/>
            <w:vAlign w:val="bottom"/>
          </w:tcPr>
          <w:p>
            <w:pPr>
              <w:spacing w:after="0" w:line="134" w:lineRule="exact"/>
              <w:rPr>
                <w:sz w:val="20"/>
                <w:szCs w:val="20"/>
                <w:color w:val="auto"/>
              </w:rPr>
            </w:pPr>
            <w:r>
              <w:rPr>
                <w:rFonts w:ascii="Arial" w:cs="Arial" w:eastAsia="Arial" w:hAnsi="Arial"/>
                <w:sz w:val="12"/>
                <w:szCs w:val="12"/>
                <w:color w:val="auto"/>
              </w:rPr>
              <w:t>Sempra Utilities</w:t>
            </w:r>
          </w:p>
        </w:tc>
        <w:tc>
          <w:tcPr>
            <w:tcW w:w="920" w:type="dxa"/>
            <w:vAlign w:val="bottom"/>
          </w:tcPr>
          <w:p>
            <w:pPr>
              <w:jc w:val="right"/>
              <w:ind w:right="679"/>
              <w:spacing w:after="0" w:line="134"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1,881</w:t>
            </w:r>
          </w:p>
        </w:tc>
        <w:tc>
          <w:tcPr>
            <w:tcW w:w="1100" w:type="dxa"/>
            <w:vAlign w:val="bottom"/>
          </w:tcPr>
          <w:p>
            <w:pPr>
              <w:jc w:val="right"/>
              <w:ind w:right="899"/>
              <w:spacing w:after="0" w:line="134"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1,912</w:t>
            </w:r>
          </w:p>
        </w:tc>
        <w:tc>
          <w:tcPr>
            <w:tcW w:w="0" w:type="dxa"/>
            <w:vAlign w:val="bottom"/>
          </w:tcPr>
          <w:p>
            <w:pPr>
              <w:spacing w:after="0"/>
              <w:rPr>
                <w:sz w:val="1"/>
                <w:szCs w:val="1"/>
                <w:color w:val="auto"/>
              </w:rPr>
            </w:pPr>
          </w:p>
        </w:tc>
      </w:tr>
      <w:tr>
        <w:trPr>
          <w:trHeight w:val="144"/>
        </w:trPr>
        <w:tc>
          <w:tcPr>
            <w:tcW w:w="8040" w:type="dxa"/>
            <w:vAlign w:val="bottom"/>
          </w:tcPr>
          <w:p>
            <w:pPr>
              <w:spacing w:after="0"/>
              <w:rPr>
                <w:sz w:val="20"/>
                <w:szCs w:val="20"/>
                <w:color w:val="auto"/>
              </w:rPr>
            </w:pPr>
            <w:r>
              <w:rPr>
                <w:rFonts w:ascii="Arial" w:cs="Arial" w:eastAsia="Arial" w:hAnsi="Arial"/>
                <w:sz w:val="12"/>
                <w:szCs w:val="12"/>
                <w:color w:val="auto"/>
              </w:rPr>
              <w:t>Sempra Global and parent</w:t>
            </w:r>
          </w:p>
        </w:tc>
        <w:tc>
          <w:tcPr>
            <w:tcW w:w="9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553</w:t>
            </w:r>
          </w:p>
        </w:tc>
        <w:tc>
          <w:tcPr>
            <w:tcW w:w="1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622</w:t>
            </w:r>
          </w:p>
        </w:tc>
        <w:tc>
          <w:tcPr>
            <w:tcW w:w="0" w:type="dxa"/>
            <w:vAlign w:val="bottom"/>
          </w:tcPr>
          <w:p>
            <w:pPr>
              <w:spacing w:after="0"/>
              <w:rPr>
                <w:sz w:val="1"/>
                <w:szCs w:val="1"/>
                <w:color w:val="auto"/>
              </w:rPr>
            </w:pPr>
          </w:p>
        </w:tc>
      </w:tr>
      <w:tr>
        <w:trPr>
          <w:trHeight w:val="125"/>
        </w:trPr>
        <w:tc>
          <w:tcPr>
            <w:tcW w:w="8040" w:type="dxa"/>
            <w:vAlign w:val="bottom"/>
          </w:tcPr>
          <w:p>
            <w:pPr>
              <w:ind w:left="140"/>
              <w:spacing w:after="0" w:line="126" w:lineRule="exact"/>
              <w:rPr>
                <w:sz w:val="20"/>
                <w:szCs w:val="20"/>
                <w:color w:val="auto"/>
              </w:rPr>
            </w:pPr>
            <w:r>
              <w:rPr>
                <w:rFonts w:ascii="Arial" w:cs="Arial" w:eastAsia="Arial" w:hAnsi="Arial"/>
                <w:sz w:val="12"/>
                <w:szCs w:val="12"/>
                <w:color w:val="auto"/>
              </w:rPr>
              <w:t>Total revenues</w:t>
            </w:r>
          </w:p>
        </w:tc>
        <w:tc>
          <w:tcPr>
            <w:tcW w:w="920" w:type="dxa"/>
            <w:vAlign w:val="bottom"/>
          </w:tcPr>
          <w:p>
            <w:pPr>
              <w:spacing w:after="0"/>
              <w:rPr>
                <w:sz w:val="10"/>
                <w:szCs w:val="10"/>
                <w:color w:val="auto"/>
              </w:rPr>
            </w:pPr>
          </w:p>
        </w:tc>
        <w:tc>
          <w:tcPr>
            <w:tcW w:w="760" w:type="dxa"/>
            <w:vAlign w:val="bottom"/>
          </w:tcPr>
          <w:p>
            <w:pPr>
              <w:jc w:val="right"/>
              <w:ind w:right="38"/>
              <w:spacing w:after="0" w:line="126" w:lineRule="exact"/>
              <w:rPr>
                <w:sz w:val="20"/>
                <w:szCs w:val="20"/>
                <w:color w:val="auto"/>
              </w:rPr>
            </w:pPr>
            <w:r>
              <w:rPr>
                <w:rFonts w:ascii="Arial" w:cs="Arial" w:eastAsia="Arial" w:hAnsi="Arial"/>
                <w:sz w:val="12"/>
                <w:szCs w:val="12"/>
                <w:color w:val="auto"/>
              </w:rPr>
              <w:t>2,434</w:t>
            </w:r>
          </w:p>
        </w:tc>
        <w:tc>
          <w:tcPr>
            <w:tcW w:w="110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Arial" w:cs="Arial" w:eastAsia="Arial" w:hAnsi="Arial"/>
                <w:sz w:val="12"/>
                <w:szCs w:val="12"/>
                <w:color w:val="auto"/>
              </w:rPr>
              <w:t>2,534</w:t>
            </w:r>
          </w:p>
        </w:tc>
        <w:tc>
          <w:tcPr>
            <w:tcW w:w="0" w:type="dxa"/>
            <w:vAlign w:val="bottom"/>
          </w:tcPr>
          <w:p>
            <w:pPr>
              <w:spacing w:after="0"/>
              <w:rPr>
                <w:sz w:val="1"/>
                <w:szCs w:val="1"/>
                <w:color w:val="auto"/>
              </w:rPr>
            </w:pPr>
          </w:p>
        </w:tc>
      </w:tr>
      <w:tr>
        <w:trPr>
          <w:trHeight w:val="134"/>
        </w:trPr>
        <w:tc>
          <w:tcPr>
            <w:tcW w:w="8040" w:type="dxa"/>
            <w:vAlign w:val="bottom"/>
          </w:tcPr>
          <w:p>
            <w:pPr>
              <w:spacing w:after="0" w:line="134" w:lineRule="exact"/>
              <w:rPr>
                <w:sz w:val="20"/>
                <w:szCs w:val="20"/>
                <w:color w:val="auto"/>
              </w:rPr>
            </w:pPr>
            <w:r>
              <w:rPr>
                <w:rFonts w:ascii="Arial" w:cs="Arial" w:eastAsia="Arial" w:hAnsi="Arial"/>
                <w:sz w:val="12"/>
                <w:szCs w:val="12"/>
                <w:color w:val="auto"/>
              </w:rPr>
              <w:t>EXPENSES AND OTHER INCOME</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040" w:type="dxa"/>
            <w:vAlign w:val="bottom"/>
          </w:tcPr>
          <w:p>
            <w:pPr>
              <w:spacing w:after="0" w:line="134" w:lineRule="exact"/>
              <w:rPr>
                <w:sz w:val="20"/>
                <w:szCs w:val="20"/>
                <w:color w:val="auto"/>
              </w:rPr>
            </w:pPr>
            <w:r>
              <w:rPr>
                <w:rFonts w:ascii="Arial" w:cs="Arial" w:eastAsia="Arial" w:hAnsi="Arial"/>
                <w:sz w:val="12"/>
                <w:szCs w:val="12"/>
                <w:color w:val="auto"/>
              </w:rPr>
              <w:t>Sempra Utilities: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040" w:type="dxa"/>
            <w:vAlign w:val="bottom"/>
          </w:tcPr>
          <w:p>
            <w:pPr>
              <w:ind w:left="140"/>
              <w:spacing w:after="0" w:line="134" w:lineRule="exact"/>
              <w:rPr>
                <w:sz w:val="20"/>
                <w:szCs w:val="20"/>
                <w:color w:val="auto"/>
              </w:rPr>
            </w:pPr>
            <w:r>
              <w:rPr>
                <w:rFonts w:ascii="Arial" w:cs="Arial" w:eastAsia="Arial" w:hAnsi="Arial"/>
                <w:sz w:val="12"/>
                <w:szCs w:val="12"/>
                <w:color w:val="auto"/>
              </w:rPr>
              <w:t>Cost of natural gas</w:t>
            </w:r>
          </w:p>
        </w:tc>
        <w:tc>
          <w:tcPr>
            <w:tcW w:w="920" w:type="dxa"/>
            <w:vAlign w:val="bottom"/>
          </w:tcPr>
          <w:p>
            <w:pPr>
              <w:spacing w:after="0"/>
              <w:rPr>
                <w:sz w:val="11"/>
                <w:szCs w:val="11"/>
                <w:color w:val="auto"/>
              </w:rPr>
            </w:pPr>
          </w:p>
        </w:tc>
        <w:tc>
          <w:tcPr>
            <w:tcW w:w="760" w:type="dxa"/>
            <w:vAlign w:val="bottom"/>
          </w:tcPr>
          <w:p>
            <w:pPr>
              <w:jc w:val="right"/>
              <w:spacing w:after="0" w:line="134" w:lineRule="exact"/>
              <w:rPr>
                <w:sz w:val="20"/>
                <w:szCs w:val="20"/>
                <w:color w:val="auto"/>
              </w:rPr>
            </w:pPr>
            <w:r>
              <w:rPr>
                <w:rFonts w:ascii="Arial" w:cs="Arial" w:eastAsia="Arial" w:hAnsi="Arial"/>
                <w:sz w:val="12"/>
                <w:szCs w:val="12"/>
                <w:color w:val="auto"/>
              </w:rPr>
              <w:t>(609)</w:t>
            </w:r>
          </w:p>
        </w:tc>
        <w:tc>
          <w:tcPr>
            <w:tcW w:w="110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(758)</w:t>
            </w:r>
          </w:p>
        </w:tc>
        <w:tc>
          <w:tcPr>
            <w:tcW w:w="0" w:type="dxa"/>
            <w:vAlign w:val="bottom"/>
          </w:tcPr>
          <w:p>
            <w:pPr>
              <w:spacing w:after="0"/>
              <w:rPr>
                <w:sz w:val="1"/>
                <w:szCs w:val="1"/>
                <w:color w:val="auto"/>
              </w:rPr>
            </w:pPr>
          </w:p>
        </w:tc>
      </w:tr>
      <w:tr>
        <w:trPr>
          <w:trHeight w:val="134"/>
        </w:trPr>
        <w:tc>
          <w:tcPr>
            <w:tcW w:w="8040" w:type="dxa"/>
            <w:vAlign w:val="bottom"/>
          </w:tcPr>
          <w:p>
            <w:pPr>
              <w:ind w:left="140"/>
              <w:spacing w:after="0" w:line="134" w:lineRule="exact"/>
              <w:rPr>
                <w:sz w:val="20"/>
                <w:szCs w:val="20"/>
                <w:color w:val="auto"/>
              </w:rPr>
            </w:pPr>
            <w:r>
              <w:rPr>
                <w:rFonts w:ascii="Arial" w:cs="Arial" w:eastAsia="Arial" w:hAnsi="Arial"/>
                <w:sz w:val="12"/>
                <w:szCs w:val="12"/>
                <w:color w:val="auto"/>
              </w:rPr>
              <w:t>Cost of electric fuel and purchased power</w:t>
            </w:r>
          </w:p>
        </w:tc>
        <w:tc>
          <w:tcPr>
            <w:tcW w:w="920" w:type="dxa"/>
            <w:vAlign w:val="bottom"/>
          </w:tcPr>
          <w:p>
            <w:pPr>
              <w:spacing w:after="0"/>
              <w:rPr>
                <w:sz w:val="11"/>
                <w:szCs w:val="11"/>
                <w:color w:val="auto"/>
              </w:rPr>
            </w:pPr>
          </w:p>
        </w:tc>
        <w:tc>
          <w:tcPr>
            <w:tcW w:w="760" w:type="dxa"/>
            <w:vAlign w:val="bottom"/>
          </w:tcPr>
          <w:p>
            <w:pPr>
              <w:jc w:val="right"/>
              <w:spacing w:after="0" w:line="134" w:lineRule="exact"/>
              <w:rPr>
                <w:sz w:val="20"/>
                <w:szCs w:val="20"/>
                <w:color w:val="auto"/>
              </w:rPr>
            </w:pPr>
            <w:r>
              <w:rPr>
                <w:rFonts w:ascii="Arial" w:cs="Arial" w:eastAsia="Arial" w:hAnsi="Arial"/>
                <w:sz w:val="12"/>
                <w:szCs w:val="12"/>
                <w:color w:val="auto"/>
              </w:rPr>
              <w:t>(171)</w:t>
            </w:r>
          </w:p>
        </w:tc>
        <w:tc>
          <w:tcPr>
            <w:tcW w:w="110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(148)</w:t>
            </w:r>
          </w:p>
        </w:tc>
        <w:tc>
          <w:tcPr>
            <w:tcW w:w="0" w:type="dxa"/>
            <w:vAlign w:val="bottom"/>
          </w:tcPr>
          <w:p>
            <w:pPr>
              <w:spacing w:after="0"/>
              <w:rPr>
                <w:sz w:val="1"/>
                <w:szCs w:val="1"/>
                <w:color w:val="auto"/>
              </w:rPr>
            </w:pPr>
          </w:p>
        </w:tc>
      </w:tr>
      <w:tr>
        <w:trPr>
          <w:trHeight w:val="134"/>
        </w:trPr>
        <w:tc>
          <w:tcPr>
            <w:tcW w:w="8040" w:type="dxa"/>
            <w:vAlign w:val="bottom"/>
          </w:tcPr>
          <w:p>
            <w:pPr>
              <w:spacing w:after="0" w:line="134" w:lineRule="exact"/>
              <w:rPr>
                <w:sz w:val="20"/>
                <w:szCs w:val="20"/>
                <w:color w:val="auto"/>
              </w:rPr>
            </w:pPr>
            <w:r>
              <w:rPr>
                <w:rFonts w:ascii="Arial" w:cs="Arial" w:eastAsia="Arial" w:hAnsi="Arial"/>
                <w:sz w:val="12"/>
                <w:szCs w:val="12"/>
                <w:color w:val="auto"/>
              </w:rPr>
              <w:t>Sempra Global and parent:</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040" w:type="dxa"/>
            <w:vAlign w:val="bottom"/>
          </w:tcPr>
          <w:p>
            <w:pPr>
              <w:ind w:left="140"/>
              <w:spacing w:after="0" w:line="134" w:lineRule="exact"/>
              <w:rPr>
                <w:sz w:val="20"/>
                <w:szCs w:val="20"/>
                <w:color w:val="auto"/>
              </w:rPr>
            </w:pPr>
            <w:r>
              <w:rPr>
                <w:rFonts w:ascii="Arial" w:cs="Arial" w:eastAsia="Arial" w:hAnsi="Arial"/>
                <w:sz w:val="12"/>
                <w:szCs w:val="12"/>
                <w:color w:val="auto"/>
              </w:rPr>
              <w:t>Cost of natural gas, electric fuel and purchased power</w:t>
            </w:r>
          </w:p>
        </w:tc>
        <w:tc>
          <w:tcPr>
            <w:tcW w:w="920" w:type="dxa"/>
            <w:vAlign w:val="bottom"/>
          </w:tcPr>
          <w:p>
            <w:pPr>
              <w:spacing w:after="0"/>
              <w:rPr>
                <w:sz w:val="11"/>
                <w:szCs w:val="11"/>
                <w:color w:val="auto"/>
              </w:rPr>
            </w:pPr>
          </w:p>
        </w:tc>
        <w:tc>
          <w:tcPr>
            <w:tcW w:w="760" w:type="dxa"/>
            <w:vAlign w:val="bottom"/>
          </w:tcPr>
          <w:p>
            <w:pPr>
              <w:jc w:val="right"/>
              <w:spacing w:after="0" w:line="134" w:lineRule="exact"/>
              <w:rPr>
                <w:sz w:val="20"/>
                <w:szCs w:val="20"/>
                <w:color w:val="auto"/>
              </w:rPr>
            </w:pPr>
            <w:r>
              <w:rPr>
                <w:rFonts w:ascii="Arial" w:cs="Arial" w:eastAsia="Arial" w:hAnsi="Arial"/>
                <w:sz w:val="12"/>
                <w:szCs w:val="12"/>
                <w:color w:val="auto"/>
              </w:rPr>
              <w:t>(263)</w:t>
            </w:r>
          </w:p>
        </w:tc>
        <w:tc>
          <w:tcPr>
            <w:tcW w:w="110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(338)</w:t>
            </w:r>
          </w:p>
        </w:tc>
        <w:tc>
          <w:tcPr>
            <w:tcW w:w="0" w:type="dxa"/>
            <w:vAlign w:val="bottom"/>
          </w:tcPr>
          <w:p>
            <w:pPr>
              <w:spacing w:after="0"/>
              <w:rPr>
                <w:sz w:val="1"/>
                <w:szCs w:val="1"/>
                <w:color w:val="auto"/>
              </w:rPr>
            </w:pPr>
          </w:p>
        </w:tc>
      </w:tr>
      <w:tr>
        <w:trPr>
          <w:trHeight w:val="134"/>
        </w:trPr>
        <w:tc>
          <w:tcPr>
            <w:tcW w:w="8040" w:type="dxa"/>
            <w:vAlign w:val="bottom"/>
          </w:tcPr>
          <w:p>
            <w:pPr>
              <w:ind w:left="140"/>
              <w:spacing w:after="0" w:line="134" w:lineRule="exact"/>
              <w:rPr>
                <w:sz w:val="20"/>
                <w:szCs w:val="20"/>
                <w:color w:val="auto"/>
              </w:rPr>
            </w:pPr>
            <w:r>
              <w:rPr>
                <w:rFonts w:ascii="Arial" w:cs="Arial" w:eastAsia="Arial" w:hAnsi="Arial"/>
                <w:sz w:val="12"/>
                <w:szCs w:val="12"/>
                <w:color w:val="auto"/>
              </w:rPr>
              <w:t>Other cost of sales</w:t>
            </w:r>
          </w:p>
        </w:tc>
        <w:tc>
          <w:tcPr>
            <w:tcW w:w="920" w:type="dxa"/>
            <w:vAlign w:val="bottom"/>
          </w:tcPr>
          <w:p>
            <w:pPr>
              <w:spacing w:after="0"/>
              <w:rPr>
                <w:sz w:val="11"/>
                <w:szCs w:val="11"/>
                <w:color w:val="auto"/>
              </w:rPr>
            </w:pPr>
          </w:p>
        </w:tc>
        <w:tc>
          <w:tcPr>
            <w:tcW w:w="760" w:type="dxa"/>
            <w:vAlign w:val="bottom"/>
          </w:tcPr>
          <w:p>
            <w:pPr>
              <w:jc w:val="right"/>
              <w:spacing w:after="0" w:line="134" w:lineRule="exact"/>
              <w:rPr>
                <w:sz w:val="20"/>
                <w:szCs w:val="20"/>
                <w:color w:val="auto"/>
              </w:rPr>
            </w:pPr>
            <w:r>
              <w:rPr>
                <w:rFonts w:ascii="Arial" w:cs="Arial" w:eastAsia="Arial" w:hAnsi="Arial"/>
                <w:sz w:val="12"/>
                <w:szCs w:val="12"/>
                <w:color w:val="auto"/>
              </w:rPr>
              <w:t>(23)</w:t>
            </w:r>
          </w:p>
        </w:tc>
        <w:tc>
          <w:tcPr>
            <w:tcW w:w="110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34"/>
        </w:trPr>
        <w:tc>
          <w:tcPr>
            <w:tcW w:w="8040" w:type="dxa"/>
            <w:vAlign w:val="bottom"/>
          </w:tcPr>
          <w:p>
            <w:pPr>
              <w:spacing w:after="0" w:line="134" w:lineRule="exact"/>
              <w:rPr>
                <w:sz w:val="20"/>
                <w:szCs w:val="20"/>
                <w:color w:val="auto"/>
              </w:rPr>
            </w:pPr>
            <w:r>
              <w:rPr>
                <w:rFonts w:ascii="Arial" w:cs="Arial" w:eastAsia="Arial" w:hAnsi="Arial"/>
                <w:sz w:val="12"/>
                <w:szCs w:val="12"/>
                <w:color w:val="auto"/>
              </w:rPr>
              <w:t>Litigation expense</w:t>
            </w:r>
          </w:p>
        </w:tc>
        <w:tc>
          <w:tcPr>
            <w:tcW w:w="920" w:type="dxa"/>
            <w:vAlign w:val="bottom"/>
          </w:tcPr>
          <w:p>
            <w:pPr>
              <w:spacing w:after="0"/>
              <w:rPr>
                <w:sz w:val="11"/>
                <w:szCs w:val="11"/>
                <w:color w:val="auto"/>
              </w:rPr>
            </w:pPr>
          </w:p>
        </w:tc>
        <w:tc>
          <w:tcPr>
            <w:tcW w:w="760" w:type="dxa"/>
            <w:vAlign w:val="bottom"/>
          </w:tcPr>
          <w:p>
            <w:pPr>
              <w:jc w:val="right"/>
              <w:spacing w:after="0" w:line="134" w:lineRule="exact"/>
              <w:rPr>
                <w:sz w:val="20"/>
                <w:szCs w:val="20"/>
                <w:color w:val="auto"/>
              </w:rPr>
            </w:pPr>
            <w:r>
              <w:rPr>
                <w:rFonts w:ascii="Arial" w:cs="Arial" w:eastAsia="Arial" w:hAnsi="Arial"/>
                <w:sz w:val="12"/>
                <w:szCs w:val="12"/>
                <w:color w:val="auto"/>
              </w:rPr>
              <w:t>(7)</w:t>
            </w:r>
          </w:p>
        </w:tc>
        <w:tc>
          <w:tcPr>
            <w:tcW w:w="110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(168)</w:t>
            </w:r>
          </w:p>
        </w:tc>
        <w:tc>
          <w:tcPr>
            <w:tcW w:w="0" w:type="dxa"/>
            <w:vAlign w:val="bottom"/>
          </w:tcPr>
          <w:p>
            <w:pPr>
              <w:spacing w:after="0"/>
              <w:rPr>
                <w:sz w:val="1"/>
                <w:szCs w:val="1"/>
                <w:color w:val="auto"/>
              </w:rPr>
            </w:pPr>
          </w:p>
        </w:tc>
      </w:tr>
      <w:tr>
        <w:trPr>
          <w:trHeight w:val="134"/>
        </w:trPr>
        <w:tc>
          <w:tcPr>
            <w:tcW w:w="8040" w:type="dxa"/>
            <w:vAlign w:val="bottom"/>
          </w:tcPr>
          <w:p>
            <w:pPr>
              <w:spacing w:after="0" w:line="134" w:lineRule="exact"/>
              <w:rPr>
                <w:sz w:val="20"/>
                <w:szCs w:val="20"/>
                <w:color w:val="auto"/>
              </w:rPr>
            </w:pPr>
            <w:r>
              <w:rPr>
                <w:rFonts w:ascii="Arial" w:cs="Arial" w:eastAsia="Arial" w:hAnsi="Arial"/>
                <w:sz w:val="12"/>
                <w:szCs w:val="12"/>
                <w:color w:val="auto"/>
              </w:rPr>
              <w:t>Other operation and maintenance</w:t>
            </w:r>
          </w:p>
        </w:tc>
        <w:tc>
          <w:tcPr>
            <w:tcW w:w="920" w:type="dxa"/>
            <w:vAlign w:val="bottom"/>
          </w:tcPr>
          <w:p>
            <w:pPr>
              <w:spacing w:after="0"/>
              <w:rPr>
                <w:sz w:val="11"/>
                <w:szCs w:val="11"/>
                <w:color w:val="auto"/>
              </w:rPr>
            </w:pPr>
          </w:p>
        </w:tc>
        <w:tc>
          <w:tcPr>
            <w:tcW w:w="760" w:type="dxa"/>
            <w:vAlign w:val="bottom"/>
          </w:tcPr>
          <w:p>
            <w:pPr>
              <w:jc w:val="right"/>
              <w:spacing w:after="0" w:line="134" w:lineRule="exact"/>
              <w:rPr>
                <w:sz w:val="20"/>
                <w:szCs w:val="20"/>
                <w:color w:val="auto"/>
              </w:rPr>
            </w:pPr>
            <w:r>
              <w:rPr>
                <w:rFonts w:ascii="Arial" w:cs="Arial" w:eastAsia="Arial" w:hAnsi="Arial"/>
                <w:sz w:val="12"/>
                <w:szCs w:val="12"/>
                <w:color w:val="auto"/>
              </w:rPr>
              <w:t>(632)</w:t>
            </w:r>
          </w:p>
        </w:tc>
        <w:tc>
          <w:tcPr>
            <w:tcW w:w="110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(576)</w:t>
            </w:r>
          </w:p>
        </w:tc>
        <w:tc>
          <w:tcPr>
            <w:tcW w:w="0" w:type="dxa"/>
            <w:vAlign w:val="bottom"/>
          </w:tcPr>
          <w:p>
            <w:pPr>
              <w:spacing w:after="0"/>
              <w:rPr>
                <w:sz w:val="1"/>
                <w:szCs w:val="1"/>
                <w:color w:val="auto"/>
              </w:rPr>
            </w:pPr>
          </w:p>
        </w:tc>
      </w:tr>
      <w:tr>
        <w:trPr>
          <w:trHeight w:val="134"/>
        </w:trPr>
        <w:tc>
          <w:tcPr>
            <w:tcW w:w="8040" w:type="dxa"/>
            <w:vAlign w:val="bottom"/>
          </w:tcPr>
          <w:p>
            <w:pPr>
              <w:spacing w:after="0" w:line="134" w:lineRule="exact"/>
              <w:rPr>
                <w:sz w:val="20"/>
                <w:szCs w:val="20"/>
                <w:color w:val="auto"/>
              </w:rPr>
            </w:pPr>
            <w:r>
              <w:rPr>
                <w:rFonts w:ascii="Arial" w:cs="Arial" w:eastAsia="Arial" w:hAnsi="Arial"/>
                <w:sz w:val="12"/>
                <w:szCs w:val="12"/>
                <w:color w:val="auto"/>
              </w:rPr>
              <w:t>Depreciation and amortization</w:t>
            </w:r>
          </w:p>
        </w:tc>
        <w:tc>
          <w:tcPr>
            <w:tcW w:w="920" w:type="dxa"/>
            <w:vAlign w:val="bottom"/>
          </w:tcPr>
          <w:p>
            <w:pPr>
              <w:spacing w:after="0"/>
              <w:rPr>
                <w:sz w:val="11"/>
                <w:szCs w:val="11"/>
                <w:color w:val="auto"/>
              </w:rPr>
            </w:pPr>
          </w:p>
        </w:tc>
        <w:tc>
          <w:tcPr>
            <w:tcW w:w="760" w:type="dxa"/>
            <w:vAlign w:val="bottom"/>
          </w:tcPr>
          <w:p>
            <w:pPr>
              <w:jc w:val="right"/>
              <w:spacing w:after="0" w:line="134" w:lineRule="exact"/>
              <w:rPr>
                <w:sz w:val="20"/>
                <w:szCs w:val="20"/>
                <w:color w:val="auto"/>
              </w:rPr>
            </w:pPr>
            <w:r>
              <w:rPr>
                <w:rFonts w:ascii="Arial" w:cs="Arial" w:eastAsia="Arial" w:hAnsi="Arial"/>
                <w:sz w:val="12"/>
                <w:szCs w:val="12"/>
                <w:color w:val="auto"/>
              </w:rPr>
              <w:t>(231)</w:t>
            </w:r>
          </w:p>
        </w:tc>
        <w:tc>
          <w:tcPr>
            <w:tcW w:w="110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(210)</w:t>
            </w:r>
          </w:p>
        </w:tc>
        <w:tc>
          <w:tcPr>
            <w:tcW w:w="0" w:type="dxa"/>
            <w:vAlign w:val="bottom"/>
          </w:tcPr>
          <w:p>
            <w:pPr>
              <w:spacing w:after="0"/>
              <w:rPr>
                <w:sz w:val="1"/>
                <w:szCs w:val="1"/>
                <w:color w:val="auto"/>
              </w:rPr>
            </w:pPr>
          </w:p>
        </w:tc>
      </w:tr>
      <w:tr>
        <w:trPr>
          <w:trHeight w:val="134"/>
        </w:trPr>
        <w:tc>
          <w:tcPr>
            <w:tcW w:w="8040" w:type="dxa"/>
            <w:vAlign w:val="bottom"/>
          </w:tcPr>
          <w:p>
            <w:pPr>
              <w:spacing w:after="0" w:line="134" w:lineRule="exact"/>
              <w:rPr>
                <w:sz w:val="20"/>
                <w:szCs w:val="20"/>
                <w:color w:val="auto"/>
              </w:rPr>
            </w:pPr>
            <w:r>
              <w:rPr>
                <w:rFonts w:ascii="Arial" w:cs="Arial" w:eastAsia="Arial" w:hAnsi="Arial"/>
                <w:sz w:val="12"/>
                <w:szCs w:val="12"/>
                <w:color w:val="auto"/>
              </w:rPr>
              <w:t>Franchise fees and other taxes</w:t>
            </w:r>
          </w:p>
        </w:tc>
        <w:tc>
          <w:tcPr>
            <w:tcW w:w="920" w:type="dxa"/>
            <w:vAlign w:val="bottom"/>
          </w:tcPr>
          <w:p>
            <w:pPr>
              <w:spacing w:after="0"/>
              <w:rPr>
                <w:sz w:val="11"/>
                <w:szCs w:val="11"/>
                <w:color w:val="auto"/>
              </w:rPr>
            </w:pPr>
          </w:p>
        </w:tc>
        <w:tc>
          <w:tcPr>
            <w:tcW w:w="760" w:type="dxa"/>
            <w:vAlign w:val="bottom"/>
          </w:tcPr>
          <w:p>
            <w:pPr>
              <w:jc w:val="right"/>
              <w:spacing w:after="0" w:line="134" w:lineRule="exact"/>
              <w:rPr>
                <w:sz w:val="20"/>
                <w:szCs w:val="20"/>
                <w:color w:val="auto"/>
              </w:rPr>
            </w:pPr>
            <w:r>
              <w:rPr>
                <w:rFonts w:ascii="Arial" w:cs="Arial" w:eastAsia="Arial" w:hAnsi="Arial"/>
                <w:sz w:val="12"/>
                <w:szCs w:val="12"/>
                <w:color w:val="auto"/>
              </w:rPr>
              <w:t>(95)</w:t>
            </w:r>
          </w:p>
        </w:tc>
        <w:tc>
          <w:tcPr>
            <w:tcW w:w="110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34"/>
        </w:trPr>
        <w:tc>
          <w:tcPr>
            <w:tcW w:w="8040" w:type="dxa"/>
            <w:vAlign w:val="bottom"/>
          </w:tcPr>
          <w:p>
            <w:pPr>
              <w:spacing w:after="0" w:line="134" w:lineRule="exact"/>
              <w:rPr>
                <w:sz w:val="20"/>
                <w:szCs w:val="20"/>
                <w:color w:val="auto"/>
              </w:rPr>
            </w:pPr>
            <w:r>
              <w:rPr>
                <w:rFonts w:ascii="Arial" w:cs="Arial" w:eastAsia="Arial" w:hAnsi="Arial"/>
                <w:sz w:val="12"/>
                <w:szCs w:val="12"/>
                <w:color w:val="auto"/>
              </w:rPr>
              <w:t>Equity earnings, before income tax</w:t>
            </w:r>
          </w:p>
        </w:tc>
        <w:tc>
          <w:tcPr>
            <w:tcW w:w="920" w:type="dxa"/>
            <w:vAlign w:val="bottom"/>
          </w:tcPr>
          <w:p>
            <w:pPr>
              <w:spacing w:after="0"/>
              <w:rPr>
                <w:sz w:val="11"/>
                <w:szCs w:val="11"/>
                <w:color w:val="auto"/>
              </w:rPr>
            </w:pPr>
          </w:p>
        </w:tc>
        <w:tc>
          <w:tcPr>
            <w:tcW w:w="7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1</w:t>
            </w:r>
          </w:p>
        </w:tc>
        <w:tc>
          <w:tcPr>
            <w:tcW w:w="110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34"/>
        </w:trPr>
        <w:tc>
          <w:tcPr>
            <w:tcW w:w="8040" w:type="dxa"/>
            <w:vAlign w:val="bottom"/>
          </w:tcPr>
          <w:p>
            <w:pPr>
              <w:spacing w:after="0" w:line="134" w:lineRule="exact"/>
              <w:rPr>
                <w:sz w:val="20"/>
                <w:szCs w:val="20"/>
                <w:color w:val="auto"/>
              </w:rPr>
            </w:pPr>
            <w:r>
              <w:rPr>
                <w:rFonts w:ascii="Arial" w:cs="Arial" w:eastAsia="Arial" w:hAnsi="Arial"/>
                <w:sz w:val="12"/>
                <w:szCs w:val="12"/>
                <w:color w:val="auto"/>
              </w:rPr>
              <w:t>Other income, net</w:t>
            </w:r>
          </w:p>
        </w:tc>
        <w:tc>
          <w:tcPr>
            <w:tcW w:w="920" w:type="dxa"/>
            <w:vAlign w:val="bottom"/>
          </w:tcPr>
          <w:p>
            <w:pPr>
              <w:spacing w:after="0"/>
              <w:rPr>
                <w:sz w:val="11"/>
                <w:szCs w:val="11"/>
                <w:color w:val="auto"/>
              </w:rPr>
            </w:pPr>
          </w:p>
        </w:tc>
        <w:tc>
          <w:tcPr>
            <w:tcW w:w="7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43</w:t>
            </w:r>
          </w:p>
        </w:tc>
        <w:tc>
          <w:tcPr>
            <w:tcW w:w="110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34"/>
        </w:trPr>
        <w:tc>
          <w:tcPr>
            <w:tcW w:w="8040" w:type="dxa"/>
            <w:vAlign w:val="bottom"/>
          </w:tcPr>
          <w:p>
            <w:pPr>
              <w:spacing w:after="0" w:line="134" w:lineRule="exact"/>
              <w:rPr>
                <w:sz w:val="20"/>
                <w:szCs w:val="20"/>
                <w:color w:val="auto"/>
              </w:rPr>
            </w:pPr>
            <w:r>
              <w:rPr>
                <w:rFonts w:ascii="Arial" w:cs="Arial" w:eastAsia="Arial" w:hAnsi="Arial"/>
                <w:sz w:val="12"/>
                <w:szCs w:val="12"/>
                <w:color w:val="auto"/>
              </w:rPr>
              <w:t>Interest income</w:t>
            </w:r>
          </w:p>
        </w:tc>
        <w:tc>
          <w:tcPr>
            <w:tcW w:w="920" w:type="dxa"/>
            <w:vAlign w:val="bottom"/>
          </w:tcPr>
          <w:p>
            <w:pPr>
              <w:spacing w:after="0"/>
              <w:rPr>
                <w:sz w:val="11"/>
                <w:szCs w:val="11"/>
                <w:color w:val="auto"/>
              </w:rPr>
            </w:pPr>
          </w:p>
        </w:tc>
        <w:tc>
          <w:tcPr>
            <w:tcW w:w="7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3</w:t>
            </w:r>
          </w:p>
        </w:tc>
        <w:tc>
          <w:tcPr>
            <w:tcW w:w="110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4"/>
        </w:trPr>
        <w:tc>
          <w:tcPr>
            <w:tcW w:w="8040" w:type="dxa"/>
            <w:vAlign w:val="bottom"/>
          </w:tcPr>
          <w:p>
            <w:pPr>
              <w:spacing w:after="0"/>
              <w:rPr>
                <w:sz w:val="20"/>
                <w:szCs w:val="20"/>
                <w:color w:val="auto"/>
              </w:rPr>
            </w:pPr>
            <w:r>
              <w:rPr>
                <w:rFonts w:ascii="Arial" w:cs="Arial" w:eastAsia="Arial" w:hAnsi="Arial"/>
                <w:sz w:val="12"/>
                <w:szCs w:val="12"/>
                <w:color w:val="auto"/>
              </w:rPr>
              <w:t>Interest expense</w:t>
            </w:r>
          </w:p>
        </w:tc>
        <w:tc>
          <w:tcPr>
            <w:tcW w:w="9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w:t>
            </w:r>
          </w:p>
        </w:tc>
        <w:tc>
          <w:tcPr>
            <w:tcW w:w="1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w:t>
            </w:r>
          </w:p>
        </w:tc>
        <w:tc>
          <w:tcPr>
            <w:tcW w:w="0" w:type="dxa"/>
            <w:vAlign w:val="bottom"/>
          </w:tcPr>
          <w:p>
            <w:pPr>
              <w:spacing w:after="0"/>
              <w:rPr>
                <w:sz w:val="1"/>
                <w:szCs w:val="1"/>
                <w:color w:val="auto"/>
              </w:rPr>
            </w:pPr>
          </w:p>
        </w:tc>
      </w:tr>
      <w:tr>
        <w:trPr>
          <w:trHeight w:val="125"/>
        </w:trPr>
        <w:tc>
          <w:tcPr>
            <w:tcW w:w="8040" w:type="dxa"/>
            <w:vAlign w:val="bottom"/>
          </w:tcPr>
          <w:p>
            <w:pPr>
              <w:spacing w:after="0" w:line="126" w:lineRule="exact"/>
              <w:rPr>
                <w:sz w:val="20"/>
                <w:szCs w:val="20"/>
                <w:color w:val="auto"/>
              </w:rPr>
            </w:pPr>
            <w:r>
              <w:rPr>
                <w:rFonts w:ascii="Arial" w:cs="Arial" w:eastAsia="Arial" w:hAnsi="Arial"/>
                <w:sz w:val="12"/>
                <w:szCs w:val="12"/>
                <w:color w:val="auto"/>
              </w:rPr>
              <w:t>Income before income taxes and equity earnings</w:t>
            </w: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8040" w:type="dxa"/>
            <w:vAlign w:val="bottom"/>
          </w:tcPr>
          <w:p>
            <w:pPr>
              <w:ind w:left="140"/>
              <w:spacing w:after="0" w:line="134" w:lineRule="exact"/>
              <w:rPr>
                <w:sz w:val="20"/>
                <w:szCs w:val="20"/>
                <w:color w:val="auto"/>
              </w:rPr>
            </w:pPr>
            <w:r>
              <w:rPr>
                <w:rFonts w:ascii="Arial" w:cs="Arial" w:eastAsia="Arial" w:hAnsi="Arial"/>
                <w:sz w:val="12"/>
                <w:szCs w:val="12"/>
                <w:color w:val="auto"/>
              </w:rPr>
              <w:t>of certain unconsolidated subsidiaries</w:t>
            </w:r>
          </w:p>
        </w:tc>
        <w:tc>
          <w:tcPr>
            <w:tcW w:w="920" w:type="dxa"/>
            <w:vAlign w:val="bottom"/>
          </w:tcPr>
          <w:p>
            <w:pPr>
              <w:spacing w:after="0"/>
              <w:rPr>
                <w:sz w:val="11"/>
                <w:szCs w:val="11"/>
                <w:color w:val="auto"/>
              </w:rPr>
            </w:pPr>
          </w:p>
        </w:tc>
        <w:tc>
          <w:tcPr>
            <w:tcW w:w="7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342</w:t>
            </w:r>
          </w:p>
        </w:tc>
        <w:tc>
          <w:tcPr>
            <w:tcW w:w="110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139</w:t>
            </w:r>
          </w:p>
        </w:tc>
        <w:tc>
          <w:tcPr>
            <w:tcW w:w="0" w:type="dxa"/>
            <w:vAlign w:val="bottom"/>
          </w:tcPr>
          <w:p>
            <w:pPr>
              <w:spacing w:after="0"/>
              <w:rPr>
                <w:sz w:val="1"/>
                <w:szCs w:val="1"/>
                <w:color w:val="auto"/>
              </w:rPr>
            </w:pPr>
          </w:p>
        </w:tc>
      </w:tr>
      <w:tr>
        <w:trPr>
          <w:trHeight w:val="134"/>
        </w:trPr>
        <w:tc>
          <w:tcPr>
            <w:tcW w:w="8040" w:type="dxa"/>
            <w:vAlign w:val="bottom"/>
          </w:tcPr>
          <w:p>
            <w:pPr>
              <w:spacing w:after="0" w:line="134" w:lineRule="exact"/>
              <w:rPr>
                <w:sz w:val="20"/>
                <w:szCs w:val="20"/>
                <w:color w:val="auto"/>
              </w:rPr>
            </w:pPr>
            <w:r>
              <w:rPr>
                <w:rFonts w:ascii="Arial" w:cs="Arial" w:eastAsia="Arial" w:hAnsi="Arial"/>
                <w:sz w:val="12"/>
                <w:szCs w:val="12"/>
                <w:color w:val="auto"/>
              </w:rPr>
              <w:t>Income tax expense</w:t>
            </w:r>
          </w:p>
        </w:tc>
        <w:tc>
          <w:tcPr>
            <w:tcW w:w="920" w:type="dxa"/>
            <w:vAlign w:val="bottom"/>
          </w:tcPr>
          <w:p>
            <w:pPr>
              <w:spacing w:after="0"/>
              <w:rPr>
                <w:sz w:val="11"/>
                <w:szCs w:val="11"/>
                <w:color w:val="auto"/>
              </w:rPr>
            </w:pPr>
          </w:p>
        </w:tc>
        <w:tc>
          <w:tcPr>
            <w:tcW w:w="760" w:type="dxa"/>
            <w:vAlign w:val="bottom"/>
          </w:tcPr>
          <w:p>
            <w:pPr>
              <w:jc w:val="right"/>
              <w:spacing w:after="0" w:line="134" w:lineRule="exact"/>
              <w:rPr>
                <w:sz w:val="20"/>
                <w:szCs w:val="20"/>
                <w:color w:val="auto"/>
              </w:rPr>
            </w:pPr>
            <w:r>
              <w:rPr>
                <w:rFonts w:ascii="Arial" w:cs="Arial" w:eastAsia="Arial" w:hAnsi="Arial"/>
                <w:sz w:val="12"/>
                <w:szCs w:val="12"/>
                <w:color w:val="auto"/>
              </w:rPr>
              <w:t>(109)</w:t>
            </w:r>
          </w:p>
        </w:tc>
        <w:tc>
          <w:tcPr>
            <w:tcW w:w="110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144"/>
        </w:trPr>
        <w:tc>
          <w:tcPr>
            <w:tcW w:w="8040" w:type="dxa"/>
            <w:vAlign w:val="bottom"/>
          </w:tcPr>
          <w:p>
            <w:pPr>
              <w:spacing w:after="0"/>
              <w:rPr>
                <w:sz w:val="20"/>
                <w:szCs w:val="20"/>
                <w:color w:val="auto"/>
              </w:rPr>
            </w:pPr>
            <w:r>
              <w:rPr>
                <w:rFonts w:ascii="Arial" w:cs="Arial" w:eastAsia="Arial" w:hAnsi="Arial"/>
                <w:sz w:val="12"/>
                <w:szCs w:val="12"/>
                <w:color w:val="auto"/>
              </w:rPr>
              <w:t>Equity earnings, net of income tax</w:t>
            </w:r>
          </w:p>
        </w:tc>
        <w:tc>
          <w:tcPr>
            <w:tcW w:w="9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31</w:t>
            </w:r>
          </w:p>
        </w:tc>
        <w:tc>
          <w:tcPr>
            <w:tcW w:w="1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25"/>
        </w:trPr>
        <w:tc>
          <w:tcPr>
            <w:tcW w:w="8040" w:type="dxa"/>
            <w:vAlign w:val="bottom"/>
          </w:tcPr>
          <w:p>
            <w:pPr>
              <w:spacing w:after="0" w:line="126" w:lineRule="exact"/>
              <w:rPr>
                <w:sz w:val="20"/>
                <w:szCs w:val="20"/>
                <w:color w:val="auto"/>
              </w:rPr>
            </w:pPr>
            <w:r>
              <w:rPr>
                <w:rFonts w:ascii="Arial" w:cs="Arial" w:eastAsia="Arial" w:hAnsi="Arial"/>
                <w:sz w:val="12"/>
                <w:szCs w:val="12"/>
                <w:color w:val="auto"/>
              </w:rPr>
              <w:t>Net income</w:t>
            </w:r>
          </w:p>
        </w:tc>
        <w:tc>
          <w:tcPr>
            <w:tcW w:w="920" w:type="dxa"/>
            <w:vAlign w:val="bottom"/>
          </w:tcPr>
          <w:p>
            <w:pPr>
              <w:spacing w:after="0"/>
              <w:rPr>
                <w:sz w:val="10"/>
                <w:szCs w:val="10"/>
                <w:color w:val="auto"/>
              </w:rPr>
            </w:pPr>
          </w:p>
        </w:tc>
        <w:tc>
          <w:tcPr>
            <w:tcW w:w="760" w:type="dxa"/>
            <w:vAlign w:val="bottom"/>
          </w:tcPr>
          <w:p>
            <w:pPr>
              <w:jc w:val="right"/>
              <w:ind w:right="38"/>
              <w:spacing w:after="0" w:line="126" w:lineRule="exact"/>
              <w:rPr>
                <w:sz w:val="20"/>
                <w:szCs w:val="20"/>
                <w:color w:val="auto"/>
              </w:rPr>
            </w:pPr>
            <w:r>
              <w:rPr>
                <w:rFonts w:ascii="Arial" w:cs="Arial" w:eastAsia="Arial" w:hAnsi="Arial"/>
                <w:sz w:val="12"/>
                <w:szCs w:val="12"/>
                <w:color w:val="auto"/>
              </w:rPr>
              <w:t>264</w:t>
            </w:r>
          </w:p>
        </w:tc>
        <w:tc>
          <w:tcPr>
            <w:tcW w:w="110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34"/>
        </w:trPr>
        <w:tc>
          <w:tcPr>
            <w:tcW w:w="8040" w:type="dxa"/>
            <w:vAlign w:val="bottom"/>
          </w:tcPr>
          <w:p>
            <w:pPr>
              <w:spacing w:after="0" w:line="134" w:lineRule="exact"/>
              <w:rPr>
                <w:sz w:val="20"/>
                <w:szCs w:val="20"/>
                <w:color w:val="auto"/>
              </w:rPr>
            </w:pPr>
            <w:r>
              <w:rPr>
                <w:rFonts w:ascii="Arial" w:cs="Arial" w:eastAsia="Arial" w:hAnsi="Arial"/>
                <w:sz w:val="12"/>
                <w:szCs w:val="12"/>
                <w:color w:val="auto"/>
              </w:rPr>
              <w:t>(Earnings) losses attributable to noncontrolling interests</w:t>
            </w:r>
          </w:p>
        </w:tc>
        <w:tc>
          <w:tcPr>
            <w:tcW w:w="920" w:type="dxa"/>
            <w:vAlign w:val="bottom"/>
          </w:tcPr>
          <w:p>
            <w:pPr>
              <w:spacing w:after="0"/>
              <w:rPr>
                <w:sz w:val="11"/>
                <w:szCs w:val="11"/>
                <w:color w:val="auto"/>
              </w:rPr>
            </w:pPr>
          </w:p>
        </w:tc>
        <w:tc>
          <w:tcPr>
            <w:tcW w:w="760" w:type="dxa"/>
            <w:vAlign w:val="bottom"/>
          </w:tcPr>
          <w:p>
            <w:pPr>
              <w:jc w:val="right"/>
              <w:spacing w:after="0" w:line="134" w:lineRule="exact"/>
              <w:rPr>
                <w:sz w:val="20"/>
                <w:szCs w:val="20"/>
                <w:color w:val="auto"/>
              </w:rPr>
            </w:pPr>
            <w:r>
              <w:rPr>
                <w:rFonts w:ascii="Arial" w:cs="Arial" w:eastAsia="Arial" w:hAnsi="Arial"/>
                <w:sz w:val="12"/>
                <w:szCs w:val="12"/>
                <w:color w:val="auto"/>
              </w:rPr>
              <w:t>(4)</w:t>
            </w:r>
          </w:p>
        </w:tc>
        <w:tc>
          <w:tcPr>
            <w:tcW w:w="110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44"/>
        </w:trPr>
        <w:tc>
          <w:tcPr>
            <w:tcW w:w="8040" w:type="dxa"/>
            <w:vAlign w:val="bottom"/>
          </w:tcPr>
          <w:p>
            <w:pPr>
              <w:spacing w:after="0"/>
              <w:rPr>
                <w:sz w:val="20"/>
                <w:szCs w:val="20"/>
                <w:color w:val="auto"/>
              </w:rPr>
            </w:pPr>
            <w:r>
              <w:rPr>
                <w:rFonts w:ascii="Arial" w:cs="Arial" w:eastAsia="Arial" w:hAnsi="Arial"/>
                <w:sz w:val="12"/>
                <w:szCs w:val="12"/>
                <w:color w:val="auto"/>
              </w:rPr>
              <w:t>Preferred dividends of subsidiaries</w:t>
            </w:r>
          </w:p>
        </w:tc>
        <w:tc>
          <w:tcPr>
            <w:tcW w:w="9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5"/>
        </w:trPr>
        <w:tc>
          <w:tcPr>
            <w:tcW w:w="8040" w:type="dxa"/>
            <w:vAlign w:val="bottom"/>
          </w:tcPr>
          <w:p>
            <w:pPr>
              <w:spacing w:after="0" w:line="134" w:lineRule="exact"/>
              <w:rPr>
                <w:sz w:val="20"/>
                <w:szCs w:val="20"/>
                <w:color w:val="auto"/>
              </w:rPr>
            </w:pPr>
            <w:r>
              <w:rPr>
                <w:rFonts w:ascii="Arial" w:cs="Arial" w:eastAsia="Arial" w:hAnsi="Arial"/>
                <w:sz w:val="12"/>
                <w:szCs w:val="12"/>
                <w:color w:val="auto"/>
              </w:rPr>
              <w:t>Earnings</w:t>
            </w:r>
          </w:p>
        </w:tc>
        <w:tc>
          <w:tcPr>
            <w:tcW w:w="920" w:type="dxa"/>
            <w:vAlign w:val="bottom"/>
            <w:tcBorders>
              <w:bottom w:val="single" w:sz="8" w:color="auto"/>
            </w:tcBorders>
          </w:tcPr>
          <w:p>
            <w:pPr>
              <w:jc w:val="right"/>
              <w:ind w:right="679"/>
              <w:spacing w:after="0" w:line="134" w:lineRule="exact"/>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38"/>
              <w:spacing w:after="0" w:line="134" w:lineRule="exact"/>
              <w:rPr>
                <w:sz w:val="20"/>
                <w:szCs w:val="20"/>
                <w:color w:val="auto"/>
              </w:rPr>
            </w:pPr>
            <w:r>
              <w:rPr>
                <w:rFonts w:ascii="Arial" w:cs="Arial" w:eastAsia="Arial" w:hAnsi="Arial"/>
                <w:sz w:val="12"/>
                <w:szCs w:val="12"/>
                <w:color w:val="auto"/>
              </w:rPr>
              <w:t>258</w:t>
            </w:r>
          </w:p>
        </w:tc>
        <w:tc>
          <w:tcPr>
            <w:tcW w:w="1100" w:type="dxa"/>
            <w:vAlign w:val="bottom"/>
            <w:tcBorders>
              <w:bottom w:val="single" w:sz="8" w:color="auto"/>
            </w:tcBorders>
          </w:tcPr>
          <w:p>
            <w:pPr>
              <w:jc w:val="right"/>
              <w:ind w:right="899"/>
              <w:spacing w:after="0" w:line="134" w:lineRule="exact"/>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106</w:t>
            </w:r>
          </w:p>
        </w:tc>
        <w:tc>
          <w:tcPr>
            <w:tcW w:w="0" w:type="dxa"/>
            <w:vAlign w:val="bottom"/>
          </w:tcPr>
          <w:p>
            <w:pPr>
              <w:spacing w:after="0"/>
              <w:rPr>
                <w:sz w:val="1"/>
                <w:szCs w:val="1"/>
                <w:color w:val="auto"/>
              </w:rPr>
            </w:pPr>
          </w:p>
        </w:tc>
      </w:tr>
      <w:tr>
        <w:trPr>
          <w:trHeight w:val="269"/>
        </w:trPr>
        <w:tc>
          <w:tcPr>
            <w:tcW w:w="8040" w:type="dxa"/>
            <w:vAlign w:val="bottom"/>
          </w:tcPr>
          <w:p>
            <w:pPr>
              <w:spacing w:after="0"/>
              <w:rPr>
                <w:sz w:val="20"/>
                <w:szCs w:val="20"/>
                <w:color w:val="auto"/>
              </w:rPr>
            </w:pPr>
            <w:r>
              <w:rPr>
                <w:rFonts w:ascii="Arial" w:cs="Arial" w:eastAsia="Arial" w:hAnsi="Arial"/>
                <w:sz w:val="12"/>
                <w:szCs w:val="12"/>
                <w:color w:val="auto"/>
              </w:rPr>
              <w:t>Basic earnings per common share</w:t>
            </w:r>
          </w:p>
        </w:tc>
        <w:tc>
          <w:tcPr>
            <w:tcW w:w="920" w:type="dxa"/>
            <w:vAlign w:val="bottom"/>
            <w:tcBorders>
              <w:bottom w:val="single" w:sz="8" w:color="auto"/>
            </w:tcBorders>
          </w:tcPr>
          <w:p>
            <w:pPr>
              <w:jc w:val="right"/>
              <w:ind w:right="679"/>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1.07</w:t>
            </w:r>
          </w:p>
        </w:tc>
        <w:tc>
          <w:tcPr>
            <w:tcW w:w="1100" w:type="dxa"/>
            <w:vAlign w:val="bottom"/>
            <w:tcBorders>
              <w:bottom w:val="single" w:sz="8" w:color="auto"/>
            </w:tcBorders>
          </w:tcPr>
          <w:p>
            <w:pPr>
              <w:jc w:val="right"/>
              <w:ind w:right="899"/>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0.43</w:t>
            </w:r>
          </w:p>
        </w:tc>
        <w:tc>
          <w:tcPr>
            <w:tcW w:w="0" w:type="dxa"/>
            <w:vAlign w:val="bottom"/>
          </w:tcPr>
          <w:p>
            <w:pPr>
              <w:spacing w:after="0"/>
              <w:rPr>
                <w:sz w:val="1"/>
                <w:szCs w:val="1"/>
                <w:color w:val="auto"/>
              </w:rPr>
            </w:pPr>
          </w:p>
        </w:tc>
      </w:tr>
      <w:tr>
        <w:trPr>
          <w:trHeight w:val="135"/>
        </w:trPr>
        <w:tc>
          <w:tcPr>
            <w:tcW w:w="8040" w:type="dxa"/>
            <w:vAlign w:val="bottom"/>
          </w:tcPr>
          <w:p>
            <w:pPr>
              <w:spacing w:after="0" w:line="134" w:lineRule="exact"/>
              <w:rPr>
                <w:sz w:val="20"/>
                <w:szCs w:val="20"/>
                <w:color w:val="auto"/>
              </w:rPr>
            </w:pPr>
            <w:r>
              <w:rPr>
                <w:rFonts w:ascii="Arial" w:cs="Arial" w:eastAsia="Arial" w:hAnsi="Arial"/>
                <w:sz w:val="12"/>
                <w:szCs w:val="12"/>
                <w:color w:val="auto"/>
              </w:rPr>
              <w:t>Weighted-average number of shares outstanding, basic (thousands)</w:t>
            </w:r>
          </w:p>
        </w:tc>
        <w:tc>
          <w:tcPr>
            <w:tcW w:w="9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8"/>
              <w:spacing w:after="0" w:line="134" w:lineRule="exact"/>
              <w:rPr>
                <w:sz w:val="20"/>
                <w:szCs w:val="20"/>
                <w:color w:val="auto"/>
              </w:rPr>
            </w:pPr>
            <w:r>
              <w:rPr>
                <w:rFonts w:ascii="Arial" w:cs="Arial" w:eastAsia="Arial" w:hAnsi="Arial"/>
                <w:sz w:val="12"/>
                <w:szCs w:val="12"/>
                <w:color w:val="auto"/>
              </w:rPr>
              <w:t>240,128</w:t>
            </w:r>
          </w:p>
        </w:tc>
        <w:tc>
          <w:tcPr>
            <w:tcW w:w="1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246,083</w:t>
            </w:r>
          </w:p>
        </w:tc>
        <w:tc>
          <w:tcPr>
            <w:tcW w:w="0" w:type="dxa"/>
            <w:vAlign w:val="bottom"/>
          </w:tcPr>
          <w:p>
            <w:pPr>
              <w:spacing w:after="0"/>
              <w:rPr>
                <w:sz w:val="1"/>
                <w:szCs w:val="1"/>
                <w:color w:val="auto"/>
              </w:rPr>
            </w:pPr>
          </w:p>
        </w:tc>
      </w:tr>
      <w:tr>
        <w:trPr>
          <w:trHeight w:val="269"/>
        </w:trPr>
        <w:tc>
          <w:tcPr>
            <w:tcW w:w="8040" w:type="dxa"/>
            <w:vAlign w:val="bottom"/>
          </w:tcPr>
          <w:p>
            <w:pPr>
              <w:spacing w:after="0"/>
              <w:rPr>
                <w:sz w:val="20"/>
                <w:szCs w:val="20"/>
                <w:color w:val="auto"/>
              </w:rPr>
            </w:pPr>
            <w:r>
              <w:rPr>
                <w:rFonts w:ascii="Arial" w:cs="Arial" w:eastAsia="Arial" w:hAnsi="Arial"/>
                <w:sz w:val="12"/>
                <w:szCs w:val="12"/>
                <w:color w:val="auto"/>
              </w:rPr>
              <w:t>Diluted earnings per common share</w:t>
            </w:r>
          </w:p>
        </w:tc>
        <w:tc>
          <w:tcPr>
            <w:tcW w:w="920" w:type="dxa"/>
            <w:vAlign w:val="bottom"/>
            <w:tcBorders>
              <w:bottom w:val="single" w:sz="8" w:color="auto"/>
            </w:tcBorders>
          </w:tcPr>
          <w:p>
            <w:pPr>
              <w:jc w:val="right"/>
              <w:ind w:right="679"/>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1.07</w:t>
            </w:r>
          </w:p>
        </w:tc>
        <w:tc>
          <w:tcPr>
            <w:tcW w:w="1100" w:type="dxa"/>
            <w:vAlign w:val="bottom"/>
            <w:tcBorders>
              <w:bottom w:val="single" w:sz="8" w:color="auto"/>
            </w:tcBorders>
          </w:tcPr>
          <w:p>
            <w:pPr>
              <w:jc w:val="right"/>
              <w:ind w:right="899"/>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0.42</w:t>
            </w:r>
          </w:p>
        </w:tc>
        <w:tc>
          <w:tcPr>
            <w:tcW w:w="0" w:type="dxa"/>
            <w:vAlign w:val="bottom"/>
          </w:tcPr>
          <w:p>
            <w:pPr>
              <w:spacing w:after="0"/>
              <w:rPr>
                <w:sz w:val="1"/>
                <w:szCs w:val="1"/>
                <w:color w:val="auto"/>
              </w:rPr>
            </w:pPr>
          </w:p>
        </w:tc>
      </w:tr>
      <w:tr>
        <w:trPr>
          <w:trHeight w:val="135"/>
        </w:trPr>
        <w:tc>
          <w:tcPr>
            <w:tcW w:w="8040" w:type="dxa"/>
            <w:vAlign w:val="bottom"/>
          </w:tcPr>
          <w:p>
            <w:pPr>
              <w:spacing w:after="0" w:line="134" w:lineRule="exact"/>
              <w:rPr>
                <w:sz w:val="20"/>
                <w:szCs w:val="20"/>
                <w:color w:val="auto"/>
              </w:rPr>
            </w:pPr>
            <w:r>
              <w:rPr>
                <w:rFonts w:ascii="Arial" w:cs="Arial" w:eastAsia="Arial" w:hAnsi="Arial"/>
                <w:sz w:val="12"/>
                <w:szCs w:val="12"/>
                <w:color w:val="auto"/>
              </w:rPr>
              <w:t>Weighted-average number of shares outstanding, diluted (thousands)</w:t>
            </w:r>
          </w:p>
        </w:tc>
        <w:tc>
          <w:tcPr>
            <w:tcW w:w="9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8"/>
              <w:spacing w:after="0" w:line="134" w:lineRule="exact"/>
              <w:rPr>
                <w:sz w:val="20"/>
                <w:szCs w:val="20"/>
                <w:color w:val="auto"/>
              </w:rPr>
            </w:pPr>
            <w:r>
              <w:rPr>
                <w:rFonts w:ascii="Arial" w:cs="Arial" w:eastAsia="Arial" w:hAnsi="Arial"/>
                <w:sz w:val="12"/>
                <w:szCs w:val="12"/>
                <w:color w:val="auto"/>
              </w:rPr>
              <w:t>241,903</w:t>
            </w:r>
          </w:p>
        </w:tc>
        <w:tc>
          <w:tcPr>
            <w:tcW w:w="1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250,373</w:t>
            </w:r>
          </w:p>
        </w:tc>
        <w:tc>
          <w:tcPr>
            <w:tcW w:w="0" w:type="dxa"/>
            <w:vAlign w:val="bottom"/>
          </w:tcPr>
          <w:p>
            <w:pPr>
              <w:spacing w:after="0"/>
              <w:rPr>
                <w:sz w:val="1"/>
                <w:szCs w:val="1"/>
                <w:color w:val="auto"/>
              </w:rPr>
            </w:pPr>
          </w:p>
        </w:tc>
      </w:tr>
      <w:tr>
        <w:trPr>
          <w:trHeight w:val="148"/>
        </w:trPr>
        <w:tc>
          <w:tcPr>
            <w:tcW w:w="8040" w:type="dxa"/>
            <w:vAlign w:val="bottom"/>
          </w:tcPr>
          <w:p>
            <w:pPr>
              <w:spacing w:after="0"/>
              <w:rPr>
                <w:sz w:val="20"/>
                <w:szCs w:val="20"/>
                <w:color w:val="auto"/>
              </w:rPr>
            </w:pPr>
            <w:r>
              <w:rPr>
                <w:rFonts w:ascii="Arial" w:cs="Arial" w:eastAsia="Arial" w:hAnsi="Arial"/>
                <w:sz w:val="12"/>
                <w:szCs w:val="12"/>
                <w:color w:val="auto"/>
              </w:rPr>
              <w:t>Dividends declared per share of common stock</w:t>
            </w:r>
          </w:p>
        </w:tc>
        <w:tc>
          <w:tcPr>
            <w:tcW w:w="920" w:type="dxa"/>
            <w:vAlign w:val="bottom"/>
          </w:tcPr>
          <w:p>
            <w:pPr>
              <w:jc w:val="right"/>
              <w:ind w:right="679"/>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0.48</w:t>
            </w:r>
          </w:p>
        </w:tc>
        <w:tc>
          <w:tcPr>
            <w:tcW w:w="1100" w:type="dxa"/>
            <w:vAlign w:val="bottom"/>
          </w:tcPr>
          <w:p>
            <w:pPr>
              <w:jc w:val="right"/>
              <w:ind w:right="899"/>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0.39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279005"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See Notes to Condensed Consolidated Financial Statements.</w:t>
      </w:r>
    </w:p>
    <w:p>
      <w:pPr>
        <w:sectPr>
          <w:pgSz w:w="11900" w:h="16838" w:orient="portrait"/>
          <w:cols w:equalWidth="0" w:num="1">
            <w:col w:w="11460"/>
          </w:cols>
          <w:pgMar w:left="220" w:top="443" w:right="219"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255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9005" cy="25590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480" w:type="dxa"/>
            <w:vAlign w:val="bottom"/>
            <w:gridSpan w:val="2"/>
          </w:tcPr>
          <w:p>
            <w:pPr>
              <w:spacing w:after="0"/>
              <w:rPr>
                <w:sz w:val="20"/>
                <w:szCs w:val="20"/>
                <w:color w:val="auto"/>
              </w:rPr>
            </w:pPr>
            <w:r>
              <w:rPr>
                <w:rFonts w:ascii="Arial" w:cs="Arial" w:eastAsia="Arial" w:hAnsi="Arial"/>
                <w:sz w:val="11"/>
                <w:szCs w:val="11"/>
                <w:i w:val="1"/>
                <w:iCs w:val="1"/>
                <w:color w:val="auto"/>
              </w:rPr>
              <w:t>(Dollars in millions)</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00" w:type="dxa"/>
            <w:vAlign w:val="bottom"/>
          </w:tcPr>
          <w:p>
            <w:pPr>
              <w:jc w:val="center"/>
              <w:ind w:left="383"/>
              <w:spacing w:after="0"/>
              <w:rPr>
                <w:sz w:val="20"/>
                <w:szCs w:val="20"/>
                <w:color w:val="auto"/>
              </w:rPr>
            </w:pPr>
            <w:r>
              <w:rPr>
                <w:rFonts w:ascii="Arial" w:cs="Arial" w:eastAsia="Arial" w:hAnsi="Arial"/>
                <w:sz w:val="11"/>
                <w:szCs w:val="11"/>
                <w:color w:val="auto"/>
                <w:w w:val="98"/>
              </w:rPr>
              <w:t>March 31,</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right"/>
              <w:ind w:right="298"/>
              <w:spacing w:after="0"/>
              <w:rPr>
                <w:sz w:val="20"/>
                <w:szCs w:val="20"/>
                <w:color w:val="auto"/>
              </w:rPr>
            </w:pPr>
            <w:r>
              <w:rPr>
                <w:rFonts w:ascii="Arial" w:cs="Arial" w:eastAsia="Arial" w:hAnsi="Arial"/>
                <w:sz w:val="11"/>
                <w:szCs w:val="11"/>
                <w:color w:val="auto"/>
              </w:rPr>
              <w:t>December 31,</w:t>
            </w:r>
          </w:p>
        </w:tc>
        <w:tc>
          <w:tcPr>
            <w:tcW w:w="0" w:type="dxa"/>
            <w:vAlign w:val="bottom"/>
          </w:tcPr>
          <w:p>
            <w:pPr>
              <w:spacing w:after="0"/>
              <w:rPr>
                <w:sz w:val="1"/>
                <w:szCs w:val="1"/>
                <w:color w:val="auto"/>
              </w:rPr>
            </w:pPr>
          </w:p>
        </w:tc>
      </w:tr>
      <w:tr>
        <w:trPr>
          <w:trHeight w:val="124"/>
        </w:trPr>
        <w:tc>
          <w:tcPr>
            <w:tcW w:w="140" w:type="dxa"/>
            <w:vAlign w:val="bottom"/>
            <w:tcBorders>
              <w:bottom w:val="single" w:sz="8" w:color="auto"/>
            </w:tcBorders>
          </w:tcPr>
          <w:p>
            <w:pPr>
              <w:spacing w:after="0"/>
              <w:rPr>
                <w:sz w:val="10"/>
                <w:szCs w:val="10"/>
                <w:color w:val="auto"/>
              </w:rPr>
            </w:pPr>
          </w:p>
        </w:tc>
        <w:tc>
          <w:tcPr>
            <w:tcW w:w="634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gridSpan w:val="2"/>
          </w:tcPr>
          <w:p>
            <w:pPr>
              <w:jc w:val="center"/>
              <w:ind w:left="2461"/>
              <w:spacing w:after="0" w:line="123" w:lineRule="exact"/>
              <w:rPr>
                <w:sz w:val="20"/>
                <w:szCs w:val="20"/>
                <w:color w:val="auto"/>
              </w:rPr>
            </w:pPr>
            <w:r>
              <w:rPr>
                <w:rFonts w:ascii="Arial" w:cs="Arial" w:eastAsia="Arial" w:hAnsi="Arial"/>
                <w:sz w:val="11"/>
                <w:szCs w:val="11"/>
                <w:color w:val="auto"/>
                <w:w w:val="97"/>
              </w:rPr>
              <w:t>2011</w:t>
            </w: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458"/>
              <w:spacing w:after="0" w:line="123" w:lineRule="exact"/>
              <w:rPr>
                <w:sz w:val="20"/>
                <w:szCs w:val="20"/>
                <w:color w:val="auto"/>
              </w:rPr>
            </w:pPr>
            <w:r>
              <w:rPr>
                <w:rFonts w:ascii="Arial" w:cs="Arial" w:eastAsia="Arial" w:hAnsi="Arial"/>
                <w:sz w:val="11"/>
                <w:szCs w:val="11"/>
                <w:color w:val="auto"/>
              </w:rPr>
              <w:t>2010(1)</w:t>
            </w:r>
          </w:p>
        </w:tc>
        <w:tc>
          <w:tcPr>
            <w:tcW w:w="0" w:type="dxa"/>
            <w:vAlign w:val="bottom"/>
          </w:tcPr>
          <w:p>
            <w:pPr>
              <w:spacing w:after="0"/>
              <w:rPr>
                <w:sz w:val="1"/>
                <w:szCs w:val="1"/>
                <w:color w:val="auto"/>
              </w:rPr>
            </w:pPr>
          </w:p>
        </w:tc>
      </w:tr>
      <w:tr>
        <w:trPr>
          <w:trHeight w:val="146"/>
        </w:trPr>
        <w:tc>
          <w:tcPr>
            <w:tcW w:w="6480" w:type="dxa"/>
            <w:vAlign w:val="bottom"/>
            <w:gridSpan w:val="2"/>
            <w:vMerge w:val="restart"/>
          </w:tcPr>
          <w:p>
            <w:pPr>
              <w:spacing w:after="0"/>
              <w:rPr>
                <w:sz w:val="20"/>
                <w:szCs w:val="20"/>
                <w:color w:val="auto"/>
              </w:rPr>
            </w:pPr>
            <w:r>
              <w:rPr>
                <w:rFonts w:ascii="Arial" w:cs="Arial" w:eastAsia="Arial" w:hAnsi="Arial"/>
                <w:sz w:val="12"/>
                <w:szCs w:val="12"/>
                <w:color w:val="auto"/>
              </w:rPr>
              <w:t>ASSETS</w:t>
            </w:r>
          </w:p>
        </w:tc>
        <w:tc>
          <w:tcPr>
            <w:tcW w:w="2120" w:type="dxa"/>
            <w:vAlign w:val="bottom"/>
          </w:tcPr>
          <w:p>
            <w:pPr>
              <w:spacing w:after="0"/>
              <w:rPr>
                <w:sz w:val="12"/>
                <w:szCs w:val="12"/>
                <w:color w:val="auto"/>
              </w:rPr>
            </w:pPr>
          </w:p>
        </w:tc>
        <w:tc>
          <w:tcPr>
            <w:tcW w:w="1000" w:type="dxa"/>
            <w:vAlign w:val="bottom"/>
          </w:tcPr>
          <w:p>
            <w:pPr>
              <w:jc w:val="center"/>
              <w:ind w:left="383"/>
              <w:spacing w:after="0"/>
              <w:rPr>
                <w:sz w:val="20"/>
                <w:szCs w:val="20"/>
                <w:color w:val="auto"/>
              </w:rPr>
            </w:pPr>
            <w:r>
              <w:rPr>
                <w:rFonts w:ascii="Arial" w:cs="Arial" w:eastAsia="Arial" w:hAnsi="Arial"/>
                <w:sz w:val="11"/>
                <w:szCs w:val="11"/>
                <w:color w:val="auto"/>
              </w:rPr>
              <w:t>(unaudited)</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480" w:type="dxa"/>
            <w:vAlign w:val="bottom"/>
            <w:gridSpan w:val="2"/>
            <w:vMerge w:val="continue"/>
          </w:tcPr>
          <w:p>
            <w:pPr>
              <w:spacing w:after="0"/>
              <w:rPr>
                <w:sz w:val="9"/>
                <w:szCs w:val="9"/>
                <w:color w:val="auto"/>
              </w:rPr>
            </w:pPr>
          </w:p>
        </w:tc>
        <w:tc>
          <w:tcPr>
            <w:tcW w:w="2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6480" w:type="dxa"/>
            <w:vAlign w:val="bottom"/>
            <w:gridSpan w:val="2"/>
          </w:tcPr>
          <w:p>
            <w:pPr>
              <w:spacing w:after="0" w:line="134" w:lineRule="exact"/>
              <w:rPr>
                <w:sz w:val="20"/>
                <w:szCs w:val="20"/>
                <w:color w:val="auto"/>
              </w:rPr>
            </w:pPr>
            <w:r>
              <w:rPr>
                <w:rFonts w:ascii="Arial" w:cs="Arial" w:eastAsia="Arial" w:hAnsi="Arial"/>
                <w:sz w:val="12"/>
                <w:szCs w:val="12"/>
                <w:color w:val="auto"/>
              </w:rPr>
              <w:t>Current assets:</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Cash and cash equivalents</w:t>
            </w:r>
          </w:p>
        </w:tc>
        <w:tc>
          <w:tcPr>
            <w:tcW w:w="3120" w:type="dxa"/>
            <w:vAlign w:val="bottom"/>
            <w:gridSpan w:val="2"/>
          </w:tcPr>
          <w:p>
            <w:pPr>
              <w:jc w:val="right"/>
              <w:ind w:right="863"/>
              <w:spacing w:after="0" w:line="134" w:lineRule="exact"/>
              <w:rPr>
                <w:sz w:val="20"/>
                <w:szCs w:val="20"/>
                <w:color w:val="auto"/>
              </w:rPr>
            </w:pPr>
            <w:r>
              <w:rPr>
                <w:rFonts w:ascii="Arial" w:cs="Arial" w:eastAsia="Arial" w:hAnsi="Arial"/>
                <w:sz w:val="12"/>
                <w:szCs w:val="12"/>
                <w:color w:val="auto"/>
              </w:rPr>
              <w:t>$</w:t>
            </w: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1,219</w:t>
            </w:r>
          </w:p>
        </w:tc>
        <w:tc>
          <w:tcPr>
            <w:tcW w:w="220" w:type="dxa"/>
            <w:vAlign w:val="bottom"/>
          </w:tcPr>
          <w:p>
            <w:pPr>
              <w:jc w:val="right"/>
              <w:ind w:right="78"/>
              <w:spacing w:after="0" w:line="134" w:lineRule="exact"/>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912</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Restricted cash</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318</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131</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Trade accounts receivable</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922</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891</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Other accounts and notes receivable</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136</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141</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Due from unconsolidated affiliates</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17</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Income taxes receivable</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261</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248</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Deferred income taxes</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36</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Inventories</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176</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258</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Regulatory assets</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73</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Fixed-price contracts and other derivatives</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97</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81</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Settlement receivable related to wildfire litigation</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300</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6340" w:type="dxa"/>
            <w:vAlign w:val="bottom"/>
          </w:tcPr>
          <w:p>
            <w:pPr>
              <w:spacing w:after="0"/>
              <w:rPr>
                <w:sz w:val="20"/>
                <w:szCs w:val="20"/>
                <w:color w:val="auto"/>
              </w:rPr>
            </w:pPr>
            <w:r>
              <w:rPr>
                <w:rFonts w:ascii="Arial" w:cs="Arial" w:eastAsia="Arial" w:hAnsi="Arial"/>
                <w:sz w:val="12"/>
                <w:szCs w:val="12"/>
                <w:color w:val="auto"/>
              </w:rPr>
              <w:t>Other</w:t>
            </w:r>
          </w:p>
        </w:tc>
        <w:tc>
          <w:tcPr>
            <w:tcW w:w="21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171</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192</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6340" w:type="dxa"/>
            <w:vAlign w:val="bottom"/>
          </w:tcPr>
          <w:p>
            <w:pPr>
              <w:ind w:left="140"/>
              <w:spacing w:after="0" w:line="134" w:lineRule="exact"/>
              <w:rPr>
                <w:sz w:val="20"/>
                <w:szCs w:val="20"/>
                <w:color w:val="auto"/>
              </w:rPr>
            </w:pPr>
            <w:r>
              <w:rPr>
                <w:rFonts w:ascii="Arial" w:cs="Arial" w:eastAsia="Arial" w:hAnsi="Arial"/>
                <w:sz w:val="12"/>
                <w:szCs w:val="12"/>
                <w:color w:val="auto"/>
              </w:rPr>
              <w:t>Total current assets</w:t>
            </w:r>
          </w:p>
        </w:tc>
        <w:tc>
          <w:tcPr>
            <w:tcW w:w="21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3,426</w:t>
            </w: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3,353</w:t>
            </w:r>
          </w:p>
        </w:tc>
        <w:tc>
          <w:tcPr>
            <w:tcW w:w="0" w:type="dxa"/>
            <w:vAlign w:val="bottom"/>
          </w:tcPr>
          <w:p>
            <w:pPr>
              <w:spacing w:after="0"/>
              <w:rPr>
                <w:sz w:val="1"/>
                <w:szCs w:val="1"/>
                <w:color w:val="auto"/>
              </w:rPr>
            </w:pPr>
          </w:p>
        </w:tc>
      </w:tr>
      <w:tr>
        <w:trPr>
          <w:trHeight w:val="281"/>
        </w:trPr>
        <w:tc>
          <w:tcPr>
            <w:tcW w:w="6480" w:type="dxa"/>
            <w:vAlign w:val="bottom"/>
            <w:gridSpan w:val="2"/>
          </w:tcPr>
          <w:p>
            <w:pPr>
              <w:spacing w:after="0"/>
              <w:rPr>
                <w:sz w:val="20"/>
                <w:szCs w:val="20"/>
                <w:color w:val="auto"/>
              </w:rPr>
            </w:pPr>
            <w:r>
              <w:rPr>
                <w:rFonts w:ascii="Arial" w:cs="Arial" w:eastAsia="Arial" w:hAnsi="Arial"/>
                <w:sz w:val="12"/>
                <w:szCs w:val="12"/>
                <w:color w:val="auto"/>
              </w:rPr>
              <w:t>Investments and other assets:</w:t>
            </w:r>
          </w:p>
        </w:tc>
        <w:tc>
          <w:tcPr>
            <w:tcW w:w="2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Restricted cash</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Regulatory assets arising from pension and other postretirement</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ind w:left="140"/>
              <w:spacing w:after="0" w:line="134" w:lineRule="exact"/>
              <w:rPr>
                <w:sz w:val="20"/>
                <w:szCs w:val="20"/>
                <w:color w:val="auto"/>
              </w:rPr>
            </w:pPr>
            <w:r>
              <w:rPr>
                <w:rFonts w:ascii="Arial" w:cs="Arial" w:eastAsia="Arial" w:hAnsi="Arial"/>
                <w:sz w:val="12"/>
                <w:szCs w:val="12"/>
                <w:color w:val="auto"/>
              </w:rPr>
              <w:t>benefit obligations</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885</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869</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Regulatory assets arising from wildfire litigation costs</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348</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364</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Other regulatory assets</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932</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934</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Nuclear decommissioning trusts</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796</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769</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Investment in RBS Sempra Commodities LLP</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779</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787</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Other investments</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2,163</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2,164</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Goodwill and other intangible assets</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537</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540</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6340" w:type="dxa"/>
            <w:vAlign w:val="bottom"/>
          </w:tcPr>
          <w:p>
            <w:pPr>
              <w:spacing w:after="0"/>
              <w:rPr>
                <w:sz w:val="20"/>
                <w:szCs w:val="20"/>
                <w:color w:val="auto"/>
              </w:rPr>
            </w:pPr>
            <w:r>
              <w:rPr>
                <w:rFonts w:ascii="Arial" w:cs="Arial" w:eastAsia="Arial" w:hAnsi="Arial"/>
                <w:sz w:val="12"/>
                <w:szCs w:val="12"/>
                <w:color w:val="auto"/>
              </w:rPr>
              <w:t>Sundry</w:t>
            </w:r>
          </w:p>
        </w:tc>
        <w:tc>
          <w:tcPr>
            <w:tcW w:w="21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630</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600</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6340" w:type="dxa"/>
            <w:vAlign w:val="bottom"/>
          </w:tcPr>
          <w:p>
            <w:pPr>
              <w:ind w:left="140"/>
              <w:spacing w:after="0" w:line="134" w:lineRule="exact"/>
              <w:rPr>
                <w:sz w:val="20"/>
                <w:szCs w:val="20"/>
                <w:color w:val="auto"/>
              </w:rPr>
            </w:pPr>
            <w:r>
              <w:rPr>
                <w:rFonts w:ascii="Arial" w:cs="Arial" w:eastAsia="Arial" w:hAnsi="Arial"/>
                <w:sz w:val="12"/>
                <w:szCs w:val="12"/>
                <w:color w:val="auto"/>
              </w:rPr>
              <w:t>Total investments and other assets</w:t>
            </w:r>
          </w:p>
        </w:tc>
        <w:tc>
          <w:tcPr>
            <w:tcW w:w="21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7,070</w:t>
            </w: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7,054</w:t>
            </w:r>
          </w:p>
        </w:tc>
        <w:tc>
          <w:tcPr>
            <w:tcW w:w="0" w:type="dxa"/>
            <w:vAlign w:val="bottom"/>
          </w:tcPr>
          <w:p>
            <w:pPr>
              <w:spacing w:after="0"/>
              <w:rPr>
                <w:sz w:val="1"/>
                <w:szCs w:val="1"/>
                <w:color w:val="auto"/>
              </w:rPr>
            </w:pPr>
          </w:p>
        </w:tc>
      </w:tr>
      <w:tr>
        <w:trPr>
          <w:trHeight w:val="281"/>
        </w:trPr>
        <w:tc>
          <w:tcPr>
            <w:tcW w:w="6480" w:type="dxa"/>
            <w:vAlign w:val="bottom"/>
            <w:gridSpan w:val="2"/>
          </w:tcPr>
          <w:p>
            <w:pPr>
              <w:spacing w:after="0"/>
              <w:rPr>
                <w:sz w:val="20"/>
                <w:szCs w:val="20"/>
                <w:color w:val="auto"/>
              </w:rPr>
            </w:pPr>
            <w:r>
              <w:rPr>
                <w:rFonts w:ascii="Arial" w:cs="Arial" w:eastAsia="Arial" w:hAnsi="Arial"/>
                <w:sz w:val="12"/>
                <w:szCs w:val="12"/>
                <w:color w:val="auto"/>
              </w:rPr>
              <w:t>Property, plant and equipment:</w:t>
            </w:r>
          </w:p>
        </w:tc>
        <w:tc>
          <w:tcPr>
            <w:tcW w:w="2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Property, plant and equipment</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27,556</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27,087</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6340" w:type="dxa"/>
            <w:vAlign w:val="bottom"/>
          </w:tcPr>
          <w:p>
            <w:pPr>
              <w:spacing w:after="0"/>
              <w:rPr>
                <w:sz w:val="20"/>
                <w:szCs w:val="20"/>
                <w:color w:val="auto"/>
              </w:rPr>
            </w:pPr>
            <w:r>
              <w:rPr>
                <w:rFonts w:ascii="Arial" w:cs="Arial" w:eastAsia="Arial" w:hAnsi="Arial"/>
                <w:sz w:val="12"/>
                <w:szCs w:val="12"/>
                <w:color w:val="auto"/>
              </w:rPr>
              <w:t>Less accumulated depreciation and amortization</w:t>
            </w:r>
          </w:p>
        </w:tc>
        <w:tc>
          <w:tcPr>
            <w:tcW w:w="21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(7,356)</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(7,211)</w:t>
            </w:r>
          </w:p>
        </w:tc>
        <w:tc>
          <w:tcPr>
            <w:tcW w:w="0" w:type="dxa"/>
            <w:vAlign w:val="bottom"/>
          </w:tcPr>
          <w:p>
            <w:pPr>
              <w:spacing w:after="0"/>
              <w:rPr>
                <w:sz w:val="1"/>
                <w:szCs w:val="1"/>
                <w:color w:val="auto"/>
              </w:rPr>
            </w:pPr>
          </w:p>
        </w:tc>
      </w:tr>
      <w:tr>
        <w:trPr>
          <w:trHeight w:val="125"/>
        </w:trPr>
        <w:tc>
          <w:tcPr>
            <w:tcW w:w="140" w:type="dxa"/>
            <w:vAlign w:val="bottom"/>
          </w:tcPr>
          <w:p>
            <w:pPr>
              <w:spacing w:after="0"/>
              <w:rPr>
                <w:sz w:val="10"/>
                <w:szCs w:val="10"/>
                <w:color w:val="auto"/>
              </w:rPr>
            </w:pPr>
          </w:p>
        </w:tc>
        <w:tc>
          <w:tcPr>
            <w:tcW w:w="6340" w:type="dxa"/>
            <w:vAlign w:val="bottom"/>
          </w:tcPr>
          <w:p>
            <w:pPr>
              <w:ind w:left="140"/>
              <w:spacing w:after="0" w:line="126" w:lineRule="exact"/>
              <w:rPr>
                <w:sz w:val="20"/>
                <w:szCs w:val="20"/>
                <w:color w:val="auto"/>
              </w:rPr>
            </w:pPr>
            <w:r>
              <w:rPr>
                <w:rFonts w:ascii="Arial" w:cs="Arial" w:eastAsia="Arial" w:hAnsi="Arial"/>
                <w:sz w:val="12"/>
                <w:szCs w:val="12"/>
                <w:color w:val="auto"/>
              </w:rPr>
              <w:t>Property, plant and equipment, net ($510 and $516 at March 31, 2011 and</w:t>
            </w:r>
          </w:p>
        </w:tc>
        <w:tc>
          <w:tcPr>
            <w:tcW w:w="2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20,200</w:t>
            </w:r>
          </w:p>
        </w:tc>
        <w:tc>
          <w:tcPr>
            <w:tcW w:w="22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Arial" w:cs="Arial" w:eastAsia="Arial" w:hAnsi="Arial"/>
                <w:sz w:val="12"/>
                <w:szCs w:val="12"/>
                <w:color w:val="auto"/>
              </w:rPr>
              <w:t>19,876</w:t>
            </w:r>
          </w:p>
        </w:tc>
        <w:tc>
          <w:tcPr>
            <w:tcW w:w="0" w:type="dxa"/>
            <w:vAlign w:val="bottom"/>
          </w:tcPr>
          <w:p>
            <w:pPr>
              <w:spacing w:after="0"/>
              <w:rPr>
                <w:sz w:val="1"/>
                <w:szCs w:val="1"/>
                <w:color w:val="auto"/>
              </w:rPr>
            </w:pPr>
          </w:p>
        </w:tc>
      </w:tr>
      <w:tr>
        <w:trPr>
          <w:trHeight w:val="123"/>
        </w:trPr>
        <w:tc>
          <w:tcPr>
            <w:tcW w:w="140" w:type="dxa"/>
            <w:vAlign w:val="bottom"/>
          </w:tcPr>
          <w:p>
            <w:pPr>
              <w:spacing w:after="0"/>
              <w:rPr>
                <w:sz w:val="10"/>
                <w:szCs w:val="10"/>
                <w:color w:val="auto"/>
              </w:rPr>
            </w:pPr>
          </w:p>
        </w:tc>
        <w:tc>
          <w:tcPr>
            <w:tcW w:w="6340" w:type="dxa"/>
            <w:vAlign w:val="bottom"/>
          </w:tcPr>
          <w:p>
            <w:pPr>
              <w:ind w:left="280"/>
              <w:spacing w:after="0" w:line="123" w:lineRule="exact"/>
              <w:rPr>
                <w:sz w:val="20"/>
                <w:szCs w:val="20"/>
                <w:color w:val="auto"/>
              </w:rPr>
            </w:pPr>
            <w:r>
              <w:rPr>
                <w:rFonts w:ascii="Arial" w:cs="Arial" w:eastAsia="Arial" w:hAnsi="Arial"/>
                <w:sz w:val="12"/>
                <w:szCs w:val="12"/>
                <w:color w:val="auto"/>
              </w:rPr>
              <w:t>December 31, 2010, respectively, related to VIE)</w:t>
            </w:r>
          </w:p>
        </w:tc>
        <w:tc>
          <w:tcPr>
            <w:tcW w:w="212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480" w:type="dxa"/>
            <w:vAlign w:val="bottom"/>
            <w:tcBorders>
              <w:bottom w:val="single" w:sz="8" w:color="auto"/>
            </w:tcBorders>
            <w:gridSpan w:val="2"/>
          </w:tcPr>
          <w:p>
            <w:pPr>
              <w:spacing w:after="0" w:line="134" w:lineRule="exact"/>
              <w:rPr>
                <w:sz w:val="20"/>
                <w:szCs w:val="20"/>
                <w:color w:val="auto"/>
              </w:rPr>
            </w:pPr>
            <w:r>
              <w:rPr>
                <w:rFonts w:ascii="Arial" w:cs="Arial" w:eastAsia="Arial" w:hAnsi="Arial"/>
                <w:sz w:val="12"/>
                <w:szCs w:val="12"/>
                <w:color w:val="auto"/>
              </w:rPr>
              <w:t>Total assets</w:t>
            </w:r>
          </w:p>
        </w:tc>
        <w:tc>
          <w:tcPr>
            <w:tcW w:w="2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863"/>
              <w:spacing w:after="0" w:line="134" w:lineRule="exact"/>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30,696</w:t>
            </w:r>
          </w:p>
        </w:tc>
        <w:tc>
          <w:tcPr>
            <w:tcW w:w="220" w:type="dxa"/>
            <w:vAlign w:val="bottom"/>
            <w:tcBorders>
              <w:bottom w:val="single" w:sz="8" w:color="auto"/>
            </w:tcBorders>
          </w:tcPr>
          <w:p>
            <w:pPr>
              <w:jc w:val="right"/>
              <w:ind w:right="78"/>
              <w:spacing w:after="0" w:line="134" w:lineRule="exact"/>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30,283</w:t>
            </w:r>
          </w:p>
        </w:tc>
        <w:tc>
          <w:tcPr>
            <w:tcW w:w="0" w:type="dxa"/>
            <w:vAlign w:val="bottom"/>
          </w:tcPr>
          <w:p>
            <w:pPr>
              <w:spacing w:after="0"/>
              <w:rPr>
                <w:sz w:val="1"/>
                <w:szCs w:val="1"/>
                <w:color w:val="auto"/>
              </w:rPr>
            </w:pPr>
          </w:p>
        </w:tc>
      </w:tr>
      <w:tr>
        <w:trPr>
          <w:trHeight w:val="126"/>
        </w:trPr>
        <w:tc>
          <w:tcPr>
            <w:tcW w:w="140" w:type="dxa"/>
            <w:vAlign w:val="bottom"/>
          </w:tcPr>
          <w:p>
            <w:pPr>
              <w:spacing w:after="0"/>
              <w:rPr>
                <w:sz w:val="20"/>
                <w:szCs w:val="20"/>
                <w:color w:val="auto"/>
              </w:rPr>
            </w:pPr>
            <w:r>
              <w:rPr>
                <w:rFonts w:ascii="Arial" w:cs="Arial" w:eastAsia="Arial" w:hAnsi="Arial"/>
                <w:sz w:val="11"/>
                <w:szCs w:val="11"/>
                <w:i w:val="1"/>
                <w:iCs w:val="1"/>
                <w:color w:val="auto"/>
                <w:w w:val="88"/>
              </w:rPr>
              <w:t>(1)</w:t>
            </w:r>
          </w:p>
        </w:tc>
        <w:tc>
          <w:tcPr>
            <w:tcW w:w="6340" w:type="dxa"/>
            <w:vAlign w:val="bottom"/>
          </w:tcPr>
          <w:p>
            <w:pPr>
              <w:ind w:left="380"/>
              <w:spacing w:after="0"/>
              <w:rPr>
                <w:sz w:val="20"/>
                <w:szCs w:val="20"/>
                <w:color w:val="auto"/>
              </w:rPr>
            </w:pPr>
            <w:r>
              <w:rPr>
                <w:rFonts w:ascii="Arial" w:cs="Arial" w:eastAsia="Arial" w:hAnsi="Arial"/>
                <w:sz w:val="11"/>
                <w:szCs w:val="11"/>
                <w:i w:val="1"/>
                <w:iCs w:val="1"/>
                <w:color w:val="auto"/>
              </w:rPr>
              <w:t>Derived from audited financial statements.</w:t>
            </w:r>
          </w:p>
        </w:tc>
        <w:tc>
          <w:tcPr>
            <w:tcW w:w="2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480" w:type="dxa"/>
            <w:vAlign w:val="bottom"/>
            <w:gridSpan w:val="2"/>
          </w:tcPr>
          <w:p>
            <w:pPr>
              <w:spacing w:after="0"/>
              <w:rPr>
                <w:sz w:val="20"/>
                <w:szCs w:val="20"/>
                <w:color w:val="auto"/>
              </w:rPr>
            </w:pPr>
            <w:r>
              <w:rPr>
                <w:rFonts w:ascii="Arial" w:cs="Arial" w:eastAsia="Arial" w:hAnsi="Arial"/>
                <w:sz w:val="11"/>
                <w:szCs w:val="11"/>
                <w:i w:val="1"/>
                <w:iCs w:val="1"/>
                <w:color w:val="auto"/>
              </w:rPr>
              <w:t>See Notes to Condensed Consolidated Financial Statements.</w:t>
            </w:r>
          </w:p>
        </w:tc>
        <w:tc>
          <w:tcPr>
            <w:tcW w:w="2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27" w:right="21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255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9005" cy="25590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740" w:type="dxa"/>
            <w:vAlign w:val="bottom"/>
            <w:gridSpan w:val="2"/>
          </w:tcPr>
          <w:p>
            <w:pPr>
              <w:spacing w:after="0"/>
              <w:rPr>
                <w:sz w:val="20"/>
                <w:szCs w:val="20"/>
                <w:color w:val="auto"/>
              </w:rPr>
            </w:pPr>
            <w:r>
              <w:rPr>
                <w:rFonts w:ascii="Arial" w:cs="Arial" w:eastAsia="Arial" w:hAnsi="Arial"/>
                <w:sz w:val="11"/>
                <w:szCs w:val="11"/>
                <w:i w:val="1"/>
                <w:iCs w:val="1"/>
                <w:color w:val="auto"/>
              </w:rPr>
              <w:t>(Dollars in millions)</w:t>
            </w:r>
          </w:p>
        </w:tc>
        <w:tc>
          <w:tcPr>
            <w:tcW w:w="1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0" w:type="dxa"/>
            <w:vAlign w:val="bottom"/>
          </w:tcPr>
          <w:p>
            <w:pPr>
              <w:jc w:val="center"/>
              <w:ind w:left="383"/>
              <w:spacing w:after="0"/>
              <w:rPr>
                <w:sz w:val="20"/>
                <w:szCs w:val="20"/>
                <w:color w:val="auto"/>
              </w:rPr>
            </w:pPr>
            <w:r>
              <w:rPr>
                <w:rFonts w:ascii="Arial" w:cs="Arial" w:eastAsia="Arial" w:hAnsi="Arial"/>
                <w:sz w:val="11"/>
                <w:szCs w:val="11"/>
                <w:color w:val="auto"/>
                <w:w w:val="98"/>
              </w:rPr>
              <w:t>March 31,</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right"/>
              <w:ind w:right="298"/>
              <w:spacing w:after="0"/>
              <w:rPr>
                <w:sz w:val="20"/>
                <w:szCs w:val="20"/>
                <w:color w:val="auto"/>
              </w:rPr>
            </w:pPr>
            <w:r>
              <w:rPr>
                <w:rFonts w:ascii="Arial" w:cs="Arial" w:eastAsia="Arial" w:hAnsi="Arial"/>
                <w:sz w:val="11"/>
                <w:szCs w:val="11"/>
                <w:color w:val="auto"/>
              </w:rPr>
              <w:t>December 31,</w:t>
            </w:r>
          </w:p>
        </w:tc>
        <w:tc>
          <w:tcPr>
            <w:tcW w:w="0" w:type="dxa"/>
            <w:vAlign w:val="bottom"/>
          </w:tcPr>
          <w:p>
            <w:pPr>
              <w:spacing w:after="0"/>
              <w:rPr>
                <w:sz w:val="1"/>
                <w:szCs w:val="1"/>
                <w:color w:val="auto"/>
              </w:rPr>
            </w:pPr>
          </w:p>
        </w:tc>
      </w:tr>
      <w:tr>
        <w:trPr>
          <w:trHeight w:val="124"/>
        </w:trPr>
        <w:tc>
          <w:tcPr>
            <w:tcW w:w="140" w:type="dxa"/>
            <w:vAlign w:val="bottom"/>
            <w:tcBorders>
              <w:bottom w:val="single" w:sz="8" w:color="auto"/>
            </w:tcBorders>
          </w:tcPr>
          <w:p>
            <w:pPr>
              <w:spacing w:after="0"/>
              <w:rPr>
                <w:sz w:val="10"/>
                <w:szCs w:val="10"/>
                <w:color w:val="auto"/>
              </w:rPr>
            </w:pPr>
          </w:p>
        </w:tc>
        <w:tc>
          <w:tcPr>
            <w:tcW w:w="660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gridSpan w:val="2"/>
          </w:tcPr>
          <w:p>
            <w:pPr>
              <w:jc w:val="center"/>
              <w:ind w:left="2201"/>
              <w:spacing w:after="0" w:line="123" w:lineRule="exact"/>
              <w:rPr>
                <w:sz w:val="20"/>
                <w:szCs w:val="20"/>
                <w:color w:val="auto"/>
              </w:rPr>
            </w:pPr>
            <w:r>
              <w:rPr>
                <w:rFonts w:ascii="Arial" w:cs="Arial" w:eastAsia="Arial" w:hAnsi="Arial"/>
                <w:sz w:val="11"/>
                <w:szCs w:val="11"/>
                <w:color w:val="auto"/>
                <w:w w:val="97"/>
              </w:rPr>
              <w:t>2011</w:t>
            </w: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458"/>
              <w:spacing w:after="0" w:line="123" w:lineRule="exact"/>
              <w:rPr>
                <w:sz w:val="20"/>
                <w:szCs w:val="20"/>
                <w:color w:val="auto"/>
              </w:rPr>
            </w:pPr>
            <w:r>
              <w:rPr>
                <w:rFonts w:ascii="Arial" w:cs="Arial" w:eastAsia="Arial" w:hAnsi="Arial"/>
                <w:sz w:val="11"/>
                <w:szCs w:val="11"/>
                <w:color w:val="auto"/>
              </w:rPr>
              <w:t>2010(1)</w:t>
            </w:r>
          </w:p>
        </w:tc>
        <w:tc>
          <w:tcPr>
            <w:tcW w:w="0" w:type="dxa"/>
            <w:vAlign w:val="bottom"/>
          </w:tcPr>
          <w:p>
            <w:pPr>
              <w:spacing w:after="0"/>
              <w:rPr>
                <w:sz w:val="1"/>
                <w:szCs w:val="1"/>
                <w:color w:val="auto"/>
              </w:rPr>
            </w:pPr>
          </w:p>
        </w:tc>
      </w:tr>
      <w:tr>
        <w:trPr>
          <w:trHeight w:val="146"/>
        </w:trPr>
        <w:tc>
          <w:tcPr>
            <w:tcW w:w="6740" w:type="dxa"/>
            <w:vAlign w:val="bottom"/>
            <w:gridSpan w:val="2"/>
            <w:vMerge w:val="restart"/>
          </w:tcPr>
          <w:p>
            <w:pPr>
              <w:spacing w:after="0"/>
              <w:rPr>
                <w:sz w:val="20"/>
                <w:szCs w:val="20"/>
                <w:color w:val="auto"/>
              </w:rPr>
            </w:pPr>
            <w:r>
              <w:rPr>
                <w:rFonts w:ascii="Arial" w:cs="Arial" w:eastAsia="Arial" w:hAnsi="Arial"/>
                <w:sz w:val="12"/>
                <w:szCs w:val="12"/>
                <w:color w:val="auto"/>
              </w:rPr>
              <w:t>LIABILITIES AND EQUITY</w:t>
            </w:r>
          </w:p>
        </w:tc>
        <w:tc>
          <w:tcPr>
            <w:tcW w:w="1860" w:type="dxa"/>
            <w:vAlign w:val="bottom"/>
          </w:tcPr>
          <w:p>
            <w:pPr>
              <w:spacing w:after="0"/>
              <w:rPr>
                <w:sz w:val="12"/>
                <w:szCs w:val="12"/>
                <w:color w:val="auto"/>
              </w:rPr>
            </w:pPr>
          </w:p>
        </w:tc>
        <w:tc>
          <w:tcPr>
            <w:tcW w:w="1000" w:type="dxa"/>
            <w:vAlign w:val="bottom"/>
          </w:tcPr>
          <w:p>
            <w:pPr>
              <w:jc w:val="center"/>
              <w:ind w:left="383"/>
              <w:spacing w:after="0"/>
              <w:rPr>
                <w:sz w:val="20"/>
                <w:szCs w:val="20"/>
                <w:color w:val="auto"/>
              </w:rPr>
            </w:pPr>
            <w:r>
              <w:rPr>
                <w:rFonts w:ascii="Arial" w:cs="Arial" w:eastAsia="Arial" w:hAnsi="Arial"/>
                <w:sz w:val="11"/>
                <w:szCs w:val="11"/>
                <w:color w:val="auto"/>
              </w:rPr>
              <w:t>(unaudited)</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740" w:type="dxa"/>
            <w:vAlign w:val="bottom"/>
            <w:gridSpan w:val="2"/>
            <w:vMerge w:val="continue"/>
          </w:tcPr>
          <w:p>
            <w:pPr>
              <w:spacing w:after="0"/>
              <w:rPr>
                <w:sz w:val="9"/>
                <w:szCs w:val="9"/>
                <w:color w:val="auto"/>
              </w:rPr>
            </w:pPr>
          </w:p>
        </w:tc>
        <w:tc>
          <w:tcPr>
            <w:tcW w:w="18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6740" w:type="dxa"/>
            <w:vAlign w:val="bottom"/>
            <w:gridSpan w:val="2"/>
          </w:tcPr>
          <w:p>
            <w:pPr>
              <w:spacing w:after="0" w:line="134" w:lineRule="exact"/>
              <w:rPr>
                <w:sz w:val="20"/>
                <w:szCs w:val="20"/>
                <w:color w:val="auto"/>
              </w:rPr>
            </w:pPr>
            <w:r>
              <w:rPr>
                <w:rFonts w:ascii="Arial" w:cs="Arial" w:eastAsia="Arial" w:hAnsi="Arial"/>
                <w:sz w:val="12"/>
                <w:szCs w:val="12"/>
                <w:color w:val="auto"/>
              </w:rPr>
              <w:t>Current liabilities:</w:t>
            </w:r>
          </w:p>
        </w:tc>
        <w:tc>
          <w:tcPr>
            <w:tcW w:w="1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600" w:type="dxa"/>
            <w:vAlign w:val="bottom"/>
          </w:tcPr>
          <w:p>
            <w:pPr>
              <w:spacing w:after="0" w:line="134" w:lineRule="exact"/>
              <w:rPr>
                <w:sz w:val="20"/>
                <w:szCs w:val="20"/>
                <w:color w:val="auto"/>
              </w:rPr>
            </w:pPr>
            <w:r>
              <w:rPr>
                <w:rFonts w:ascii="Arial" w:cs="Arial" w:eastAsia="Arial" w:hAnsi="Arial"/>
                <w:sz w:val="12"/>
                <w:szCs w:val="12"/>
                <w:color w:val="auto"/>
              </w:rPr>
              <w:t>Short-term debt</w:t>
            </w:r>
          </w:p>
        </w:tc>
        <w:tc>
          <w:tcPr>
            <w:tcW w:w="2860" w:type="dxa"/>
            <w:vAlign w:val="bottom"/>
            <w:gridSpan w:val="2"/>
          </w:tcPr>
          <w:p>
            <w:pPr>
              <w:jc w:val="right"/>
              <w:ind w:right="863"/>
              <w:spacing w:after="0" w:line="134" w:lineRule="exact"/>
              <w:rPr>
                <w:sz w:val="20"/>
                <w:szCs w:val="20"/>
                <w:color w:val="auto"/>
              </w:rPr>
            </w:pPr>
            <w:r>
              <w:rPr>
                <w:rFonts w:ascii="Arial" w:cs="Arial" w:eastAsia="Arial" w:hAnsi="Arial"/>
                <w:sz w:val="12"/>
                <w:szCs w:val="12"/>
                <w:color w:val="auto"/>
              </w:rPr>
              <w:t>$</w:t>
            </w: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566</w:t>
            </w:r>
          </w:p>
        </w:tc>
        <w:tc>
          <w:tcPr>
            <w:tcW w:w="220" w:type="dxa"/>
            <w:vAlign w:val="bottom"/>
          </w:tcPr>
          <w:p>
            <w:pPr>
              <w:jc w:val="right"/>
              <w:ind w:right="78"/>
              <w:spacing w:after="0" w:line="134" w:lineRule="exact"/>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158</w:t>
            </w:r>
          </w:p>
        </w:tc>
        <w:tc>
          <w:tcPr>
            <w:tcW w:w="0" w:type="dxa"/>
            <w:vAlign w:val="bottom"/>
          </w:tcPr>
          <w:p>
            <w:pPr>
              <w:spacing w:after="0"/>
              <w:rPr>
                <w:sz w:val="1"/>
                <w:szCs w:val="1"/>
                <w:color w:val="auto"/>
              </w:rPr>
            </w:pPr>
          </w:p>
        </w:tc>
      </w:tr>
      <w:tr>
        <w:trPr>
          <w:trHeight w:val="134"/>
        </w:trPr>
        <w:tc>
          <w:tcPr>
            <w:tcW w:w="6740" w:type="dxa"/>
            <w:vAlign w:val="bottom"/>
            <w:gridSpan w:val="2"/>
          </w:tcPr>
          <w:p>
            <w:pPr>
              <w:ind w:left="140"/>
              <w:spacing w:after="0" w:line="134" w:lineRule="exact"/>
              <w:rPr>
                <w:sz w:val="20"/>
                <w:szCs w:val="20"/>
                <w:color w:val="auto"/>
              </w:rPr>
            </w:pPr>
            <w:r>
              <w:rPr>
                <w:rFonts w:ascii="Arial" w:cs="Arial" w:eastAsia="Arial" w:hAnsi="Arial"/>
                <w:sz w:val="12"/>
                <w:szCs w:val="12"/>
                <w:color w:val="auto"/>
              </w:rPr>
              <w:t>Accounts payable - trade</w:t>
            </w:r>
          </w:p>
        </w:tc>
        <w:tc>
          <w:tcPr>
            <w:tcW w:w="1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607</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755</w:t>
            </w:r>
          </w:p>
        </w:tc>
        <w:tc>
          <w:tcPr>
            <w:tcW w:w="0" w:type="dxa"/>
            <w:vAlign w:val="bottom"/>
          </w:tcPr>
          <w:p>
            <w:pPr>
              <w:spacing w:after="0"/>
              <w:rPr>
                <w:sz w:val="1"/>
                <w:szCs w:val="1"/>
                <w:color w:val="auto"/>
              </w:rPr>
            </w:pPr>
          </w:p>
        </w:tc>
      </w:tr>
      <w:tr>
        <w:trPr>
          <w:trHeight w:val="134"/>
        </w:trPr>
        <w:tc>
          <w:tcPr>
            <w:tcW w:w="6740" w:type="dxa"/>
            <w:vAlign w:val="bottom"/>
            <w:gridSpan w:val="2"/>
          </w:tcPr>
          <w:p>
            <w:pPr>
              <w:ind w:left="140"/>
              <w:spacing w:after="0" w:line="134" w:lineRule="exact"/>
              <w:rPr>
                <w:sz w:val="20"/>
                <w:szCs w:val="20"/>
                <w:color w:val="auto"/>
              </w:rPr>
            </w:pPr>
            <w:r>
              <w:rPr>
                <w:rFonts w:ascii="Arial" w:cs="Arial" w:eastAsia="Arial" w:hAnsi="Arial"/>
                <w:sz w:val="12"/>
                <w:szCs w:val="12"/>
                <w:color w:val="auto"/>
              </w:rPr>
              <w:t>Accounts payable - other</w:t>
            </w:r>
          </w:p>
        </w:tc>
        <w:tc>
          <w:tcPr>
            <w:tcW w:w="1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102</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109</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600" w:type="dxa"/>
            <w:vAlign w:val="bottom"/>
          </w:tcPr>
          <w:p>
            <w:pPr>
              <w:spacing w:after="0" w:line="134" w:lineRule="exact"/>
              <w:rPr>
                <w:sz w:val="20"/>
                <w:szCs w:val="20"/>
                <w:color w:val="auto"/>
              </w:rPr>
            </w:pPr>
            <w:r>
              <w:rPr>
                <w:rFonts w:ascii="Arial" w:cs="Arial" w:eastAsia="Arial" w:hAnsi="Arial"/>
                <w:sz w:val="12"/>
                <w:szCs w:val="12"/>
                <w:color w:val="auto"/>
              </w:rPr>
              <w:t>Due to unconsolidated affiliates</w:t>
            </w:r>
          </w:p>
        </w:tc>
        <w:tc>
          <w:tcPr>
            <w:tcW w:w="1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37</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600" w:type="dxa"/>
            <w:vAlign w:val="bottom"/>
          </w:tcPr>
          <w:p>
            <w:pPr>
              <w:spacing w:after="0" w:line="134" w:lineRule="exact"/>
              <w:rPr>
                <w:sz w:val="20"/>
                <w:szCs w:val="20"/>
                <w:color w:val="auto"/>
              </w:rPr>
            </w:pPr>
            <w:r>
              <w:rPr>
                <w:rFonts w:ascii="Arial" w:cs="Arial" w:eastAsia="Arial" w:hAnsi="Arial"/>
                <w:sz w:val="12"/>
                <w:szCs w:val="12"/>
                <w:color w:val="auto"/>
              </w:rPr>
              <w:t>Dividends and interest payable</w:t>
            </w:r>
          </w:p>
        </w:tc>
        <w:tc>
          <w:tcPr>
            <w:tcW w:w="1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251</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188</w:t>
            </w:r>
          </w:p>
        </w:tc>
        <w:tc>
          <w:tcPr>
            <w:tcW w:w="0" w:type="dxa"/>
            <w:vAlign w:val="bottom"/>
          </w:tcPr>
          <w:p>
            <w:pPr>
              <w:spacing w:after="0"/>
              <w:rPr>
                <w:sz w:val="1"/>
                <w:szCs w:val="1"/>
                <w:color w:val="auto"/>
              </w:rPr>
            </w:pPr>
          </w:p>
        </w:tc>
      </w:tr>
      <w:tr>
        <w:trPr>
          <w:trHeight w:val="134"/>
        </w:trPr>
        <w:tc>
          <w:tcPr>
            <w:tcW w:w="6740" w:type="dxa"/>
            <w:vAlign w:val="bottom"/>
            <w:gridSpan w:val="2"/>
          </w:tcPr>
          <w:p>
            <w:pPr>
              <w:ind w:left="140"/>
              <w:spacing w:after="0" w:line="134" w:lineRule="exact"/>
              <w:rPr>
                <w:sz w:val="20"/>
                <w:szCs w:val="20"/>
                <w:color w:val="auto"/>
              </w:rPr>
            </w:pPr>
            <w:r>
              <w:rPr>
                <w:rFonts w:ascii="Arial" w:cs="Arial" w:eastAsia="Arial" w:hAnsi="Arial"/>
                <w:sz w:val="12"/>
                <w:szCs w:val="12"/>
                <w:color w:val="auto"/>
              </w:rPr>
              <w:t>Accrued compensation and benefits</w:t>
            </w:r>
          </w:p>
        </w:tc>
        <w:tc>
          <w:tcPr>
            <w:tcW w:w="1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211</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311</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600" w:type="dxa"/>
            <w:vAlign w:val="bottom"/>
          </w:tcPr>
          <w:p>
            <w:pPr>
              <w:spacing w:after="0" w:line="134" w:lineRule="exact"/>
              <w:rPr>
                <w:sz w:val="20"/>
                <w:szCs w:val="20"/>
                <w:color w:val="auto"/>
              </w:rPr>
            </w:pPr>
            <w:r>
              <w:rPr>
                <w:rFonts w:ascii="Arial" w:cs="Arial" w:eastAsia="Arial" w:hAnsi="Arial"/>
                <w:sz w:val="12"/>
                <w:szCs w:val="12"/>
                <w:color w:val="auto"/>
              </w:rPr>
              <w:t>Regulatory balancing accounts, net</w:t>
            </w:r>
          </w:p>
        </w:tc>
        <w:tc>
          <w:tcPr>
            <w:tcW w:w="1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379</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241</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600" w:type="dxa"/>
            <w:vAlign w:val="bottom"/>
          </w:tcPr>
          <w:p>
            <w:pPr>
              <w:spacing w:after="0" w:line="134" w:lineRule="exact"/>
              <w:rPr>
                <w:sz w:val="20"/>
                <w:szCs w:val="20"/>
                <w:color w:val="auto"/>
              </w:rPr>
            </w:pPr>
            <w:r>
              <w:rPr>
                <w:rFonts w:ascii="Arial" w:cs="Arial" w:eastAsia="Arial" w:hAnsi="Arial"/>
                <w:sz w:val="12"/>
                <w:szCs w:val="12"/>
                <w:color w:val="auto"/>
              </w:rPr>
              <w:t>Current portion of long-term debt</w:t>
            </w:r>
          </w:p>
        </w:tc>
        <w:tc>
          <w:tcPr>
            <w:tcW w:w="1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89</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349</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600" w:type="dxa"/>
            <w:vAlign w:val="bottom"/>
          </w:tcPr>
          <w:p>
            <w:pPr>
              <w:spacing w:after="0" w:line="134" w:lineRule="exact"/>
              <w:rPr>
                <w:sz w:val="20"/>
                <w:szCs w:val="20"/>
                <w:color w:val="auto"/>
              </w:rPr>
            </w:pPr>
            <w:r>
              <w:rPr>
                <w:rFonts w:ascii="Arial" w:cs="Arial" w:eastAsia="Arial" w:hAnsi="Arial"/>
                <w:sz w:val="12"/>
                <w:szCs w:val="12"/>
                <w:color w:val="auto"/>
              </w:rPr>
              <w:t>Fixed-price contracts and other derivatives</w:t>
            </w:r>
          </w:p>
        </w:tc>
        <w:tc>
          <w:tcPr>
            <w:tcW w:w="1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91</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106</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600" w:type="dxa"/>
            <w:vAlign w:val="bottom"/>
          </w:tcPr>
          <w:p>
            <w:pPr>
              <w:spacing w:after="0" w:line="134" w:lineRule="exact"/>
              <w:rPr>
                <w:sz w:val="20"/>
                <w:szCs w:val="20"/>
                <w:color w:val="auto"/>
              </w:rPr>
            </w:pPr>
            <w:r>
              <w:rPr>
                <w:rFonts w:ascii="Arial" w:cs="Arial" w:eastAsia="Arial" w:hAnsi="Arial"/>
                <w:sz w:val="12"/>
                <w:szCs w:val="12"/>
                <w:color w:val="auto"/>
              </w:rPr>
              <w:t>Customer deposits</w:t>
            </w:r>
          </w:p>
        </w:tc>
        <w:tc>
          <w:tcPr>
            <w:tcW w:w="1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131</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600" w:type="dxa"/>
            <w:vAlign w:val="bottom"/>
          </w:tcPr>
          <w:p>
            <w:pPr>
              <w:spacing w:after="0" w:line="134" w:lineRule="exact"/>
              <w:rPr>
                <w:sz w:val="20"/>
                <w:szCs w:val="20"/>
                <w:color w:val="auto"/>
              </w:rPr>
            </w:pPr>
            <w:r>
              <w:rPr>
                <w:rFonts w:ascii="Arial" w:cs="Arial" w:eastAsia="Arial" w:hAnsi="Arial"/>
                <w:sz w:val="12"/>
                <w:szCs w:val="12"/>
                <w:color w:val="auto"/>
              </w:rPr>
              <w:t>Reserve for wildfire litigation</w:t>
            </w:r>
          </w:p>
        </w:tc>
        <w:tc>
          <w:tcPr>
            <w:tcW w:w="1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489</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639</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2"/>
                <w:szCs w:val="12"/>
                <w:color w:val="auto"/>
              </w:rPr>
              <w:t>Other</w:t>
            </w:r>
          </w:p>
        </w:tc>
        <w:tc>
          <w:tcPr>
            <w:tcW w:w="18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701</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765</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6600" w:type="dxa"/>
            <w:vAlign w:val="bottom"/>
          </w:tcPr>
          <w:p>
            <w:pPr>
              <w:ind w:left="140"/>
              <w:spacing w:after="0" w:line="134" w:lineRule="exact"/>
              <w:rPr>
                <w:sz w:val="20"/>
                <w:szCs w:val="20"/>
                <w:color w:val="auto"/>
              </w:rPr>
            </w:pPr>
            <w:r>
              <w:rPr>
                <w:rFonts w:ascii="Arial" w:cs="Arial" w:eastAsia="Arial" w:hAnsi="Arial"/>
                <w:sz w:val="12"/>
                <w:szCs w:val="12"/>
                <w:color w:val="auto"/>
              </w:rPr>
              <w:t>Total current liabilities</w:t>
            </w:r>
          </w:p>
        </w:tc>
        <w:tc>
          <w:tcPr>
            <w:tcW w:w="186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3,654</w:t>
            </w: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3,786</w:t>
            </w:r>
          </w:p>
        </w:tc>
        <w:tc>
          <w:tcPr>
            <w:tcW w:w="0" w:type="dxa"/>
            <w:vAlign w:val="bottom"/>
          </w:tcPr>
          <w:p>
            <w:pPr>
              <w:spacing w:after="0"/>
              <w:rPr>
                <w:sz w:val="1"/>
                <w:szCs w:val="1"/>
                <w:color w:val="auto"/>
              </w:rPr>
            </w:pPr>
          </w:p>
        </w:tc>
      </w:tr>
      <w:tr>
        <w:trPr>
          <w:trHeight w:val="125"/>
        </w:trPr>
        <w:tc>
          <w:tcPr>
            <w:tcW w:w="6740" w:type="dxa"/>
            <w:vAlign w:val="bottom"/>
            <w:gridSpan w:val="2"/>
          </w:tcPr>
          <w:p>
            <w:pPr>
              <w:spacing w:after="0" w:line="126" w:lineRule="exact"/>
              <w:rPr>
                <w:sz w:val="20"/>
                <w:szCs w:val="20"/>
                <w:color w:val="auto"/>
              </w:rPr>
            </w:pPr>
            <w:r>
              <w:rPr>
                <w:rFonts w:ascii="Arial" w:cs="Arial" w:eastAsia="Arial" w:hAnsi="Arial"/>
                <w:sz w:val="12"/>
                <w:szCs w:val="12"/>
                <w:color w:val="auto"/>
              </w:rPr>
              <w:t>Long-term debt ($352 and $355 at March 31, 2011 and December 31, 2010, respectively,</w:t>
            </w:r>
          </w:p>
        </w:tc>
        <w:tc>
          <w:tcPr>
            <w:tcW w:w="1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9,174</w:t>
            </w:r>
          </w:p>
        </w:tc>
        <w:tc>
          <w:tcPr>
            <w:tcW w:w="22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Arial" w:cs="Arial" w:eastAsia="Arial" w:hAnsi="Arial"/>
                <w:sz w:val="12"/>
                <w:szCs w:val="12"/>
                <w:color w:val="auto"/>
              </w:rPr>
              <w:t>8,980</w:t>
            </w:r>
          </w:p>
        </w:tc>
        <w:tc>
          <w:tcPr>
            <w:tcW w:w="0" w:type="dxa"/>
            <w:vAlign w:val="bottom"/>
          </w:tcPr>
          <w:p>
            <w:pPr>
              <w:spacing w:after="0"/>
              <w:rPr>
                <w:sz w:val="1"/>
                <w:szCs w:val="1"/>
                <w:color w:val="auto"/>
              </w:rPr>
            </w:pPr>
          </w:p>
        </w:tc>
      </w:tr>
      <w:tr>
        <w:trPr>
          <w:trHeight w:val="123"/>
        </w:trPr>
        <w:tc>
          <w:tcPr>
            <w:tcW w:w="140" w:type="dxa"/>
            <w:vAlign w:val="bottom"/>
          </w:tcPr>
          <w:p>
            <w:pPr>
              <w:spacing w:after="0"/>
              <w:rPr>
                <w:sz w:val="10"/>
                <w:szCs w:val="10"/>
                <w:color w:val="auto"/>
              </w:rPr>
            </w:pPr>
          </w:p>
        </w:tc>
        <w:tc>
          <w:tcPr>
            <w:tcW w:w="6600" w:type="dxa"/>
            <w:vAlign w:val="bottom"/>
          </w:tcPr>
          <w:p>
            <w:pPr>
              <w:ind w:left="140"/>
              <w:spacing w:after="0" w:line="123" w:lineRule="exact"/>
              <w:rPr>
                <w:sz w:val="20"/>
                <w:szCs w:val="20"/>
                <w:color w:val="auto"/>
              </w:rPr>
            </w:pPr>
            <w:r>
              <w:rPr>
                <w:rFonts w:ascii="Arial" w:cs="Arial" w:eastAsia="Arial" w:hAnsi="Arial"/>
                <w:sz w:val="12"/>
                <w:szCs w:val="12"/>
                <w:color w:val="auto"/>
              </w:rPr>
              <w:t>related to VIE)</w:t>
            </w:r>
          </w:p>
        </w:tc>
        <w:tc>
          <w:tcPr>
            <w:tcW w:w="186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1"/>
        </w:trPr>
        <w:tc>
          <w:tcPr>
            <w:tcW w:w="6740" w:type="dxa"/>
            <w:vAlign w:val="bottom"/>
            <w:gridSpan w:val="2"/>
          </w:tcPr>
          <w:p>
            <w:pPr>
              <w:spacing w:after="0"/>
              <w:rPr>
                <w:sz w:val="20"/>
                <w:szCs w:val="20"/>
                <w:color w:val="auto"/>
              </w:rPr>
            </w:pPr>
            <w:r>
              <w:rPr>
                <w:rFonts w:ascii="Arial" w:cs="Arial" w:eastAsia="Arial" w:hAnsi="Arial"/>
                <w:sz w:val="12"/>
                <w:szCs w:val="12"/>
                <w:color w:val="auto"/>
              </w:rPr>
              <w:t>Deferred credits and other liabilities:</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600" w:type="dxa"/>
            <w:vAlign w:val="bottom"/>
          </w:tcPr>
          <w:p>
            <w:pPr>
              <w:spacing w:after="0" w:line="134" w:lineRule="exact"/>
              <w:rPr>
                <w:sz w:val="20"/>
                <w:szCs w:val="20"/>
                <w:color w:val="auto"/>
              </w:rPr>
            </w:pPr>
            <w:r>
              <w:rPr>
                <w:rFonts w:ascii="Arial" w:cs="Arial" w:eastAsia="Arial" w:hAnsi="Arial"/>
                <w:sz w:val="12"/>
                <w:szCs w:val="12"/>
                <w:color w:val="auto"/>
              </w:rPr>
              <w:t>Customer advances for construction</w:t>
            </w:r>
          </w:p>
        </w:tc>
        <w:tc>
          <w:tcPr>
            <w:tcW w:w="1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132</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154</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600" w:type="dxa"/>
            <w:vAlign w:val="bottom"/>
          </w:tcPr>
          <w:p>
            <w:pPr>
              <w:spacing w:after="0" w:line="134" w:lineRule="exact"/>
              <w:rPr>
                <w:sz w:val="20"/>
                <w:szCs w:val="20"/>
                <w:color w:val="auto"/>
              </w:rPr>
            </w:pPr>
            <w:r>
              <w:rPr>
                <w:rFonts w:ascii="Arial" w:cs="Arial" w:eastAsia="Arial" w:hAnsi="Arial"/>
                <w:sz w:val="12"/>
                <w:szCs w:val="12"/>
                <w:color w:val="auto"/>
              </w:rPr>
              <w:t>Pension and other postretirement benefit obligations, net of plan assets</w:t>
            </w:r>
          </w:p>
        </w:tc>
        <w:tc>
          <w:tcPr>
            <w:tcW w:w="1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1,114</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1,105</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600" w:type="dxa"/>
            <w:vAlign w:val="bottom"/>
          </w:tcPr>
          <w:p>
            <w:pPr>
              <w:spacing w:after="0" w:line="134" w:lineRule="exact"/>
              <w:rPr>
                <w:sz w:val="20"/>
                <w:szCs w:val="20"/>
                <w:color w:val="auto"/>
              </w:rPr>
            </w:pPr>
            <w:r>
              <w:rPr>
                <w:rFonts w:ascii="Arial" w:cs="Arial" w:eastAsia="Arial" w:hAnsi="Arial"/>
                <w:sz w:val="12"/>
                <w:szCs w:val="12"/>
                <w:color w:val="auto"/>
              </w:rPr>
              <w:t>Deferred income taxes</w:t>
            </w:r>
          </w:p>
        </w:tc>
        <w:tc>
          <w:tcPr>
            <w:tcW w:w="1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1,633</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1,561</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600" w:type="dxa"/>
            <w:vAlign w:val="bottom"/>
          </w:tcPr>
          <w:p>
            <w:pPr>
              <w:spacing w:after="0" w:line="134" w:lineRule="exact"/>
              <w:rPr>
                <w:sz w:val="20"/>
                <w:szCs w:val="20"/>
                <w:color w:val="auto"/>
              </w:rPr>
            </w:pPr>
            <w:r>
              <w:rPr>
                <w:rFonts w:ascii="Arial" w:cs="Arial" w:eastAsia="Arial" w:hAnsi="Arial"/>
                <w:sz w:val="12"/>
                <w:szCs w:val="12"/>
                <w:color w:val="auto"/>
              </w:rPr>
              <w:t>Deferred investment tax credits</w:t>
            </w:r>
          </w:p>
        </w:tc>
        <w:tc>
          <w:tcPr>
            <w:tcW w:w="1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49</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600" w:type="dxa"/>
            <w:vAlign w:val="bottom"/>
          </w:tcPr>
          <w:p>
            <w:pPr>
              <w:spacing w:after="0" w:line="134" w:lineRule="exact"/>
              <w:rPr>
                <w:sz w:val="20"/>
                <w:szCs w:val="20"/>
                <w:color w:val="auto"/>
              </w:rPr>
            </w:pPr>
            <w:r>
              <w:rPr>
                <w:rFonts w:ascii="Arial" w:cs="Arial" w:eastAsia="Arial" w:hAnsi="Arial"/>
                <w:sz w:val="12"/>
                <w:szCs w:val="12"/>
                <w:color w:val="auto"/>
              </w:rPr>
              <w:t>Regulatory liabilities arising from removal obligations</w:t>
            </w:r>
          </w:p>
        </w:tc>
        <w:tc>
          <w:tcPr>
            <w:tcW w:w="1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2,671</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2,630</w:t>
            </w:r>
          </w:p>
        </w:tc>
        <w:tc>
          <w:tcPr>
            <w:tcW w:w="0" w:type="dxa"/>
            <w:vAlign w:val="bottom"/>
          </w:tcPr>
          <w:p>
            <w:pPr>
              <w:spacing w:after="0"/>
              <w:rPr>
                <w:sz w:val="1"/>
                <w:szCs w:val="1"/>
                <w:color w:val="auto"/>
              </w:rPr>
            </w:pPr>
          </w:p>
        </w:tc>
      </w:tr>
      <w:tr>
        <w:trPr>
          <w:trHeight w:val="134"/>
        </w:trPr>
        <w:tc>
          <w:tcPr>
            <w:tcW w:w="6740" w:type="dxa"/>
            <w:vAlign w:val="bottom"/>
            <w:gridSpan w:val="2"/>
          </w:tcPr>
          <w:p>
            <w:pPr>
              <w:ind w:left="140"/>
              <w:spacing w:after="0" w:line="134" w:lineRule="exact"/>
              <w:rPr>
                <w:sz w:val="20"/>
                <w:szCs w:val="20"/>
                <w:color w:val="auto"/>
              </w:rPr>
            </w:pPr>
            <w:r>
              <w:rPr>
                <w:rFonts w:ascii="Arial" w:cs="Arial" w:eastAsia="Arial" w:hAnsi="Arial"/>
                <w:sz w:val="12"/>
                <w:szCs w:val="12"/>
                <w:color w:val="auto"/>
              </w:rPr>
              <w:t>Asset retirement obligations</w:t>
            </w:r>
          </w:p>
        </w:tc>
        <w:tc>
          <w:tcPr>
            <w:tcW w:w="1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1,469</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1,449</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600" w:type="dxa"/>
            <w:vAlign w:val="bottom"/>
          </w:tcPr>
          <w:p>
            <w:pPr>
              <w:spacing w:after="0" w:line="134" w:lineRule="exact"/>
              <w:rPr>
                <w:sz w:val="20"/>
                <w:szCs w:val="20"/>
                <w:color w:val="auto"/>
              </w:rPr>
            </w:pPr>
            <w:r>
              <w:rPr>
                <w:rFonts w:ascii="Arial" w:cs="Arial" w:eastAsia="Arial" w:hAnsi="Arial"/>
                <w:sz w:val="12"/>
                <w:szCs w:val="12"/>
                <w:color w:val="auto"/>
              </w:rPr>
              <w:t>Other regulatory liabilities</w:t>
            </w:r>
          </w:p>
        </w:tc>
        <w:tc>
          <w:tcPr>
            <w:tcW w:w="1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130</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138</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600" w:type="dxa"/>
            <w:vAlign w:val="bottom"/>
          </w:tcPr>
          <w:p>
            <w:pPr>
              <w:spacing w:after="0" w:line="134" w:lineRule="exact"/>
              <w:rPr>
                <w:sz w:val="20"/>
                <w:szCs w:val="20"/>
                <w:color w:val="auto"/>
              </w:rPr>
            </w:pPr>
            <w:r>
              <w:rPr>
                <w:rFonts w:ascii="Arial" w:cs="Arial" w:eastAsia="Arial" w:hAnsi="Arial"/>
                <w:sz w:val="12"/>
                <w:szCs w:val="12"/>
                <w:color w:val="auto"/>
              </w:rPr>
              <w:t>Fixed-price contracts and other derivatives</w:t>
            </w:r>
          </w:p>
        </w:tc>
        <w:tc>
          <w:tcPr>
            <w:tcW w:w="1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285</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290</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2"/>
                <w:szCs w:val="12"/>
                <w:color w:val="auto"/>
              </w:rPr>
              <w:t>Deferred credits and other</w:t>
            </w:r>
          </w:p>
        </w:tc>
        <w:tc>
          <w:tcPr>
            <w:tcW w:w="18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903</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823</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6600" w:type="dxa"/>
            <w:vAlign w:val="bottom"/>
          </w:tcPr>
          <w:p>
            <w:pPr>
              <w:ind w:left="140"/>
              <w:spacing w:after="0" w:line="134" w:lineRule="exact"/>
              <w:rPr>
                <w:sz w:val="20"/>
                <w:szCs w:val="20"/>
                <w:color w:val="auto"/>
              </w:rPr>
            </w:pPr>
            <w:r>
              <w:rPr>
                <w:rFonts w:ascii="Arial" w:cs="Arial" w:eastAsia="Arial" w:hAnsi="Arial"/>
                <w:sz w:val="12"/>
                <w:szCs w:val="12"/>
                <w:color w:val="auto"/>
              </w:rPr>
              <w:t>Total deferred credits and other liabilities</w:t>
            </w:r>
          </w:p>
        </w:tc>
        <w:tc>
          <w:tcPr>
            <w:tcW w:w="186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8,386</w:t>
            </w: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8,200</w:t>
            </w:r>
          </w:p>
        </w:tc>
        <w:tc>
          <w:tcPr>
            <w:tcW w:w="0" w:type="dxa"/>
            <w:vAlign w:val="bottom"/>
          </w:tcPr>
          <w:p>
            <w:pPr>
              <w:spacing w:after="0"/>
              <w:rPr>
                <w:sz w:val="1"/>
                <w:szCs w:val="1"/>
                <w:color w:val="auto"/>
              </w:rPr>
            </w:pPr>
          </w:p>
        </w:tc>
      </w:tr>
      <w:tr>
        <w:trPr>
          <w:trHeight w:val="135"/>
        </w:trPr>
        <w:tc>
          <w:tcPr>
            <w:tcW w:w="6740" w:type="dxa"/>
            <w:vAlign w:val="bottom"/>
            <w:gridSpan w:val="2"/>
          </w:tcPr>
          <w:p>
            <w:pPr>
              <w:spacing w:after="0" w:line="134" w:lineRule="exact"/>
              <w:rPr>
                <w:sz w:val="20"/>
                <w:szCs w:val="20"/>
                <w:color w:val="auto"/>
              </w:rPr>
            </w:pPr>
            <w:r>
              <w:rPr>
                <w:rFonts w:ascii="Arial" w:cs="Arial" w:eastAsia="Arial" w:hAnsi="Arial"/>
                <w:sz w:val="12"/>
                <w:szCs w:val="12"/>
                <w:color w:val="auto"/>
              </w:rPr>
              <w:t>Contingently redeemable preferred stock of subsidiary</w:t>
            </w:r>
          </w:p>
        </w:tc>
        <w:tc>
          <w:tcPr>
            <w:tcW w:w="186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79</w:t>
            </w: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222"/>
        </w:trPr>
        <w:tc>
          <w:tcPr>
            <w:tcW w:w="6740" w:type="dxa"/>
            <w:vAlign w:val="bottom"/>
            <w:gridSpan w:val="2"/>
          </w:tcPr>
          <w:p>
            <w:pPr>
              <w:spacing w:after="0"/>
              <w:rPr>
                <w:sz w:val="20"/>
                <w:szCs w:val="20"/>
                <w:color w:val="auto"/>
              </w:rPr>
            </w:pPr>
            <w:r>
              <w:rPr>
                <w:rFonts w:ascii="Arial" w:cs="Arial" w:eastAsia="Arial" w:hAnsi="Arial"/>
                <w:sz w:val="12"/>
                <w:szCs w:val="12"/>
                <w:color w:val="auto"/>
              </w:rPr>
              <w:t>Commitments and contingencies (Note 10)</w:t>
            </w:r>
          </w:p>
        </w:tc>
        <w:tc>
          <w:tcPr>
            <w:tcW w:w="1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spacing w:after="0"/>
              <w:rPr>
                <w:sz w:val="20"/>
                <w:szCs w:val="20"/>
                <w:color w:val="auto"/>
              </w:rPr>
            </w:pPr>
            <w:r>
              <w:rPr>
                <w:rFonts w:ascii="Arial" w:cs="Arial" w:eastAsia="Arial" w:hAnsi="Arial"/>
                <w:sz w:val="12"/>
                <w:szCs w:val="12"/>
                <w:color w:val="auto"/>
              </w:rPr>
              <w:t>Equity:</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600" w:type="dxa"/>
            <w:vAlign w:val="bottom"/>
          </w:tcPr>
          <w:p>
            <w:pPr>
              <w:spacing w:after="0" w:line="134" w:lineRule="exact"/>
              <w:rPr>
                <w:sz w:val="20"/>
                <w:szCs w:val="20"/>
                <w:color w:val="auto"/>
              </w:rPr>
            </w:pPr>
            <w:r>
              <w:rPr>
                <w:rFonts w:ascii="Arial" w:cs="Arial" w:eastAsia="Arial" w:hAnsi="Arial"/>
                <w:sz w:val="12"/>
                <w:szCs w:val="12"/>
                <w:color w:val="auto"/>
              </w:rPr>
              <w:t>Preferred stock (50 million shares authorized; none issued)</w:t>
            </w:r>
          </w:p>
        </w:tc>
        <w:tc>
          <w:tcPr>
            <w:tcW w:w="1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600" w:type="dxa"/>
            <w:vAlign w:val="bottom"/>
          </w:tcPr>
          <w:p>
            <w:pPr>
              <w:spacing w:after="0" w:line="134" w:lineRule="exact"/>
              <w:rPr>
                <w:sz w:val="20"/>
                <w:szCs w:val="20"/>
                <w:color w:val="auto"/>
              </w:rPr>
            </w:pPr>
            <w:r>
              <w:rPr>
                <w:rFonts w:ascii="Arial" w:cs="Arial" w:eastAsia="Arial" w:hAnsi="Arial"/>
                <w:sz w:val="12"/>
                <w:szCs w:val="12"/>
                <w:color w:val="auto"/>
              </w:rPr>
              <w:t>Common stock (750 million shares authorized; 239 million and 240 million shares</w:t>
            </w:r>
          </w:p>
        </w:tc>
        <w:tc>
          <w:tcPr>
            <w:tcW w:w="1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600" w:type="dxa"/>
            <w:vAlign w:val="bottom"/>
          </w:tcPr>
          <w:p>
            <w:pPr>
              <w:ind w:left="140"/>
              <w:spacing w:after="0" w:line="134" w:lineRule="exact"/>
              <w:rPr>
                <w:sz w:val="20"/>
                <w:szCs w:val="20"/>
                <w:color w:val="auto"/>
              </w:rPr>
            </w:pPr>
            <w:r>
              <w:rPr>
                <w:rFonts w:ascii="Arial" w:cs="Arial" w:eastAsia="Arial" w:hAnsi="Arial"/>
                <w:sz w:val="12"/>
                <w:szCs w:val="12"/>
                <w:color w:val="auto"/>
              </w:rPr>
              <w:t>outstanding at March 31, 2011 and December 31, 2010, respectively; no par</w:t>
            </w:r>
          </w:p>
        </w:tc>
        <w:tc>
          <w:tcPr>
            <w:tcW w:w="1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600" w:type="dxa"/>
            <w:vAlign w:val="bottom"/>
          </w:tcPr>
          <w:p>
            <w:pPr>
              <w:ind w:left="140"/>
              <w:spacing w:after="0" w:line="134" w:lineRule="exact"/>
              <w:rPr>
                <w:sz w:val="20"/>
                <w:szCs w:val="20"/>
                <w:color w:val="auto"/>
              </w:rPr>
            </w:pPr>
            <w:r>
              <w:rPr>
                <w:rFonts w:ascii="Arial" w:cs="Arial" w:eastAsia="Arial" w:hAnsi="Arial"/>
                <w:sz w:val="12"/>
                <w:szCs w:val="12"/>
                <w:color w:val="auto"/>
              </w:rPr>
              <w:t>value)</w:t>
            </w:r>
          </w:p>
        </w:tc>
        <w:tc>
          <w:tcPr>
            <w:tcW w:w="1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2,052</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2,036</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600" w:type="dxa"/>
            <w:vAlign w:val="bottom"/>
          </w:tcPr>
          <w:p>
            <w:pPr>
              <w:spacing w:after="0" w:line="134" w:lineRule="exact"/>
              <w:rPr>
                <w:sz w:val="20"/>
                <w:szCs w:val="20"/>
                <w:color w:val="auto"/>
              </w:rPr>
            </w:pPr>
            <w:r>
              <w:rPr>
                <w:rFonts w:ascii="Arial" w:cs="Arial" w:eastAsia="Arial" w:hAnsi="Arial"/>
                <w:sz w:val="12"/>
                <w:szCs w:val="12"/>
                <w:color w:val="auto"/>
              </w:rPr>
              <w:t>Retained earnings</w:t>
            </w:r>
          </w:p>
        </w:tc>
        <w:tc>
          <w:tcPr>
            <w:tcW w:w="1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7,472</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7,329</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600" w:type="dxa"/>
            <w:vAlign w:val="bottom"/>
          </w:tcPr>
          <w:p>
            <w:pPr>
              <w:spacing w:after="0" w:line="134" w:lineRule="exact"/>
              <w:rPr>
                <w:sz w:val="20"/>
                <w:szCs w:val="20"/>
                <w:color w:val="auto"/>
              </w:rPr>
            </w:pPr>
            <w:r>
              <w:rPr>
                <w:rFonts w:ascii="Arial" w:cs="Arial" w:eastAsia="Arial" w:hAnsi="Arial"/>
                <w:sz w:val="12"/>
                <w:szCs w:val="12"/>
                <w:color w:val="auto"/>
              </w:rPr>
              <w:t>Deferred compensation</w:t>
            </w:r>
          </w:p>
        </w:tc>
        <w:tc>
          <w:tcPr>
            <w:tcW w:w="1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(6)</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44"/>
        </w:trPr>
        <w:tc>
          <w:tcPr>
            <w:tcW w:w="6740" w:type="dxa"/>
            <w:vAlign w:val="bottom"/>
            <w:gridSpan w:val="2"/>
          </w:tcPr>
          <w:p>
            <w:pPr>
              <w:ind w:left="140"/>
              <w:spacing w:after="0"/>
              <w:rPr>
                <w:sz w:val="20"/>
                <w:szCs w:val="20"/>
                <w:color w:val="auto"/>
              </w:rPr>
            </w:pPr>
            <w:r>
              <w:rPr>
                <w:rFonts w:ascii="Arial" w:cs="Arial" w:eastAsia="Arial" w:hAnsi="Arial"/>
                <w:sz w:val="12"/>
                <w:szCs w:val="12"/>
                <w:color w:val="auto"/>
              </w:rPr>
              <w:t>Accumulated other comprehensive income (loss)</w:t>
            </w:r>
          </w:p>
        </w:tc>
        <w:tc>
          <w:tcPr>
            <w:tcW w:w="18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(332)</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(330)</w:t>
            </w:r>
          </w:p>
        </w:tc>
        <w:tc>
          <w:tcPr>
            <w:tcW w:w="0" w:type="dxa"/>
            <w:vAlign w:val="bottom"/>
          </w:tcPr>
          <w:p>
            <w:pPr>
              <w:spacing w:after="0"/>
              <w:rPr>
                <w:sz w:val="1"/>
                <w:szCs w:val="1"/>
                <w:color w:val="auto"/>
              </w:rPr>
            </w:pPr>
          </w:p>
        </w:tc>
      </w:tr>
      <w:tr>
        <w:trPr>
          <w:trHeight w:val="125"/>
        </w:trPr>
        <w:tc>
          <w:tcPr>
            <w:tcW w:w="140" w:type="dxa"/>
            <w:vAlign w:val="bottom"/>
          </w:tcPr>
          <w:p>
            <w:pPr>
              <w:spacing w:after="0"/>
              <w:rPr>
                <w:sz w:val="10"/>
                <w:szCs w:val="10"/>
                <w:color w:val="auto"/>
              </w:rPr>
            </w:pPr>
          </w:p>
        </w:tc>
        <w:tc>
          <w:tcPr>
            <w:tcW w:w="6600" w:type="dxa"/>
            <w:vAlign w:val="bottom"/>
          </w:tcPr>
          <w:p>
            <w:pPr>
              <w:ind w:left="140"/>
              <w:spacing w:after="0" w:line="126" w:lineRule="exact"/>
              <w:rPr>
                <w:sz w:val="20"/>
                <w:szCs w:val="20"/>
                <w:color w:val="auto"/>
              </w:rPr>
            </w:pPr>
            <w:r>
              <w:rPr>
                <w:rFonts w:ascii="Arial" w:cs="Arial" w:eastAsia="Arial" w:hAnsi="Arial"/>
                <w:sz w:val="12"/>
                <w:szCs w:val="12"/>
                <w:color w:val="auto"/>
              </w:rPr>
              <w:t>Total Sempra Energy shareholders' equity</w:t>
            </w:r>
          </w:p>
        </w:tc>
        <w:tc>
          <w:tcPr>
            <w:tcW w:w="1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jc w:val="right"/>
              <w:spacing w:after="0" w:line="126" w:lineRule="exact"/>
              <w:rPr>
                <w:sz w:val="20"/>
                <w:szCs w:val="20"/>
                <w:color w:val="auto"/>
              </w:rPr>
            </w:pPr>
            <w:r>
              <w:rPr>
                <w:rFonts w:ascii="Arial" w:cs="Arial" w:eastAsia="Arial" w:hAnsi="Arial"/>
                <w:sz w:val="12"/>
                <w:szCs w:val="12"/>
                <w:color w:val="auto"/>
              </w:rPr>
              <w:t>9,186</w:t>
            </w:r>
          </w:p>
        </w:tc>
        <w:tc>
          <w:tcPr>
            <w:tcW w:w="220" w:type="dxa"/>
            <w:vAlign w:val="bottom"/>
          </w:tcPr>
          <w:p>
            <w:pPr>
              <w:spacing w:after="0"/>
              <w:rPr>
                <w:sz w:val="10"/>
                <w:szCs w:val="10"/>
                <w:color w:val="auto"/>
              </w:rPr>
            </w:pPr>
          </w:p>
        </w:tc>
        <w:tc>
          <w:tcPr>
            <w:tcW w:w="1220" w:type="dxa"/>
            <w:vAlign w:val="bottom"/>
          </w:tcPr>
          <w:p>
            <w:pPr>
              <w:jc w:val="right"/>
              <w:spacing w:after="0" w:line="126" w:lineRule="exact"/>
              <w:rPr>
                <w:sz w:val="20"/>
                <w:szCs w:val="20"/>
                <w:color w:val="auto"/>
              </w:rPr>
            </w:pPr>
            <w:r>
              <w:rPr>
                <w:rFonts w:ascii="Arial" w:cs="Arial" w:eastAsia="Arial" w:hAnsi="Arial"/>
                <w:sz w:val="12"/>
                <w:szCs w:val="12"/>
                <w:color w:val="auto"/>
              </w:rPr>
              <w:t>9,027</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600" w:type="dxa"/>
            <w:vAlign w:val="bottom"/>
          </w:tcPr>
          <w:p>
            <w:pPr>
              <w:spacing w:after="0" w:line="134" w:lineRule="exact"/>
              <w:rPr>
                <w:sz w:val="20"/>
                <w:szCs w:val="20"/>
                <w:color w:val="auto"/>
              </w:rPr>
            </w:pPr>
            <w:r>
              <w:rPr>
                <w:rFonts w:ascii="Arial" w:cs="Arial" w:eastAsia="Arial" w:hAnsi="Arial"/>
                <w:sz w:val="12"/>
                <w:szCs w:val="12"/>
                <w:color w:val="auto"/>
              </w:rPr>
              <w:t>Preferred stock of subsidiaries</w:t>
            </w:r>
          </w:p>
        </w:tc>
        <w:tc>
          <w:tcPr>
            <w:tcW w:w="1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100</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2"/>
                <w:szCs w:val="12"/>
                <w:color w:val="auto"/>
              </w:rPr>
              <w:t>Other noncontrolling interests</w:t>
            </w:r>
          </w:p>
        </w:tc>
        <w:tc>
          <w:tcPr>
            <w:tcW w:w="18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6600" w:type="dxa"/>
            <w:vAlign w:val="bottom"/>
          </w:tcPr>
          <w:p>
            <w:pPr>
              <w:ind w:left="140"/>
              <w:spacing w:after="0" w:line="134" w:lineRule="exact"/>
              <w:rPr>
                <w:sz w:val="20"/>
                <w:szCs w:val="20"/>
                <w:color w:val="auto"/>
              </w:rPr>
            </w:pPr>
            <w:r>
              <w:rPr>
                <w:rFonts w:ascii="Arial" w:cs="Arial" w:eastAsia="Arial" w:hAnsi="Arial"/>
                <w:sz w:val="12"/>
                <w:szCs w:val="12"/>
                <w:color w:val="auto"/>
              </w:rPr>
              <w:t>Total equity</w:t>
            </w:r>
          </w:p>
        </w:tc>
        <w:tc>
          <w:tcPr>
            <w:tcW w:w="186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9,403</w:t>
            </w: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9,238</w:t>
            </w:r>
          </w:p>
        </w:tc>
        <w:tc>
          <w:tcPr>
            <w:tcW w:w="0" w:type="dxa"/>
            <w:vAlign w:val="bottom"/>
          </w:tcPr>
          <w:p>
            <w:pPr>
              <w:spacing w:after="0"/>
              <w:rPr>
                <w:sz w:val="1"/>
                <w:szCs w:val="1"/>
                <w:color w:val="auto"/>
              </w:rPr>
            </w:pPr>
          </w:p>
        </w:tc>
      </w:tr>
      <w:tr>
        <w:trPr>
          <w:trHeight w:val="135"/>
        </w:trPr>
        <w:tc>
          <w:tcPr>
            <w:tcW w:w="6740" w:type="dxa"/>
            <w:vAlign w:val="bottom"/>
            <w:tcBorders>
              <w:bottom w:val="single" w:sz="8" w:color="auto"/>
            </w:tcBorders>
            <w:gridSpan w:val="2"/>
          </w:tcPr>
          <w:p>
            <w:pPr>
              <w:spacing w:after="0" w:line="134" w:lineRule="exact"/>
              <w:rPr>
                <w:sz w:val="20"/>
                <w:szCs w:val="20"/>
                <w:color w:val="auto"/>
              </w:rPr>
            </w:pPr>
            <w:r>
              <w:rPr>
                <w:rFonts w:ascii="Arial" w:cs="Arial" w:eastAsia="Arial" w:hAnsi="Arial"/>
                <w:sz w:val="12"/>
                <w:szCs w:val="12"/>
                <w:color w:val="auto"/>
              </w:rPr>
              <w:t>Total liabilities and equity</w:t>
            </w:r>
          </w:p>
        </w:tc>
        <w:tc>
          <w:tcPr>
            <w:tcW w:w="18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863"/>
              <w:spacing w:after="0" w:line="134" w:lineRule="exact"/>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30,696</w:t>
            </w:r>
          </w:p>
        </w:tc>
        <w:tc>
          <w:tcPr>
            <w:tcW w:w="220" w:type="dxa"/>
            <w:vAlign w:val="bottom"/>
            <w:tcBorders>
              <w:bottom w:val="single" w:sz="8" w:color="auto"/>
            </w:tcBorders>
          </w:tcPr>
          <w:p>
            <w:pPr>
              <w:jc w:val="right"/>
              <w:ind w:right="78"/>
              <w:spacing w:after="0" w:line="134" w:lineRule="exact"/>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30,283</w:t>
            </w:r>
          </w:p>
        </w:tc>
        <w:tc>
          <w:tcPr>
            <w:tcW w:w="0" w:type="dxa"/>
            <w:vAlign w:val="bottom"/>
          </w:tcPr>
          <w:p>
            <w:pPr>
              <w:spacing w:after="0"/>
              <w:rPr>
                <w:sz w:val="1"/>
                <w:szCs w:val="1"/>
                <w:color w:val="auto"/>
              </w:rPr>
            </w:pPr>
          </w:p>
        </w:tc>
      </w:tr>
      <w:tr>
        <w:trPr>
          <w:trHeight w:val="126"/>
        </w:trPr>
        <w:tc>
          <w:tcPr>
            <w:tcW w:w="140" w:type="dxa"/>
            <w:vAlign w:val="bottom"/>
          </w:tcPr>
          <w:p>
            <w:pPr>
              <w:spacing w:after="0"/>
              <w:rPr>
                <w:sz w:val="20"/>
                <w:szCs w:val="20"/>
                <w:color w:val="auto"/>
              </w:rPr>
            </w:pPr>
            <w:r>
              <w:rPr>
                <w:rFonts w:ascii="Arial" w:cs="Arial" w:eastAsia="Arial" w:hAnsi="Arial"/>
                <w:sz w:val="11"/>
                <w:szCs w:val="11"/>
                <w:i w:val="1"/>
                <w:iCs w:val="1"/>
                <w:color w:val="auto"/>
                <w:w w:val="88"/>
              </w:rPr>
              <w:t>(1)</w:t>
            </w:r>
          </w:p>
        </w:tc>
        <w:tc>
          <w:tcPr>
            <w:tcW w:w="6600" w:type="dxa"/>
            <w:vAlign w:val="bottom"/>
          </w:tcPr>
          <w:p>
            <w:pPr>
              <w:ind w:left="380"/>
              <w:spacing w:after="0"/>
              <w:rPr>
                <w:sz w:val="20"/>
                <w:szCs w:val="20"/>
                <w:color w:val="auto"/>
              </w:rPr>
            </w:pPr>
            <w:r>
              <w:rPr>
                <w:rFonts w:ascii="Arial" w:cs="Arial" w:eastAsia="Arial" w:hAnsi="Arial"/>
                <w:sz w:val="11"/>
                <w:szCs w:val="11"/>
                <w:i w:val="1"/>
                <w:iCs w:val="1"/>
                <w:color w:val="auto"/>
              </w:rPr>
              <w:t>Derived from audited financial statements.</w:t>
            </w:r>
          </w:p>
        </w:tc>
        <w:tc>
          <w:tcPr>
            <w:tcW w:w="1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740" w:type="dxa"/>
            <w:vAlign w:val="bottom"/>
            <w:gridSpan w:val="2"/>
          </w:tcPr>
          <w:p>
            <w:pPr>
              <w:spacing w:after="0"/>
              <w:rPr>
                <w:sz w:val="20"/>
                <w:szCs w:val="20"/>
                <w:color w:val="auto"/>
              </w:rPr>
            </w:pPr>
            <w:r>
              <w:rPr>
                <w:rFonts w:ascii="Arial" w:cs="Arial" w:eastAsia="Arial" w:hAnsi="Arial"/>
                <w:sz w:val="11"/>
                <w:szCs w:val="11"/>
                <w:i w:val="1"/>
                <w:iCs w:val="1"/>
                <w:color w:val="auto"/>
              </w:rPr>
              <w:t>See Notes to Condensed Consolidated Financial Statements.</w:t>
            </w:r>
          </w:p>
        </w:tc>
        <w:tc>
          <w:tcPr>
            <w:tcW w:w="1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27" w:right="21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255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9005" cy="25590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(Dollars in millions)</w:t>
      </w:r>
    </w:p>
    <w:tbl>
      <w:tblPr>
        <w:tblLayout w:type="fixed"/>
        <w:tblInd w:w="0" w:type="dxa"/>
        <w:tblCellMar>
          <w:top w:w="0" w:type="dxa"/>
          <w:left w:w="0" w:type="dxa"/>
          <w:bottom w:w="0" w:type="dxa"/>
          <w:right w:w="0" w:type="dxa"/>
        </w:tblCellMar>
      </w:tblPr>
      <w:tr>
        <w:trPr>
          <w:trHeight w:val="124"/>
        </w:trPr>
        <w:tc>
          <w:tcPr>
            <w:tcW w:w="8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80" w:type="dxa"/>
            <w:vAlign w:val="bottom"/>
            <w:gridSpan w:val="2"/>
          </w:tcPr>
          <w:p>
            <w:pPr>
              <w:jc w:val="center"/>
              <w:spacing w:after="0" w:line="124" w:lineRule="exact"/>
              <w:rPr>
                <w:sz w:val="20"/>
                <w:szCs w:val="20"/>
                <w:color w:val="auto"/>
              </w:rPr>
            </w:pPr>
            <w:r>
              <w:rPr>
                <w:rFonts w:ascii="Arial" w:cs="Arial" w:eastAsia="Arial" w:hAnsi="Arial"/>
                <w:sz w:val="11"/>
                <w:szCs w:val="11"/>
                <w:color w:val="auto"/>
              </w:rPr>
              <w:t>Three months ended</w:t>
            </w: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68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jc w:val="center"/>
              <w:spacing w:after="0" w:line="121" w:lineRule="exact"/>
              <w:rPr>
                <w:sz w:val="20"/>
                <w:szCs w:val="20"/>
                <w:color w:val="auto"/>
              </w:rPr>
            </w:pPr>
            <w:r>
              <w:rPr>
                <w:rFonts w:ascii="Arial" w:cs="Arial" w:eastAsia="Arial" w:hAnsi="Arial"/>
                <w:sz w:val="11"/>
                <w:szCs w:val="11"/>
                <w:color w:val="auto"/>
              </w:rPr>
              <w:t>March 31,</w:t>
            </w:r>
          </w:p>
        </w:tc>
        <w:tc>
          <w:tcPr>
            <w:tcW w:w="8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6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2011</w:t>
            </w:r>
          </w:p>
        </w:tc>
        <w:tc>
          <w:tcPr>
            <w:tcW w:w="5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color w:val="auto"/>
              </w:rPr>
              <w:t>2010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680" w:type="dxa"/>
            <w:vAlign w:val="bottom"/>
            <w:vMerge w:val="restart"/>
          </w:tcPr>
          <w:p>
            <w:pPr>
              <w:spacing w:after="0"/>
              <w:rPr>
                <w:sz w:val="20"/>
                <w:szCs w:val="20"/>
                <w:color w:val="auto"/>
              </w:rPr>
            </w:pPr>
            <w:r>
              <w:rPr>
                <w:rFonts w:ascii="Arial" w:cs="Arial" w:eastAsia="Arial" w:hAnsi="Arial"/>
                <w:sz w:val="12"/>
                <w:szCs w:val="12"/>
                <w:color w:val="auto"/>
              </w:rPr>
              <w:t>CASH FLOWS FROM OPERATING ACTIVITIES</w:t>
            </w:r>
          </w:p>
        </w:tc>
        <w:tc>
          <w:tcPr>
            <w:tcW w:w="840" w:type="dxa"/>
            <w:vAlign w:val="bottom"/>
          </w:tcPr>
          <w:p>
            <w:pPr>
              <w:spacing w:after="0"/>
              <w:rPr>
                <w:sz w:val="12"/>
                <w:szCs w:val="12"/>
                <w:color w:val="auto"/>
              </w:rPr>
            </w:pPr>
          </w:p>
        </w:tc>
        <w:tc>
          <w:tcPr>
            <w:tcW w:w="1080" w:type="dxa"/>
            <w:vAlign w:val="bottom"/>
            <w:gridSpan w:val="2"/>
          </w:tcPr>
          <w:p>
            <w:pPr>
              <w:jc w:val="center"/>
              <w:spacing w:after="0"/>
              <w:rPr>
                <w:sz w:val="20"/>
                <w:szCs w:val="20"/>
                <w:color w:val="auto"/>
              </w:rPr>
            </w:pPr>
            <w:r>
              <w:rPr>
                <w:rFonts w:ascii="Arial" w:cs="Arial" w:eastAsia="Arial" w:hAnsi="Arial"/>
                <w:sz w:val="11"/>
                <w:szCs w:val="11"/>
                <w:color w:val="auto"/>
                <w:w w:val="96"/>
              </w:rPr>
              <w:t>(unaudited)</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86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8680" w:type="dxa"/>
            <w:vAlign w:val="bottom"/>
          </w:tcPr>
          <w:p>
            <w:pPr>
              <w:ind w:left="140"/>
              <w:spacing w:after="0" w:line="134" w:lineRule="exact"/>
              <w:rPr>
                <w:sz w:val="20"/>
                <w:szCs w:val="20"/>
                <w:color w:val="auto"/>
              </w:rPr>
            </w:pPr>
            <w:r>
              <w:rPr>
                <w:rFonts w:ascii="Arial" w:cs="Arial" w:eastAsia="Arial" w:hAnsi="Arial"/>
                <w:sz w:val="12"/>
                <w:szCs w:val="12"/>
                <w:color w:val="auto"/>
              </w:rPr>
              <w:t>Net income</w:t>
            </w:r>
          </w:p>
        </w:tc>
        <w:tc>
          <w:tcPr>
            <w:tcW w:w="840" w:type="dxa"/>
            <w:vAlign w:val="bottom"/>
          </w:tcPr>
          <w:p>
            <w:pPr>
              <w:jc w:val="right"/>
              <w:ind w:right="727"/>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264</w:t>
            </w:r>
          </w:p>
        </w:tc>
        <w:tc>
          <w:tcPr>
            <w:tcW w:w="520" w:type="dxa"/>
            <w:vAlign w:val="bottom"/>
          </w:tcPr>
          <w:p>
            <w:pPr>
              <w:jc w:val="right"/>
              <w:ind w:right="408"/>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34" w:lineRule="exact"/>
              <w:rPr>
                <w:sz w:val="20"/>
                <w:szCs w:val="20"/>
                <w:color w:val="auto"/>
              </w:rPr>
            </w:pPr>
            <w:r>
              <w:rPr>
                <w:rFonts w:ascii="Arial" w:cs="Arial" w:eastAsia="Arial" w:hAnsi="Arial"/>
                <w:sz w:val="12"/>
                <w:szCs w:val="12"/>
                <w:color w:val="auto"/>
              </w:rPr>
              <w:t>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680" w:type="dxa"/>
            <w:vAlign w:val="bottom"/>
          </w:tcPr>
          <w:p>
            <w:pPr>
              <w:ind w:left="140"/>
              <w:spacing w:after="0" w:line="134" w:lineRule="exact"/>
              <w:rPr>
                <w:sz w:val="20"/>
                <w:szCs w:val="20"/>
                <w:color w:val="auto"/>
              </w:rPr>
            </w:pPr>
            <w:r>
              <w:rPr>
                <w:rFonts w:ascii="Arial" w:cs="Arial" w:eastAsia="Arial" w:hAnsi="Arial"/>
                <w:sz w:val="12"/>
                <w:szCs w:val="12"/>
                <w:color w:val="auto"/>
              </w:rPr>
              <w:t>Adjustments to reconcile net income to net cash provided</w:t>
            </w: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680" w:type="dxa"/>
            <w:vAlign w:val="bottom"/>
          </w:tcPr>
          <w:p>
            <w:pPr>
              <w:ind w:left="280"/>
              <w:spacing w:after="0" w:line="134" w:lineRule="exact"/>
              <w:rPr>
                <w:sz w:val="20"/>
                <w:szCs w:val="20"/>
                <w:color w:val="auto"/>
              </w:rPr>
            </w:pPr>
            <w:r>
              <w:rPr>
                <w:rFonts w:ascii="Arial" w:cs="Arial" w:eastAsia="Arial" w:hAnsi="Arial"/>
                <w:sz w:val="12"/>
                <w:szCs w:val="12"/>
                <w:color w:val="auto"/>
              </w:rPr>
              <w:t>by operating activities:</w:t>
            </w: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680" w:type="dxa"/>
            <w:vAlign w:val="bottom"/>
          </w:tcPr>
          <w:p>
            <w:pPr>
              <w:ind w:left="420"/>
              <w:spacing w:after="0" w:line="134" w:lineRule="exact"/>
              <w:rPr>
                <w:sz w:val="20"/>
                <w:szCs w:val="20"/>
                <w:color w:val="auto"/>
              </w:rPr>
            </w:pPr>
            <w:r>
              <w:rPr>
                <w:rFonts w:ascii="Arial" w:cs="Arial" w:eastAsia="Arial" w:hAnsi="Arial"/>
                <w:sz w:val="12"/>
                <w:szCs w:val="12"/>
                <w:color w:val="auto"/>
              </w:rPr>
              <w:t>Depreciation and amortization</w:t>
            </w:r>
          </w:p>
        </w:tc>
        <w:tc>
          <w:tcPr>
            <w:tcW w:w="84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231</w:t>
            </w:r>
          </w:p>
        </w:tc>
        <w:tc>
          <w:tcPr>
            <w:tcW w:w="52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Arial" w:cs="Arial" w:eastAsia="Arial" w:hAnsi="Arial"/>
                <w:sz w:val="12"/>
                <w:szCs w:val="12"/>
                <w:color w:val="auto"/>
              </w:rPr>
              <w:t>210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680" w:type="dxa"/>
            <w:vAlign w:val="bottom"/>
          </w:tcPr>
          <w:p>
            <w:pPr>
              <w:ind w:left="420"/>
              <w:spacing w:after="0" w:line="134" w:lineRule="exact"/>
              <w:rPr>
                <w:sz w:val="20"/>
                <w:szCs w:val="20"/>
                <w:color w:val="auto"/>
              </w:rPr>
            </w:pPr>
            <w:r>
              <w:rPr>
                <w:rFonts w:ascii="Arial" w:cs="Arial" w:eastAsia="Arial" w:hAnsi="Arial"/>
                <w:sz w:val="12"/>
                <w:szCs w:val="12"/>
                <w:color w:val="auto"/>
              </w:rPr>
              <w:t>Deferred income taxes and investment tax credits</w:t>
            </w:r>
          </w:p>
        </w:tc>
        <w:tc>
          <w:tcPr>
            <w:tcW w:w="84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88</w:t>
            </w:r>
          </w:p>
        </w:tc>
        <w:tc>
          <w:tcPr>
            <w:tcW w:w="52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Arial" w:cs="Arial" w:eastAsia="Arial" w:hAnsi="Arial"/>
                <w:sz w:val="12"/>
                <w:szCs w:val="12"/>
                <w:color w:val="auto"/>
              </w:rPr>
              <w:t>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680" w:type="dxa"/>
            <w:vAlign w:val="bottom"/>
          </w:tcPr>
          <w:p>
            <w:pPr>
              <w:ind w:left="420"/>
              <w:spacing w:after="0" w:line="134" w:lineRule="exact"/>
              <w:rPr>
                <w:sz w:val="20"/>
                <w:szCs w:val="20"/>
                <w:color w:val="auto"/>
              </w:rPr>
            </w:pPr>
            <w:r>
              <w:rPr>
                <w:rFonts w:ascii="Arial" w:cs="Arial" w:eastAsia="Arial" w:hAnsi="Arial"/>
                <w:sz w:val="12"/>
                <w:szCs w:val="12"/>
                <w:color w:val="auto"/>
              </w:rPr>
              <w:t>Equity earnings</w:t>
            </w:r>
          </w:p>
        </w:tc>
        <w:tc>
          <w:tcPr>
            <w:tcW w:w="84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(32)</w:t>
            </w:r>
          </w:p>
        </w:tc>
        <w:tc>
          <w:tcPr>
            <w:tcW w:w="520" w:type="dxa"/>
            <w:vAlign w:val="bottom"/>
          </w:tcPr>
          <w:p>
            <w:pPr>
              <w:spacing w:after="0"/>
              <w:rPr>
                <w:sz w:val="11"/>
                <w:szCs w:val="11"/>
                <w:color w:val="auto"/>
              </w:rPr>
            </w:pPr>
          </w:p>
        </w:tc>
        <w:tc>
          <w:tcPr>
            <w:tcW w:w="88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34"/>
        </w:trPr>
        <w:tc>
          <w:tcPr>
            <w:tcW w:w="8680" w:type="dxa"/>
            <w:vAlign w:val="bottom"/>
          </w:tcPr>
          <w:p>
            <w:pPr>
              <w:ind w:left="420"/>
              <w:spacing w:after="0" w:line="134" w:lineRule="exact"/>
              <w:rPr>
                <w:sz w:val="20"/>
                <w:szCs w:val="20"/>
                <w:color w:val="auto"/>
              </w:rPr>
            </w:pPr>
            <w:r>
              <w:rPr>
                <w:rFonts w:ascii="Arial" w:cs="Arial" w:eastAsia="Arial" w:hAnsi="Arial"/>
                <w:sz w:val="12"/>
                <w:szCs w:val="12"/>
                <w:color w:val="auto"/>
              </w:rPr>
              <w:t>Fixed-price contracts and other derivatives</w:t>
            </w:r>
          </w:p>
        </w:tc>
        <w:tc>
          <w:tcPr>
            <w:tcW w:w="84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(9)</w:t>
            </w:r>
          </w:p>
        </w:tc>
        <w:tc>
          <w:tcPr>
            <w:tcW w:w="520" w:type="dxa"/>
            <w:vAlign w:val="bottom"/>
          </w:tcPr>
          <w:p>
            <w:pPr>
              <w:spacing w:after="0"/>
              <w:rPr>
                <w:sz w:val="11"/>
                <w:szCs w:val="11"/>
                <w:color w:val="auto"/>
              </w:rPr>
            </w:pPr>
          </w:p>
        </w:tc>
        <w:tc>
          <w:tcPr>
            <w:tcW w:w="88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8680" w:type="dxa"/>
            <w:vAlign w:val="bottom"/>
          </w:tcPr>
          <w:p>
            <w:pPr>
              <w:ind w:left="420"/>
              <w:spacing w:after="0" w:line="134" w:lineRule="exact"/>
              <w:rPr>
                <w:sz w:val="20"/>
                <w:szCs w:val="20"/>
                <w:color w:val="auto"/>
              </w:rPr>
            </w:pPr>
            <w:r>
              <w:rPr>
                <w:rFonts w:ascii="Arial" w:cs="Arial" w:eastAsia="Arial" w:hAnsi="Arial"/>
                <w:sz w:val="12"/>
                <w:szCs w:val="12"/>
                <w:color w:val="auto"/>
              </w:rPr>
              <w:t>Other</w:t>
            </w:r>
          </w:p>
        </w:tc>
        <w:tc>
          <w:tcPr>
            <w:tcW w:w="84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(13)</w:t>
            </w:r>
          </w:p>
        </w:tc>
        <w:tc>
          <w:tcPr>
            <w:tcW w:w="52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Arial" w:cs="Arial" w:eastAsia="Arial" w:hAnsi="Arial"/>
                <w:sz w:val="12"/>
                <w:szCs w:val="12"/>
                <w:color w:val="auto"/>
              </w:rPr>
              <w:t>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680" w:type="dxa"/>
            <w:vAlign w:val="bottom"/>
          </w:tcPr>
          <w:p>
            <w:pPr>
              <w:ind w:left="140"/>
              <w:spacing w:after="0" w:line="134" w:lineRule="exact"/>
              <w:rPr>
                <w:sz w:val="20"/>
                <w:szCs w:val="20"/>
                <w:color w:val="auto"/>
              </w:rPr>
            </w:pPr>
            <w:r>
              <w:rPr>
                <w:rFonts w:ascii="Arial" w:cs="Arial" w:eastAsia="Arial" w:hAnsi="Arial"/>
                <w:sz w:val="12"/>
                <w:szCs w:val="12"/>
                <w:color w:val="auto"/>
              </w:rPr>
              <w:t>Net change in other working capital components</w:t>
            </w:r>
          </w:p>
        </w:tc>
        <w:tc>
          <w:tcPr>
            <w:tcW w:w="84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286</w:t>
            </w:r>
          </w:p>
        </w:tc>
        <w:tc>
          <w:tcPr>
            <w:tcW w:w="52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Arial" w:cs="Arial" w:eastAsia="Arial" w:hAnsi="Arial"/>
                <w:sz w:val="12"/>
                <w:szCs w:val="12"/>
                <w:color w:val="auto"/>
              </w:rPr>
              <w:t>534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680" w:type="dxa"/>
            <w:vAlign w:val="bottom"/>
          </w:tcPr>
          <w:p>
            <w:pPr>
              <w:ind w:left="140"/>
              <w:spacing w:after="0" w:line="134" w:lineRule="exact"/>
              <w:rPr>
                <w:sz w:val="20"/>
                <w:szCs w:val="20"/>
                <w:color w:val="auto"/>
              </w:rPr>
            </w:pPr>
            <w:r>
              <w:rPr>
                <w:rFonts w:ascii="Arial" w:cs="Arial" w:eastAsia="Arial" w:hAnsi="Arial"/>
                <w:sz w:val="12"/>
                <w:szCs w:val="12"/>
                <w:color w:val="auto"/>
              </w:rPr>
              <w:t>Changes in other assets</w:t>
            </w:r>
          </w:p>
        </w:tc>
        <w:tc>
          <w:tcPr>
            <w:tcW w:w="84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(5)</w:t>
            </w:r>
          </w:p>
        </w:tc>
        <w:tc>
          <w:tcPr>
            <w:tcW w:w="52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Arial" w:cs="Arial" w:eastAsia="Arial" w:hAnsi="Arial"/>
                <w:sz w:val="12"/>
                <w:szCs w:val="12"/>
                <w:color w:val="auto"/>
              </w:rPr>
              <w:t>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680" w:type="dxa"/>
            <w:vAlign w:val="bottom"/>
          </w:tcPr>
          <w:p>
            <w:pPr>
              <w:ind w:left="140"/>
              <w:spacing w:after="0"/>
              <w:rPr>
                <w:sz w:val="20"/>
                <w:szCs w:val="20"/>
                <w:color w:val="auto"/>
              </w:rPr>
            </w:pPr>
            <w:r>
              <w:rPr>
                <w:rFonts w:ascii="Arial" w:cs="Arial" w:eastAsia="Arial" w:hAnsi="Arial"/>
                <w:sz w:val="12"/>
                <w:szCs w:val="12"/>
                <w:color w:val="auto"/>
              </w:rPr>
              <w:t>Changes in other liabilities</w:t>
            </w:r>
          </w:p>
        </w:tc>
        <w:tc>
          <w:tcPr>
            <w:tcW w:w="8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w:t>
            </w:r>
          </w:p>
        </w:tc>
        <w:tc>
          <w:tcPr>
            <w:tcW w:w="52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35"/>
        </w:trPr>
        <w:tc>
          <w:tcPr>
            <w:tcW w:w="8680" w:type="dxa"/>
            <w:vAlign w:val="bottom"/>
          </w:tcPr>
          <w:p>
            <w:pPr>
              <w:ind w:left="280"/>
              <w:spacing w:after="0" w:line="134" w:lineRule="exact"/>
              <w:rPr>
                <w:sz w:val="20"/>
                <w:szCs w:val="20"/>
                <w:color w:val="auto"/>
              </w:rPr>
            </w:pPr>
            <w:r>
              <w:rPr>
                <w:rFonts w:ascii="Arial" w:cs="Arial" w:eastAsia="Arial" w:hAnsi="Arial"/>
                <w:sz w:val="12"/>
                <w:szCs w:val="12"/>
                <w:color w:val="auto"/>
              </w:rPr>
              <w:t>Net cash provided by operating activities</w:t>
            </w:r>
          </w:p>
        </w:tc>
        <w:tc>
          <w:tcPr>
            <w:tcW w:w="8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805</w:t>
            </w:r>
          </w:p>
        </w:tc>
        <w:tc>
          <w:tcPr>
            <w:tcW w:w="52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888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0"/>
        </w:trPr>
        <w:tc>
          <w:tcPr>
            <w:tcW w:w="868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8680" w:type="dxa"/>
            <w:vAlign w:val="bottom"/>
          </w:tcPr>
          <w:p>
            <w:pPr>
              <w:ind w:left="140"/>
              <w:spacing w:after="0" w:line="134" w:lineRule="exact"/>
              <w:rPr>
                <w:sz w:val="20"/>
                <w:szCs w:val="20"/>
                <w:color w:val="auto"/>
              </w:rPr>
            </w:pPr>
            <w:r>
              <w:rPr>
                <w:rFonts w:ascii="Arial" w:cs="Arial" w:eastAsia="Arial" w:hAnsi="Arial"/>
                <w:sz w:val="12"/>
                <w:szCs w:val="12"/>
                <w:color w:val="auto"/>
              </w:rPr>
              <w:t>Expenditures for property, plant and equipment</w:t>
            </w:r>
          </w:p>
        </w:tc>
        <w:tc>
          <w:tcPr>
            <w:tcW w:w="84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(607)</w:t>
            </w:r>
          </w:p>
        </w:tc>
        <w:tc>
          <w:tcPr>
            <w:tcW w:w="520" w:type="dxa"/>
            <w:vAlign w:val="bottom"/>
          </w:tcPr>
          <w:p>
            <w:pPr>
              <w:spacing w:after="0"/>
              <w:rPr>
                <w:sz w:val="11"/>
                <w:szCs w:val="11"/>
                <w:color w:val="auto"/>
              </w:rPr>
            </w:pPr>
          </w:p>
        </w:tc>
        <w:tc>
          <w:tcPr>
            <w:tcW w:w="88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(446)</w:t>
            </w:r>
          </w:p>
        </w:tc>
        <w:tc>
          <w:tcPr>
            <w:tcW w:w="0" w:type="dxa"/>
            <w:vAlign w:val="bottom"/>
          </w:tcPr>
          <w:p>
            <w:pPr>
              <w:spacing w:after="0"/>
              <w:rPr>
                <w:sz w:val="1"/>
                <w:szCs w:val="1"/>
                <w:color w:val="auto"/>
              </w:rPr>
            </w:pPr>
          </w:p>
        </w:tc>
      </w:tr>
      <w:tr>
        <w:trPr>
          <w:trHeight w:val="134"/>
        </w:trPr>
        <w:tc>
          <w:tcPr>
            <w:tcW w:w="8680" w:type="dxa"/>
            <w:vAlign w:val="bottom"/>
          </w:tcPr>
          <w:p>
            <w:pPr>
              <w:ind w:left="140"/>
              <w:spacing w:after="0" w:line="134" w:lineRule="exact"/>
              <w:rPr>
                <w:sz w:val="20"/>
                <w:szCs w:val="20"/>
                <w:color w:val="auto"/>
              </w:rPr>
            </w:pPr>
            <w:r>
              <w:rPr>
                <w:rFonts w:ascii="Arial" w:cs="Arial" w:eastAsia="Arial" w:hAnsi="Arial"/>
                <w:sz w:val="12"/>
                <w:szCs w:val="12"/>
                <w:color w:val="auto"/>
              </w:rPr>
              <w:t>Expenditures for investments</w:t>
            </w:r>
          </w:p>
        </w:tc>
        <w:tc>
          <w:tcPr>
            <w:tcW w:w="84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(4)</w:t>
            </w:r>
          </w:p>
        </w:tc>
        <w:tc>
          <w:tcPr>
            <w:tcW w:w="520" w:type="dxa"/>
            <w:vAlign w:val="bottom"/>
          </w:tcPr>
          <w:p>
            <w:pPr>
              <w:spacing w:after="0"/>
              <w:rPr>
                <w:sz w:val="11"/>
                <w:szCs w:val="11"/>
                <w:color w:val="auto"/>
              </w:rPr>
            </w:pPr>
          </w:p>
        </w:tc>
        <w:tc>
          <w:tcPr>
            <w:tcW w:w="88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34"/>
        </w:trPr>
        <w:tc>
          <w:tcPr>
            <w:tcW w:w="8680" w:type="dxa"/>
            <w:vAlign w:val="bottom"/>
          </w:tcPr>
          <w:p>
            <w:pPr>
              <w:ind w:left="140"/>
              <w:spacing w:after="0" w:line="134" w:lineRule="exact"/>
              <w:rPr>
                <w:sz w:val="20"/>
                <w:szCs w:val="20"/>
                <w:color w:val="auto"/>
              </w:rPr>
            </w:pPr>
            <w:r>
              <w:rPr>
                <w:rFonts w:ascii="Arial" w:cs="Arial" w:eastAsia="Arial" w:hAnsi="Arial"/>
                <w:sz w:val="12"/>
                <w:szCs w:val="12"/>
                <w:color w:val="auto"/>
              </w:rPr>
              <w:t>Distributions from investments</w:t>
            </w:r>
          </w:p>
        </w:tc>
        <w:tc>
          <w:tcPr>
            <w:tcW w:w="84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21</w:t>
            </w:r>
          </w:p>
        </w:tc>
        <w:tc>
          <w:tcPr>
            <w:tcW w:w="52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Arial" w:cs="Arial" w:eastAsia="Arial" w:hAnsi="Arial"/>
                <w:sz w:val="12"/>
                <w:szCs w:val="12"/>
                <w:color w:val="auto"/>
              </w:rPr>
              <w:t>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680" w:type="dxa"/>
            <w:vAlign w:val="bottom"/>
          </w:tcPr>
          <w:p>
            <w:pPr>
              <w:ind w:left="140"/>
              <w:spacing w:after="0" w:line="134" w:lineRule="exact"/>
              <w:rPr>
                <w:sz w:val="20"/>
                <w:szCs w:val="20"/>
                <w:color w:val="auto"/>
              </w:rPr>
            </w:pPr>
            <w:r>
              <w:rPr>
                <w:rFonts w:ascii="Arial" w:cs="Arial" w:eastAsia="Arial" w:hAnsi="Arial"/>
                <w:sz w:val="12"/>
                <w:szCs w:val="12"/>
                <w:color w:val="auto"/>
              </w:rPr>
              <w:t>Purchases of nuclear decommissioning and other trust assets</w:t>
            </w:r>
          </w:p>
        </w:tc>
        <w:tc>
          <w:tcPr>
            <w:tcW w:w="84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(45)</w:t>
            </w:r>
          </w:p>
        </w:tc>
        <w:tc>
          <w:tcPr>
            <w:tcW w:w="520" w:type="dxa"/>
            <w:vAlign w:val="bottom"/>
          </w:tcPr>
          <w:p>
            <w:pPr>
              <w:spacing w:after="0"/>
              <w:rPr>
                <w:sz w:val="11"/>
                <w:szCs w:val="11"/>
                <w:color w:val="auto"/>
              </w:rPr>
            </w:pPr>
          </w:p>
        </w:tc>
        <w:tc>
          <w:tcPr>
            <w:tcW w:w="88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34"/>
        </w:trPr>
        <w:tc>
          <w:tcPr>
            <w:tcW w:w="8680" w:type="dxa"/>
            <w:vAlign w:val="bottom"/>
          </w:tcPr>
          <w:p>
            <w:pPr>
              <w:ind w:left="140"/>
              <w:spacing w:after="0" w:line="134" w:lineRule="exact"/>
              <w:rPr>
                <w:sz w:val="20"/>
                <w:szCs w:val="20"/>
                <w:color w:val="auto"/>
              </w:rPr>
            </w:pPr>
            <w:r>
              <w:rPr>
                <w:rFonts w:ascii="Arial" w:cs="Arial" w:eastAsia="Arial" w:hAnsi="Arial"/>
                <w:sz w:val="12"/>
                <w:szCs w:val="12"/>
                <w:color w:val="auto"/>
              </w:rPr>
              <w:t>Proceeds from sales by nuclear decommissioning and other trusts</w:t>
            </w:r>
          </w:p>
        </w:tc>
        <w:tc>
          <w:tcPr>
            <w:tcW w:w="84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46</w:t>
            </w:r>
          </w:p>
        </w:tc>
        <w:tc>
          <w:tcPr>
            <w:tcW w:w="52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Arial" w:cs="Arial" w:eastAsia="Arial" w:hAnsi="Arial"/>
                <w:sz w:val="12"/>
                <w:szCs w:val="12"/>
                <w:color w:val="auto"/>
              </w:rPr>
              <w:t>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680" w:type="dxa"/>
            <w:vAlign w:val="bottom"/>
          </w:tcPr>
          <w:p>
            <w:pPr>
              <w:ind w:left="140"/>
              <w:spacing w:after="0" w:line="134" w:lineRule="exact"/>
              <w:rPr>
                <w:sz w:val="20"/>
                <w:szCs w:val="20"/>
                <w:color w:val="auto"/>
              </w:rPr>
            </w:pPr>
            <w:r>
              <w:rPr>
                <w:rFonts w:ascii="Arial" w:cs="Arial" w:eastAsia="Arial" w:hAnsi="Arial"/>
                <w:sz w:val="12"/>
                <w:szCs w:val="12"/>
                <w:color w:val="auto"/>
              </w:rPr>
              <w:t>Decrease in restricted cash</w:t>
            </w:r>
          </w:p>
        </w:tc>
        <w:tc>
          <w:tcPr>
            <w:tcW w:w="84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160</w:t>
            </w:r>
          </w:p>
        </w:tc>
        <w:tc>
          <w:tcPr>
            <w:tcW w:w="52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Arial" w:cs="Arial" w:eastAsia="Arial" w:hAnsi="Arial"/>
                <w:sz w:val="12"/>
                <w:szCs w:val="12"/>
                <w:color w:val="auto"/>
              </w:rPr>
              <w:t>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680" w:type="dxa"/>
            <w:vAlign w:val="bottom"/>
          </w:tcPr>
          <w:p>
            <w:pPr>
              <w:ind w:left="140"/>
              <w:spacing w:after="0" w:line="134" w:lineRule="exact"/>
              <w:rPr>
                <w:sz w:val="20"/>
                <w:szCs w:val="20"/>
                <w:color w:val="auto"/>
              </w:rPr>
            </w:pPr>
            <w:r>
              <w:rPr>
                <w:rFonts w:ascii="Arial" w:cs="Arial" w:eastAsia="Arial" w:hAnsi="Arial"/>
                <w:sz w:val="12"/>
                <w:szCs w:val="12"/>
                <w:color w:val="auto"/>
              </w:rPr>
              <w:t>Increase in restricted cash</w:t>
            </w:r>
          </w:p>
        </w:tc>
        <w:tc>
          <w:tcPr>
            <w:tcW w:w="84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(320)</w:t>
            </w:r>
          </w:p>
        </w:tc>
        <w:tc>
          <w:tcPr>
            <w:tcW w:w="520" w:type="dxa"/>
            <w:vAlign w:val="bottom"/>
          </w:tcPr>
          <w:p>
            <w:pPr>
              <w:spacing w:after="0"/>
              <w:rPr>
                <w:sz w:val="11"/>
                <w:szCs w:val="11"/>
                <w:color w:val="auto"/>
              </w:rPr>
            </w:pPr>
          </w:p>
        </w:tc>
        <w:tc>
          <w:tcPr>
            <w:tcW w:w="88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44"/>
        </w:trPr>
        <w:tc>
          <w:tcPr>
            <w:tcW w:w="8680" w:type="dxa"/>
            <w:vAlign w:val="bottom"/>
          </w:tcPr>
          <w:p>
            <w:pPr>
              <w:ind w:left="140"/>
              <w:spacing w:after="0"/>
              <w:rPr>
                <w:sz w:val="20"/>
                <w:szCs w:val="20"/>
                <w:color w:val="auto"/>
              </w:rPr>
            </w:pPr>
            <w:r>
              <w:rPr>
                <w:rFonts w:ascii="Arial" w:cs="Arial" w:eastAsia="Arial" w:hAnsi="Arial"/>
                <w:sz w:val="12"/>
                <w:szCs w:val="12"/>
                <w:color w:val="auto"/>
              </w:rPr>
              <w:t>Other</w:t>
            </w:r>
          </w:p>
        </w:tc>
        <w:tc>
          <w:tcPr>
            <w:tcW w:w="8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680" w:type="dxa"/>
            <w:vAlign w:val="bottom"/>
          </w:tcPr>
          <w:p>
            <w:pPr>
              <w:ind w:left="280"/>
              <w:spacing w:after="0" w:line="134" w:lineRule="exact"/>
              <w:rPr>
                <w:sz w:val="20"/>
                <w:szCs w:val="20"/>
                <w:color w:val="auto"/>
              </w:rPr>
            </w:pPr>
            <w:r>
              <w:rPr>
                <w:rFonts w:ascii="Arial" w:cs="Arial" w:eastAsia="Arial" w:hAnsi="Arial"/>
                <w:sz w:val="12"/>
                <w:szCs w:val="12"/>
                <w:color w:val="auto"/>
              </w:rPr>
              <w:t>Net cash used in investing activities</w:t>
            </w:r>
          </w:p>
        </w:tc>
        <w:tc>
          <w:tcPr>
            <w:tcW w:w="8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(756)</w:t>
            </w:r>
          </w:p>
        </w:tc>
        <w:tc>
          <w:tcPr>
            <w:tcW w:w="5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(496)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0"/>
        </w:trPr>
        <w:tc>
          <w:tcPr>
            <w:tcW w:w="8680" w:type="dxa"/>
            <w:vAlign w:val="bottom"/>
          </w:tcPr>
          <w:p>
            <w:pPr>
              <w:spacing w:after="0"/>
              <w:rPr>
                <w:sz w:val="20"/>
                <w:szCs w:val="20"/>
                <w:color w:val="auto"/>
              </w:rPr>
            </w:pPr>
            <w:r>
              <w:rPr>
                <w:rFonts w:ascii="Arial" w:cs="Arial" w:eastAsia="Arial" w:hAnsi="Arial"/>
                <w:sz w:val="12"/>
                <w:szCs w:val="12"/>
                <w:color w:val="auto"/>
              </w:rPr>
              <w:t>CASH FLOWS FROM FINANCING ACTIVITIES</w:t>
            </w: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8680" w:type="dxa"/>
            <w:vAlign w:val="bottom"/>
          </w:tcPr>
          <w:p>
            <w:pPr>
              <w:ind w:left="140"/>
              <w:spacing w:after="0" w:line="134" w:lineRule="exact"/>
              <w:rPr>
                <w:sz w:val="20"/>
                <w:szCs w:val="20"/>
                <w:color w:val="auto"/>
              </w:rPr>
            </w:pPr>
            <w:r>
              <w:rPr>
                <w:rFonts w:ascii="Arial" w:cs="Arial" w:eastAsia="Arial" w:hAnsi="Arial"/>
                <w:sz w:val="12"/>
                <w:szCs w:val="12"/>
                <w:color w:val="auto"/>
              </w:rPr>
              <w:t>Common dividends paid</w:t>
            </w:r>
          </w:p>
        </w:tc>
        <w:tc>
          <w:tcPr>
            <w:tcW w:w="84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(94)</w:t>
            </w:r>
          </w:p>
        </w:tc>
        <w:tc>
          <w:tcPr>
            <w:tcW w:w="520" w:type="dxa"/>
            <w:vAlign w:val="bottom"/>
          </w:tcPr>
          <w:p>
            <w:pPr>
              <w:spacing w:after="0"/>
              <w:rPr>
                <w:sz w:val="11"/>
                <w:szCs w:val="11"/>
                <w:color w:val="auto"/>
              </w:rPr>
            </w:pPr>
          </w:p>
        </w:tc>
        <w:tc>
          <w:tcPr>
            <w:tcW w:w="88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134"/>
        </w:trPr>
        <w:tc>
          <w:tcPr>
            <w:tcW w:w="8680" w:type="dxa"/>
            <w:vAlign w:val="bottom"/>
          </w:tcPr>
          <w:p>
            <w:pPr>
              <w:ind w:left="140"/>
              <w:spacing w:after="0" w:line="134" w:lineRule="exact"/>
              <w:rPr>
                <w:sz w:val="20"/>
                <w:szCs w:val="20"/>
                <w:color w:val="auto"/>
              </w:rPr>
            </w:pPr>
            <w:r>
              <w:rPr>
                <w:rFonts w:ascii="Arial" w:cs="Arial" w:eastAsia="Arial" w:hAnsi="Arial"/>
                <w:sz w:val="12"/>
                <w:szCs w:val="12"/>
                <w:color w:val="auto"/>
              </w:rPr>
              <w:t>Preferred dividends paid by subsidiaries</w:t>
            </w:r>
          </w:p>
        </w:tc>
        <w:tc>
          <w:tcPr>
            <w:tcW w:w="84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c>
          <w:tcPr>
            <w:tcW w:w="520" w:type="dxa"/>
            <w:vAlign w:val="bottom"/>
          </w:tcPr>
          <w:p>
            <w:pPr>
              <w:spacing w:after="0"/>
              <w:rPr>
                <w:sz w:val="11"/>
                <w:szCs w:val="11"/>
                <w:color w:val="auto"/>
              </w:rPr>
            </w:pPr>
          </w:p>
        </w:tc>
        <w:tc>
          <w:tcPr>
            <w:tcW w:w="88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4"/>
        </w:trPr>
        <w:tc>
          <w:tcPr>
            <w:tcW w:w="8680" w:type="dxa"/>
            <w:vAlign w:val="bottom"/>
          </w:tcPr>
          <w:p>
            <w:pPr>
              <w:ind w:left="140"/>
              <w:spacing w:after="0" w:line="134" w:lineRule="exact"/>
              <w:rPr>
                <w:sz w:val="20"/>
                <w:szCs w:val="20"/>
                <w:color w:val="auto"/>
              </w:rPr>
            </w:pPr>
            <w:r>
              <w:rPr>
                <w:rFonts w:ascii="Arial" w:cs="Arial" w:eastAsia="Arial" w:hAnsi="Arial"/>
                <w:sz w:val="12"/>
                <w:szCs w:val="12"/>
                <w:color w:val="auto"/>
              </w:rPr>
              <w:t>Issuances of common stock</w:t>
            </w:r>
          </w:p>
        </w:tc>
        <w:tc>
          <w:tcPr>
            <w:tcW w:w="84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15</w:t>
            </w:r>
          </w:p>
        </w:tc>
        <w:tc>
          <w:tcPr>
            <w:tcW w:w="52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Arial" w:cs="Arial" w:eastAsia="Arial" w:hAnsi="Arial"/>
                <w:sz w:val="12"/>
                <w:szCs w:val="12"/>
                <w:color w:val="auto"/>
              </w:rPr>
              <w:t>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680" w:type="dxa"/>
            <w:vAlign w:val="bottom"/>
          </w:tcPr>
          <w:p>
            <w:pPr>
              <w:ind w:left="140"/>
              <w:spacing w:after="0" w:line="134" w:lineRule="exact"/>
              <w:rPr>
                <w:sz w:val="20"/>
                <w:szCs w:val="20"/>
                <w:color w:val="auto"/>
              </w:rPr>
            </w:pPr>
            <w:r>
              <w:rPr>
                <w:rFonts w:ascii="Arial" w:cs="Arial" w:eastAsia="Arial" w:hAnsi="Arial"/>
                <w:sz w:val="12"/>
                <w:szCs w:val="12"/>
                <w:color w:val="auto"/>
              </w:rPr>
              <w:t>Repurchases of common stock</w:t>
            </w:r>
          </w:p>
        </w:tc>
        <w:tc>
          <w:tcPr>
            <w:tcW w:w="84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(18)</w:t>
            </w:r>
          </w:p>
        </w:tc>
        <w:tc>
          <w:tcPr>
            <w:tcW w:w="520" w:type="dxa"/>
            <w:vAlign w:val="bottom"/>
          </w:tcPr>
          <w:p>
            <w:pPr>
              <w:spacing w:after="0"/>
              <w:rPr>
                <w:sz w:val="11"/>
                <w:szCs w:val="11"/>
                <w:color w:val="auto"/>
              </w:rPr>
            </w:pPr>
          </w:p>
        </w:tc>
        <w:tc>
          <w:tcPr>
            <w:tcW w:w="88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4"/>
        </w:trPr>
        <w:tc>
          <w:tcPr>
            <w:tcW w:w="8680" w:type="dxa"/>
            <w:vAlign w:val="bottom"/>
          </w:tcPr>
          <w:p>
            <w:pPr>
              <w:ind w:left="140"/>
              <w:spacing w:after="0" w:line="134" w:lineRule="exact"/>
              <w:rPr>
                <w:sz w:val="20"/>
                <w:szCs w:val="20"/>
                <w:color w:val="auto"/>
              </w:rPr>
            </w:pPr>
            <w:r>
              <w:rPr>
                <w:rFonts w:ascii="Arial" w:cs="Arial" w:eastAsia="Arial" w:hAnsi="Arial"/>
                <w:sz w:val="12"/>
                <w:szCs w:val="12"/>
                <w:color w:val="auto"/>
              </w:rPr>
              <w:t>Issuances of debt (maturities greater than 90 days)</w:t>
            </w:r>
          </w:p>
        </w:tc>
        <w:tc>
          <w:tcPr>
            <w:tcW w:w="84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803</w:t>
            </w:r>
          </w:p>
        </w:tc>
        <w:tc>
          <w:tcPr>
            <w:tcW w:w="52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Arial" w:cs="Arial" w:eastAsia="Arial" w:hAnsi="Arial"/>
                <w:sz w:val="12"/>
                <w:szCs w:val="12"/>
                <w:color w:val="auto"/>
              </w:rPr>
              <w:t>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680" w:type="dxa"/>
            <w:vAlign w:val="bottom"/>
          </w:tcPr>
          <w:p>
            <w:pPr>
              <w:ind w:left="140"/>
              <w:spacing w:after="0" w:line="134" w:lineRule="exact"/>
              <w:rPr>
                <w:sz w:val="20"/>
                <w:szCs w:val="20"/>
                <w:color w:val="auto"/>
              </w:rPr>
            </w:pPr>
            <w:r>
              <w:rPr>
                <w:rFonts w:ascii="Arial" w:cs="Arial" w:eastAsia="Arial" w:hAnsi="Arial"/>
                <w:sz w:val="12"/>
                <w:szCs w:val="12"/>
                <w:color w:val="auto"/>
              </w:rPr>
              <w:t>Payments on debt (maturities greater than 90 days)</w:t>
            </w:r>
          </w:p>
        </w:tc>
        <w:tc>
          <w:tcPr>
            <w:tcW w:w="84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(260)</w:t>
            </w:r>
          </w:p>
        </w:tc>
        <w:tc>
          <w:tcPr>
            <w:tcW w:w="520" w:type="dxa"/>
            <w:vAlign w:val="bottom"/>
          </w:tcPr>
          <w:p>
            <w:pPr>
              <w:spacing w:after="0"/>
              <w:rPr>
                <w:sz w:val="11"/>
                <w:szCs w:val="11"/>
                <w:color w:val="auto"/>
              </w:rPr>
            </w:pPr>
          </w:p>
        </w:tc>
        <w:tc>
          <w:tcPr>
            <w:tcW w:w="88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(507)</w:t>
            </w:r>
          </w:p>
        </w:tc>
        <w:tc>
          <w:tcPr>
            <w:tcW w:w="0" w:type="dxa"/>
            <w:vAlign w:val="bottom"/>
          </w:tcPr>
          <w:p>
            <w:pPr>
              <w:spacing w:after="0"/>
              <w:rPr>
                <w:sz w:val="1"/>
                <w:szCs w:val="1"/>
                <w:color w:val="auto"/>
              </w:rPr>
            </w:pPr>
          </w:p>
        </w:tc>
      </w:tr>
      <w:tr>
        <w:trPr>
          <w:trHeight w:val="134"/>
        </w:trPr>
        <w:tc>
          <w:tcPr>
            <w:tcW w:w="8680" w:type="dxa"/>
            <w:vAlign w:val="bottom"/>
          </w:tcPr>
          <w:p>
            <w:pPr>
              <w:ind w:left="140"/>
              <w:spacing w:after="0" w:line="134" w:lineRule="exact"/>
              <w:rPr>
                <w:sz w:val="20"/>
                <w:szCs w:val="20"/>
                <w:color w:val="auto"/>
              </w:rPr>
            </w:pPr>
            <w:r>
              <w:rPr>
                <w:rFonts w:ascii="Arial" w:cs="Arial" w:eastAsia="Arial" w:hAnsi="Arial"/>
                <w:sz w:val="12"/>
                <w:szCs w:val="12"/>
                <w:color w:val="auto"/>
              </w:rPr>
              <w:t>(Decrease) increase in short-term debt, net</w:t>
            </w:r>
          </w:p>
        </w:tc>
        <w:tc>
          <w:tcPr>
            <w:tcW w:w="84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(192)</w:t>
            </w:r>
          </w:p>
        </w:tc>
        <w:tc>
          <w:tcPr>
            <w:tcW w:w="520" w:type="dxa"/>
            <w:vAlign w:val="bottom"/>
          </w:tcPr>
          <w:p>
            <w:pPr>
              <w:spacing w:after="0"/>
              <w:rPr>
                <w:sz w:val="11"/>
                <w:szCs w:val="11"/>
                <w:color w:val="auto"/>
              </w:rPr>
            </w:pPr>
          </w:p>
        </w:tc>
        <w:tc>
          <w:tcPr>
            <w:tcW w:w="860" w:type="dxa"/>
            <w:vAlign w:val="bottom"/>
          </w:tcPr>
          <w:p>
            <w:pPr>
              <w:jc w:val="right"/>
              <w:spacing w:after="0" w:line="134" w:lineRule="exact"/>
              <w:rPr>
                <w:sz w:val="20"/>
                <w:szCs w:val="20"/>
                <w:color w:val="auto"/>
              </w:rPr>
            </w:pPr>
            <w:r>
              <w:rPr>
                <w:rFonts w:ascii="Arial" w:cs="Arial" w:eastAsia="Arial" w:hAnsi="Arial"/>
                <w:sz w:val="12"/>
                <w:szCs w:val="12"/>
                <w:color w:val="auto"/>
              </w:rPr>
              <w:t>294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680" w:type="dxa"/>
            <w:vAlign w:val="bottom"/>
          </w:tcPr>
          <w:p>
            <w:pPr>
              <w:ind w:left="140"/>
              <w:spacing w:after="0"/>
              <w:rPr>
                <w:sz w:val="20"/>
                <w:szCs w:val="20"/>
                <w:color w:val="auto"/>
              </w:rPr>
            </w:pPr>
            <w:r>
              <w:rPr>
                <w:rFonts w:ascii="Arial" w:cs="Arial" w:eastAsia="Arial" w:hAnsi="Arial"/>
                <w:sz w:val="12"/>
                <w:szCs w:val="12"/>
                <w:color w:val="auto"/>
              </w:rPr>
              <w:t>Other</w:t>
            </w:r>
          </w:p>
        </w:tc>
        <w:tc>
          <w:tcPr>
            <w:tcW w:w="8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5"/>
        </w:trPr>
        <w:tc>
          <w:tcPr>
            <w:tcW w:w="8680" w:type="dxa"/>
            <w:vAlign w:val="bottom"/>
          </w:tcPr>
          <w:p>
            <w:pPr>
              <w:ind w:left="280"/>
              <w:spacing w:after="0" w:line="134" w:lineRule="exact"/>
              <w:rPr>
                <w:sz w:val="20"/>
                <w:szCs w:val="20"/>
                <w:color w:val="auto"/>
              </w:rPr>
            </w:pPr>
            <w:r>
              <w:rPr>
                <w:rFonts w:ascii="Arial" w:cs="Arial" w:eastAsia="Arial" w:hAnsi="Arial"/>
                <w:sz w:val="12"/>
                <w:szCs w:val="12"/>
                <w:color w:val="auto"/>
              </w:rPr>
              <w:t>Net cash provided by (used in) financing activities</w:t>
            </w:r>
          </w:p>
        </w:tc>
        <w:tc>
          <w:tcPr>
            <w:tcW w:w="84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258</w:t>
            </w:r>
          </w:p>
        </w:tc>
        <w:tc>
          <w:tcPr>
            <w:tcW w:w="520" w:type="dxa"/>
            <w:vAlign w:val="bottom"/>
          </w:tcPr>
          <w:p>
            <w:pPr>
              <w:spacing w:after="0"/>
              <w:rPr>
                <w:sz w:val="11"/>
                <w:szCs w:val="11"/>
                <w:color w:val="auto"/>
              </w:rPr>
            </w:pPr>
          </w:p>
        </w:tc>
        <w:tc>
          <w:tcPr>
            <w:tcW w:w="88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(280)</w:t>
            </w:r>
          </w:p>
        </w:tc>
        <w:tc>
          <w:tcPr>
            <w:tcW w:w="0" w:type="dxa"/>
            <w:vAlign w:val="bottom"/>
          </w:tcPr>
          <w:p>
            <w:pPr>
              <w:spacing w:after="0"/>
              <w:rPr>
                <w:sz w:val="1"/>
                <w:szCs w:val="1"/>
                <w:color w:val="auto"/>
              </w:rPr>
            </w:pPr>
          </w:p>
        </w:tc>
      </w:tr>
      <w:tr>
        <w:trPr>
          <w:trHeight w:val="260"/>
        </w:trPr>
        <w:tc>
          <w:tcPr>
            <w:tcW w:w="8680" w:type="dxa"/>
            <w:vAlign w:val="bottom"/>
          </w:tcPr>
          <w:p>
            <w:pPr>
              <w:spacing w:after="0"/>
              <w:rPr>
                <w:sz w:val="20"/>
                <w:szCs w:val="20"/>
                <w:color w:val="auto"/>
              </w:rPr>
            </w:pPr>
            <w:r>
              <w:rPr>
                <w:rFonts w:ascii="Arial" w:cs="Arial" w:eastAsia="Arial" w:hAnsi="Arial"/>
                <w:sz w:val="12"/>
                <w:szCs w:val="12"/>
                <w:color w:val="auto"/>
              </w:rPr>
              <w:t>Increase in cash and cash equivalents</w:t>
            </w:r>
          </w:p>
        </w:tc>
        <w:tc>
          <w:tcPr>
            <w:tcW w:w="8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307</w:t>
            </w:r>
          </w:p>
        </w:tc>
        <w:tc>
          <w:tcPr>
            <w:tcW w:w="5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8680" w:type="dxa"/>
            <w:vAlign w:val="bottom"/>
          </w:tcPr>
          <w:p>
            <w:pPr>
              <w:spacing w:after="0"/>
              <w:rPr>
                <w:sz w:val="20"/>
                <w:szCs w:val="20"/>
                <w:color w:val="auto"/>
              </w:rPr>
            </w:pPr>
            <w:r>
              <w:rPr>
                <w:rFonts w:ascii="Arial" w:cs="Arial" w:eastAsia="Arial" w:hAnsi="Arial"/>
                <w:sz w:val="12"/>
                <w:szCs w:val="12"/>
                <w:color w:val="auto"/>
              </w:rPr>
              <w:t>Cash and cash equivalents, January 1</w:t>
            </w:r>
          </w:p>
        </w:tc>
        <w:tc>
          <w:tcPr>
            <w:tcW w:w="8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912</w:t>
            </w: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80" w:type="dxa"/>
            <w:vAlign w:val="bottom"/>
          </w:tcPr>
          <w:p>
            <w:pPr>
              <w:spacing w:after="0"/>
              <w:rPr>
                <w:sz w:val="20"/>
                <w:szCs w:val="20"/>
                <w:color w:val="auto"/>
              </w:rPr>
            </w:pPr>
            <w:r>
              <w:rPr>
                <w:rFonts w:ascii="Arial" w:cs="Arial" w:eastAsia="Arial" w:hAnsi="Arial"/>
                <w:sz w:val="12"/>
                <w:szCs w:val="12"/>
                <w:color w:val="auto"/>
              </w:rPr>
              <w:t>Cash and cash equivalents, March 31</w:t>
            </w:r>
          </w:p>
        </w:tc>
        <w:tc>
          <w:tcPr>
            <w:tcW w:w="840" w:type="dxa"/>
            <w:vAlign w:val="bottom"/>
          </w:tcPr>
          <w:p>
            <w:pPr>
              <w:jc w:val="right"/>
              <w:ind w:right="727"/>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1,219</w:t>
            </w:r>
          </w:p>
        </w:tc>
        <w:tc>
          <w:tcPr>
            <w:tcW w:w="520" w:type="dxa"/>
            <w:vAlign w:val="bottom"/>
          </w:tcPr>
          <w:p>
            <w:pPr>
              <w:jc w:val="right"/>
              <w:ind w:right="408"/>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279005"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See Notes to Condensed Consolidated Financial Statements.</w:t>
      </w:r>
    </w:p>
    <w:p>
      <w:pPr>
        <w:sectPr>
          <w:pgSz w:w="11900" w:h="16838" w:orient="portrait"/>
          <w:cols w:equalWidth="0" w:num="1">
            <w:col w:w="11460"/>
          </w:cols>
          <w:pgMar w:left="220" w:top="427" w:right="21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255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9005" cy="25590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(Dollars in millions)</w:t>
      </w:r>
    </w:p>
    <w:tbl>
      <w:tblPr>
        <w:tblLayout w:type="fixed"/>
        <w:tblInd w:w="0" w:type="dxa"/>
        <w:tblCellMar>
          <w:top w:w="0" w:type="dxa"/>
          <w:left w:w="0" w:type="dxa"/>
          <w:bottom w:w="0" w:type="dxa"/>
          <w:right w:w="0" w:type="dxa"/>
        </w:tblCellMar>
      </w:tblPr>
      <w:tr>
        <w:trPr>
          <w:trHeight w:val="124"/>
        </w:trPr>
        <w:tc>
          <w:tcPr>
            <w:tcW w:w="8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80" w:type="dxa"/>
            <w:vAlign w:val="bottom"/>
            <w:gridSpan w:val="2"/>
          </w:tcPr>
          <w:p>
            <w:pPr>
              <w:jc w:val="center"/>
              <w:spacing w:after="0" w:line="124" w:lineRule="exact"/>
              <w:rPr>
                <w:sz w:val="20"/>
                <w:szCs w:val="20"/>
                <w:color w:val="auto"/>
              </w:rPr>
            </w:pPr>
            <w:r>
              <w:rPr>
                <w:rFonts w:ascii="Arial" w:cs="Arial" w:eastAsia="Arial" w:hAnsi="Arial"/>
                <w:sz w:val="11"/>
                <w:szCs w:val="11"/>
                <w:color w:val="auto"/>
              </w:rPr>
              <w:t>Three months ended</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68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jc w:val="center"/>
              <w:spacing w:after="0" w:line="121" w:lineRule="exact"/>
              <w:rPr>
                <w:sz w:val="20"/>
                <w:szCs w:val="20"/>
                <w:color w:val="auto"/>
              </w:rPr>
            </w:pPr>
            <w:r>
              <w:rPr>
                <w:rFonts w:ascii="Arial" w:cs="Arial" w:eastAsia="Arial" w:hAnsi="Arial"/>
                <w:sz w:val="11"/>
                <w:szCs w:val="11"/>
                <w:color w:val="auto"/>
              </w:rPr>
              <w:t>March 31,</w:t>
            </w: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6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2011</w:t>
            </w:r>
          </w:p>
        </w:tc>
        <w:tc>
          <w:tcPr>
            <w:tcW w:w="5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19"/>
              <w:spacing w:after="0"/>
              <w:rPr>
                <w:sz w:val="20"/>
                <w:szCs w:val="20"/>
                <w:color w:val="auto"/>
              </w:rPr>
            </w:pPr>
            <w:r>
              <w:rPr>
                <w:rFonts w:ascii="Arial" w:cs="Arial" w:eastAsia="Arial" w:hAnsi="Arial"/>
                <w:sz w:val="11"/>
                <w:szCs w:val="11"/>
                <w:color w:val="auto"/>
              </w:rPr>
              <w:t>2010</w:t>
            </w:r>
          </w:p>
        </w:tc>
        <w:tc>
          <w:tcPr>
            <w:tcW w:w="0" w:type="dxa"/>
            <w:vAlign w:val="bottom"/>
          </w:tcPr>
          <w:p>
            <w:pPr>
              <w:spacing w:after="0"/>
              <w:rPr>
                <w:sz w:val="1"/>
                <w:szCs w:val="1"/>
                <w:color w:val="auto"/>
              </w:rPr>
            </w:pPr>
          </w:p>
        </w:tc>
      </w:tr>
      <w:tr>
        <w:trPr>
          <w:trHeight w:val="146"/>
        </w:trPr>
        <w:tc>
          <w:tcPr>
            <w:tcW w:w="8680" w:type="dxa"/>
            <w:vAlign w:val="bottom"/>
            <w:vMerge w:val="restart"/>
          </w:tcPr>
          <w:p>
            <w:pPr>
              <w:spacing w:after="0"/>
              <w:rPr>
                <w:sz w:val="20"/>
                <w:szCs w:val="20"/>
                <w:color w:val="auto"/>
              </w:rPr>
            </w:pPr>
            <w:r>
              <w:rPr>
                <w:rFonts w:ascii="Arial" w:cs="Arial" w:eastAsia="Arial" w:hAnsi="Arial"/>
                <w:sz w:val="12"/>
                <w:szCs w:val="12"/>
                <w:color w:val="auto"/>
              </w:rPr>
              <w:t>SUPPLEMENTAL DISCLOSURE OF CASH FLOW INFORMATION</w:t>
            </w:r>
          </w:p>
        </w:tc>
        <w:tc>
          <w:tcPr>
            <w:tcW w:w="840" w:type="dxa"/>
            <w:vAlign w:val="bottom"/>
          </w:tcPr>
          <w:p>
            <w:pPr>
              <w:spacing w:after="0"/>
              <w:rPr>
                <w:sz w:val="12"/>
                <w:szCs w:val="12"/>
                <w:color w:val="auto"/>
              </w:rPr>
            </w:pPr>
          </w:p>
        </w:tc>
        <w:tc>
          <w:tcPr>
            <w:tcW w:w="1080" w:type="dxa"/>
            <w:vAlign w:val="bottom"/>
            <w:gridSpan w:val="2"/>
          </w:tcPr>
          <w:p>
            <w:pPr>
              <w:jc w:val="center"/>
              <w:spacing w:after="0"/>
              <w:rPr>
                <w:sz w:val="20"/>
                <w:szCs w:val="20"/>
                <w:color w:val="auto"/>
              </w:rPr>
            </w:pPr>
            <w:r>
              <w:rPr>
                <w:rFonts w:ascii="Arial" w:cs="Arial" w:eastAsia="Arial" w:hAnsi="Arial"/>
                <w:sz w:val="11"/>
                <w:szCs w:val="11"/>
                <w:color w:val="auto"/>
                <w:w w:val="96"/>
              </w:rPr>
              <w:t>(unaudited)</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86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8680" w:type="dxa"/>
            <w:vAlign w:val="bottom"/>
          </w:tcPr>
          <w:p>
            <w:pPr>
              <w:ind w:left="140"/>
              <w:spacing w:after="0" w:line="134" w:lineRule="exact"/>
              <w:rPr>
                <w:sz w:val="20"/>
                <w:szCs w:val="20"/>
                <w:color w:val="auto"/>
              </w:rPr>
            </w:pPr>
            <w:r>
              <w:rPr>
                <w:rFonts w:ascii="Arial" w:cs="Arial" w:eastAsia="Arial" w:hAnsi="Arial"/>
                <w:sz w:val="12"/>
                <w:szCs w:val="12"/>
                <w:color w:val="auto"/>
              </w:rPr>
              <w:t>Interest payments, net of amounts capitalized</w:t>
            </w:r>
          </w:p>
        </w:tc>
        <w:tc>
          <w:tcPr>
            <w:tcW w:w="840" w:type="dxa"/>
            <w:vAlign w:val="bottom"/>
          </w:tcPr>
          <w:p>
            <w:pPr>
              <w:jc w:val="right"/>
              <w:ind w:right="727"/>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34" w:lineRule="exact"/>
              <w:rPr>
                <w:sz w:val="20"/>
                <w:szCs w:val="20"/>
                <w:color w:val="auto"/>
              </w:rPr>
            </w:pPr>
            <w:r>
              <w:rPr>
                <w:rFonts w:ascii="Arial" w:cs="Arial" w:eastAsia="Arial" w:hAnsi="Arial"/>
                <w:sz w:val="12"/>
                <w:szCs w:val="12"/>
                <w:color w:val="auto"/>
              </w:rPr>
              <w:t>63</w:t>
            </w:r>
          </w:p>
        </w:tc>
        <w:tc>
          <w:tcPr>
            <w:tcW w:w="540" w:type="dxa"/>
            <w:vAlign w:val="bottom"/>
          </w:tcPr>
          <w:p>
            <w:pPr>
              <w:jc w:val="right"/>
              <w:ind w:right="398"/>
              <w:spacing w:after="0" w:line="134" w:lineRule="exact"/>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line="134" w:lineRule="exact"/>
              <w:rPr>
                <w:sz w:val="20"/>
                <w:szCs w:val="20"/>
                <w:color w:val="auto"/>
              </w:rPr>
            </w:pPr>
            <w:r>
              <w:rPr>
                <w:rFonts w:ascii="Arial" w:cs="Arial" w:eastAsia="Arial" w:hAnsi="Arial"/>
                <w:sz w:val="12"/>
                <w:szCs w:val="12"/>
                <w:color w:val="auto"/>
              </w:rPr>
              <w:t>71</w:t>
            </w:r>
          </w:p>
        </w:tc>
        <w:tc>
          <w:tcPr>
            <w:tcW w:w="0" w:type="dxa"/>
            <w:vAlign w:val="bottom"/>
          </w:tcPr>
          <w:p>
            <w:pPr>
              <w:spacing w:after="0"/>
              <w:rPr>
                <w:sz w:val="1"/>
                <w:szCs w:val="1"/>
                <w:color w:val="auto"/>
              </w:rPr>
            </w:pPr>
          </w:p>
        </w:tc>
      </w:tr>
      <w:tr>
        <w:trPr>
          <w:trHeight w:val="148"/>
        </w:trPr>
        <w:tc>
          <w:tcPr>
            <w:tcW w:w="8680" w:type="dxa"/>
            <w:vAlign w:val="bottom"/>
          </w:tcPr>
          <w:p>
            <w:pPr>
              <w:ind w:left="140"/>
              <w:spacing w:after="0"/>
              <w:rPr>
                <w:sz w:val="20"/>
                <w:szCs w:val="20"/>
                <w:color w:val="auto"/>
              </w:rPr>
            </w:pPr>
            <w:r>
              <w:rPr>
                <w:rFonts w:ascii="Arial" w:cs="Arial" w:eastAsia="Arial" w:hAnsi="Arial"/>
                <w:sz w:val="12"/>
                <w:szCs w:val="12"/>
                <w:color w:val="auto"/>
              </w:rPr>
              <w:t>Income tax payments (refunds), net</w:t>
            </w:r>
          </w:p>
        </w:tc>
        <w:tc>
          <w:tcPr>
            <w:tcW w:w="8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37</w:t>
            </w:r>
          </w:p>
        </w:tc>
        <w:tc>
          <w:tcPr>
            <w:tcW w:w="5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(73)</w:t>
            </w:r>
          </w:p>
        </w:tc>
        <w:tc>
          <w:tcPr>
            <w:tcW w:w="0" w:type="dxa"/>
            <w:vAlign w:val="bottom"/>
          </w:tcPr>
          <w:p>
            <w:pPr>
              <w:spacing w:after="0"/>
              <w:rPr>
                <w:sz w:val="1"/>
                <w:szCs w:val="1"/>
                <w:color w:val="auto"/>
              </w:rPr>
            </w:pPr>
          </w:p>
        </w:tc>
      </w:tr>
      <w:tr>
        <w:trPr>
          <w:trHeight w:val="255"/>
        </w:trPr>
        <w:tc>
          <w:tcPr>
            <w:tcW w:w="8680" w:type="dxa"/>
            <w:vAlign w:val="bottom"/>
          </w:tcPr>
          <w:p>
            <w:pPr>
              <w:spacing w:after="0"/>
              <w:rPr>
                <w:sz w:val="20"/>
                <w:szCs w:val="20"/>
                <w:color w:val="auto"/>
              </w:rPr>
            </w:pPr>
            <w:r>
              <w:rPr>
                <w:rFonts w:ascii="Arial" w:cs="Arial" w:eastAsia="Arial" w:hAnsi="Arial"/>
                <w:sz w:val="12"/>
                <w:szCs w:val="12"/>
                <w:color w:val="auto"/>
              </w:rPr>
              <w:t>SUPPLEMENTAL DISCLOSURE OF NONCASH ACTIVITIES</w:t>
            </w:r>
          </w:p>
        </w:tc>
        <w:tc>
          <w:tcPr>
            <w:tcW w:w="8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8680" w:type="dxa"/>
            <w:vAlign w:val="bottom"/>
          </w:tcPr>
          <w:p>
            <w:pPr>
              <w:ind w:left="140"/>
              <w:spacing w:after="0" w:line="134" w:lineRule="exact"/>
              <w:rPr>
                <w:sz w:val="20"/>
                <w:szCs w:val="20"/>
                <w:color w:val="auto"/>
              </w:rPr>
            </w:pPr>
            <w:r>
              <w:rPr>
                <w:rFonts w:ascii="Arial" w:cs="Arial" w:eastAsia="Arial" w:hAnsi="Arial"/>
                <w:sz w:val="12"/>
                <w:szCs w:val="12"/>
                <w:color w:val="auto"/>
              </w:rPr>
              <w:t>Accrued capital expenditures</w:t>
            </w:r>
          </w:p>
        </w:tc>
        <w:tc>
          <w:tcPr>
            <w:tcW w:w="840" w:type="dxa"/>
            <w:vAlign w:val="bottom"/>
          </w:tcPr>
          <w:p>
            <w:pPr>
              <w:jc w:val="right"/>
              <w:ind w:right="727"/>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34" w:lineRule="exact"/>
              <w:rPr>
                <w:sz w:val="20"/>
                <w:szCs w:val="20"/>
                <w:color w:val="auto"/>
              </w:rPr>
            </w:pPr>
            <w:r>
              <w:rPr>
                <w:rFonts w:ascii="Arial" w:cs="Arial" w:eastAsia="Arial" w:hAnsi="Arial"/>
                <w:sz w:val="12"/>
                <w:szCs w:val="12"/>
                <w:color w:val="auto"/>
              </w:rPr>
              <w:t>233</w:t>
            </w:r>
          </w:p>
        </w:tc>
        <w:tc>
          <w:tcPr>
            <w:tcW w:w="540" w:type="dxa"/>
            <w:vAlign w:val="bottom"/>
          </w:tcPr>
          <w:p>
            <w:pPr>
              <w:jc w:val="right"/>
              <w:ind w:right="398"/>
              <w:spacing w:after="0" w:line="134" w:lineRule="exact"/>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line="134" w:lineRule="exact"/>
              <w:rPr>
                <w:sz w:val="20"/>
                <w:szCs w:val="20"/>
                <w:color w:val="auto"/>
              </w:rPr>
            </w:pPr>
            <w:r>
              <w:rPr>
                <w:rFonts w:ascii="Arial" w:cs="Arial" w:eastAsia="Arial" w:hAnsi="Arial"/>
                <w:sz w:val="12"/>
                <w:szCs w:val="12"/>
                <w:color w:val="auto"/>
              </w:rPr>
              <w:t>191</w:t>
            </w:r>
          </w:p>
        </w:tc>
        <w:tc>
          <w:tcPr>
            <w:tcW w:w="0" w:type="dxa"/>
            <w:vAlign w:val="bottom"/>
          </w:tcPr>
          <w:p>
            <w:pPr>
              <w:spacing w:after="0"/>
              <w:rPr>
                <w:sz w:val="1"/>
                <w:szCs w:val="1"/>
                <w:color w:val="auto"/>
              </w:rPr>
            </w:pPr>
          </w:p>
        </w:tc>
      </w:tr>
      <w:tr>
        <w:trPr>
          <w:trHeight w:val="148"/>
        </w:trPr>
        <w:tc>
          <w:tcPr>
            <w:tcW w:w="8680" w:type="dxa"/>
            <w:vAlign w:val="bottom"/>
          </w:tcPr>
          <w:p>
            <w:pPr>
              <w:ind w:left="140"/>
              <w:spacing w:after="0"/>
              <w:rPr>
                <w:sz w:val="20"/>
                <w:szCs w:val="20"/>
                <w:color w:val="auto"/>
              </w:rPr>
            </w:pPr>
            <w:r>
              <w:rPr>
                <w:rFonts w:ascii="Arial" w:cs="Arial" w:eastAsia="Arial" w:hAnsi="Arial"/>
                <w:sz w:val="12"/>
                <w:szCs w:val="12"/>
                <w:color w:val="auto"/>
              </w:rPr>
              <w:t>Dividends declared but not paid</w:t>
            </w:r>
          </w:p>
        </w:tc>
        <w:tc>
          <w:tcPr>
            <w:tcW w:w="8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118</w:t>
            </w:r>
          </w:p>
        </w:tc>
        <w:tc>
          <w:tcPr>
            <w:tcW w:w="5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279005"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See Notes to Condensed Consolidated Financial Statements.</w:t>
      </w:r>
    </w:p>
    <w:p>
      <w:pPr>
        <w:sectPr>
          <w:pgSz w:w="11900" w:h="16838" w:orient="portrait"/>
          <w:cols w:equalWidth="0" w:num="1">
            <w:col w:w="11460"/>
          </w:cols>
          <w:pgMar w:left="220" w:top="427" w:right="21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255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9005" cy="25590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(Dollars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66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Three months ended March 31,</w:t>
            </w: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2011</w:t>
            </w:r>
          </w:p>
        </w:tc>
        <w:tc>
          <w:tcPr>
            <w:tcW w:w="8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778"/>
              <w:spacing w:after="0"/>
              <w:rPr>
                <w:sz w:val="20"/>
                <w:szCs w:val="20"/>
                <w:color w:val="auto"/>
              </w:rPr>
            </w:pPr>
            <w:r>
              <w:rPr>
                <w:rFonts w:ascii="Arial" w:cs="Arial" w:eastAsia="Arial" w:hAnsi="Arial"/>
                <w:sz w:val="11"/>
                <w:szCs w:val="11"/>
                <w:color w:val="auto"/>
              </w:rPr>
              <w:t>2010</w:t>
            </w:r>
          </w:p>
        </w:tc>
        <w:tc>
          <w:tcPr>
            <w:tcW w:w="0" w:type="dxa"/>
            <w:vAlign w:val="bottom"/>
          </w:tcPr>
          <w:p>
            <w:pPr>
              <w:spacing w:after="0"/>
              <w:rPr>
                <w:sz w:val="1"/>
                <w:szCs w:val="1"/>
                <w:color w:val="auto"/>
              </w:rPr>
            </w:pPr>
          </w:p>
        </w:tc>
      </w:tr>
      <w:tr>
        <w:trPr>
          <w:trHeight w:val="146"/>
        </w:trPr>
        <w:tc>
          <w:tcPr>
            <w:tcW w:w="7660" w:type="dxa"/>
            <w:vAlign w:val="bottom"/>
            <w:vMerge w:val="restart"/>
          </w:tcPr>
          <w:p>
            <w:pPr>
              <w:spacing w:after="0"/>
              <w:rPr>
                <w:sz w:val="20"/>
                <w:szCs w:val="20"/>
                <w:color w:val="auto"/>
              </w:rPr>
            </w:pPr>
            <w:r>
              <w:rPr>
                <w:rFonts w:ascii="Arial" w:cs="Arial" w:eastAsia="Arial" w:hAnsi="Arial"/>
                <w:sz w:val="12"/>
                <w:szCs w:val="12"/>
                <w:color w:val="auto"/>
              </w:rPr>
              <w:t>Operating revenues</w:t>
            </w:r>
          </w:p>
        </w:tc>
        <w:tc>
          <w:tcPr>
            <w:tcW w:w="1080" w:type="dxa"/>
            <w:vAlign w:val="bottom"/>
          </w:tcPr>
          <w:p>
            <w:pPr>
              <w:spacing w:after="0"/>
              <w:rPr>
                <w:sz w:val="12"/>
                <w:szCs w:val="12"/>
                <w:color w:val="auto"/>
              </w:rPr>
            </w:pPr>
          </w:p>
        </w:tc>
        <w:tc>
          <w:tcPr>
            <w:tcW w:w="1600" w:type="dxa"/>
            <w:vAlign w:val="bottom"/>
            <w:gridSpan w:val="2"/>
          </w:tcPr>
          <w:p>
            <w:pPr>
              <w:jc w:val="right"/>
              <w:ind w:right="448"/>
              <w:spacing w:after="0"/>
              <w:rPr>
                <w:sz w:val="20"/>
                <w:szCs w:val="20"/>
                <w:color w:val="auto"/>
              </w:rPr>
            </w:pPr>
            <w:r>
              <w:rPr>
                <w:rFonts w:ascii="Arial" w:cs="Arial" w:eastAsia="Arial" w:hAnsi="Arial"/>
                <w:sz w:val="11"/>
                <w:szCs w:val="11"/>
                <w:color w:val="auto"/>
              </w:rPr>
              <w:t>(unaudited)</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76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7660" w:type="dxa"/>
            <w:vAlign w:val="bottom"/>
          </w:tcPr>
          <w:p>
            <w:pPr>
              <w:ind w:left="140"/>
              <w:spacing w:after="0" w:line="134" w:lineRule="exact"/>
              <w:rPr>
                <w:sz w:val="20"/>
                <w:szCs w:val="20"/>
                <w:color w:val="auto"/>
              </w:rPr>
            </w:pPr>
            <w:r>
              <w:rPr>
                <w:rFonts w:ascii="Arial" w:cs="Arial" w:eastAsia="Arial" w:hAnsi="Arial"/>
                <w:sz w:val="12"/>
                <w:szCs w:val="12"/>
                <w:color w:val="auto"/>
              </w:rPr>
              <w:t>Electric</w:t>
            </w:r>
          </w:p>
        </w:tc>
        <w:tc>
          <w:tcPr>
            <w:tcW w:w="1080" w:type="dxa"/>
            <w:vAlign w:val="bottom"/>
          </w:tcPr>
          <w:p>
            <w:pPr>
              <w:jc w:val="right"/>
              <w:ind w:right="967"/>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34" w:lineRule="exact"/>
              <w:rPr>
                <w:sz w:val="20"/>
                <w:szCs w:val="20"/>
                <w:color w:val="auto"/>
              </w:rPr>
            </w:pPr>
            <w:r>
              <w:rPr>
                <w:rFonts w:ascii="Arial" w:cs="Arial" w:eastAsia="Arial" w:hAnsi="Arial"/>
                <w:sz w:val="12"/>
                <w:szCs w:val="12"/>
                <w:color w:val="auto"/>
              </w:rPr>
              <w:t>665</w:t>
            </w:r>
          </w:p>
        </w:tc>
        <w:tc>
          <w:tcPr>
            <w:tcW w:w="780" w:type="dxa"/>
            <w:vAlign w:val="bottom"/>
          </w:tcPr>
          <w:p>
            <w:pPr>
              <w:jc w:val="right"/>
              <w:ind w:right="668"/>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line="134" w:lineRule="exact"/>
              <w:rPr>
                <w:sz w:val="20"/>
                <w:szCs w:val="20"/>
                <w:color w:val="auto"/>
              </w:rPr>
            </w:pPr>
            <w:r>
              <w:rPr>
                <w:rFonts w:ascii="Arial" w:cs="Arial" w:eastAsia="Arial" w:hAnsi="Arial"/>
                <w:sz w:val="12"/>
                <w:szCs w:val="12"/>
                <w:color w:val="auto"/>
              </w:rPr>
              <w:t>563</w:t>
            </w:r>
          </w:p>
        </w:tc>
        <w:tc>
          <w:tcPr>
            <w:tcW w:w="0" w:type="dxa"/>
            <w:vAlign w:val="bottom"/>
          </w:tcPr>
          <w:p>
            <w:pPr>
              <w:spacing w:after="0"/>
              <w:rPr>
                <w:sz w:val="1"/>
                <w:szCs w:val="1"/>
                <w:color w:val="auto"/>
              </w:rPr>
            </w:pPr>
          </w:p>
        </w:tc>
      </w:tr>
      <w:tr>
        <w:trPr>
          <w:trHeight w:val="144"/>
        </w:trPr>
        <w:tc>
          <w:tcPr>
            <w:tcW w:w="7660" w:type="dxa"/>
            <w:vAlign w:val="bottom"/>
          </w:tcPr>
          <w:p>
            <w:pPr>
              <w:ind w:left="140"/>
              <w:spacing w:after="0"/>
              <w:rPr>
                <w:sz w:val="20"/>
                <w:szCs w:val="20"/>
                <w:color w:val="auto"/>
              </w:rPr>
            </w:pPr>
            <w:r>
              <w:rPr>
                <w:rFonts w:ascii="Arial" w:cs="Arial" w:eastAsia="Arial" w:hAnsi="Arial"/>
                <w:sz w:val="12"/>
                <w:szCs w:val="12"/>
                <w:color w:val="auto"/>
              </w:rPr>
              <w:t>Natural gas</w:t>
            </w:r>
          </w:p>
        </w:tc>
        <w:tc>
          <w:tcPr>
            <w:tcW w:w="10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175</w:t>
            </w:r>
          </w:p>
        </w:tc>
        <w:tc>
          <w:tcPr>
            <w:tcW w:w="7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w:t>
            </w:r>
          </w:p>
        </w:tc>
        <w:tc>
          <w:tcPr>
            <w:tcW w:w="0" w:type="dxa"/>
            <w:vAlign w:val="bottom"/>
          </w:tcPr>
          <w:p>
            <w:pPr>
              <w:spacing w:after="0"/>
              <w:rPr>
                <w:sz w:val="1"/>
                <w:szCs w:val="1"/>
                <w:color w:val="auto"/>
              </w:rPr>
            </w:pPr>
          </w:p>
        </w:tc>
      </w:tr>
      <w:tr>
        <w:trPr>
          <w:trHeight w:val="135"/>
        </w:trPr>
        <w:tc>
          <w:tcPr>
            <w:tcW w:w="7660" w:type="dxa"/>
            <w:vAlign w:val="bottom"/>
          </w:tcPr>
          <w:p>
            <w:pPr>
              <w:ind w:left="280"/>
              <w:spacing w:after="0" w:line="134" w:lineRule="exact"/>
              <w:rPr>
                <w:sz w:val="20"/>
                <w:szCs w:val="20"/>
                <w:color w:val="auto"/>
              </w:rPr>
            </w:pPr>
            <w:r>
              <w:rPr>
                <w:rFonts w:ascii="Arial" w:cs="Arial" w:eastAsia="Arial" w:hAnsi="Arial"/>
                <w:sz w:val="12"/>
                <w:szCs w:val="12"/>
                <w:color w:val="auto"/>
              </w:rPr>
              <w:t>Total operating revenues</w:t>
            </w:r>
          </w:p>
        </w:tc>
        <w:tc>
          <w:tcPr>
            <w:tcW w:w="10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840</w:t>
            </w:r>
          </w:p>
        </w:tc>
        <w:tc>
          <w:tcPr>
            <w:tcW w:w="7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742</w:t>
            </w:r>
          </w:p>
        </w:tc>
        <w:tc>
          <w:tcPr>
            <w:tcW w:w="0" w:type="dxa"/>
            <w:vAlign w:val="bottom"/>
          </w:tcPr>
          <w:p>
            <w:pPr>
              <w:spacing w:after="0"/>
              <w:rPr>
                <w:sz w:val="1"/>
                <w:szCs w:val="1"/>
                <w:color w:val="auto"/>
              </w:rPr>
            </w:pPr>
          </w:p>
        </w:tc>
      </w:tr>
      <w:tr>
        <w:trPr>
          <w:trHeight w:val="125"/>
        </w:trPr>
        <w:tc>
          <w:tcPr>
            <w:tcW w:w="7660" w:type="dxa"/>
            <w:vAlign w:val="bottom"/>
          </w:tcPr>
          <w:p>
            <w:pPr>
              <w:spacing w:after="0" w:line="126" w:lineRule="exact"/>
              <w:rPr>
                <w:sz w:val="20"/>
                <w:szCs w:val="20"/>
                <w:color w:val="auto"/>
              </w:rPr>
            </w:pPr>
            <w:r>
              <w:rPr>
                <w:rFonts w:ascii="Arial" w:cs="Arial" w:eastAsia="Arial" w:hAnsi="Arial"/>
                <w:sz w:val="12"/>
                <w:szCs w:val="12"/>
                <w:color w:val="auto"/>
              </w:rPr>
              <w:t>Operating expenses</w:t>
            </w:r>
          </w:p>
        </w:tc>
        <w:tc>
          <w:tcPr>
            <w:tcW w:w="10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660" w:type="dxa"/>
            <w:vAlign w:val="bottom"/>
          </w:tcPr>
          <w:p>
            <w:pPr>
              <w:ind w:left="140"/>
              <w:spacing w:after="0" w:line="134" w:lineRule="exact"/>
              <w:rPr>
                <w:sz w:val="20"/>
                <w:szCs w:val="20"/>
                <w:color w:val="auto"/>
              </w:rPr>
            </w:pPr>
            <w:r>
              <w:rPr>
                <w:rFonts w:ascii="Arial" w:cs="Arial" w:eastAsia="Arial" w:hAnsi="Arial"/>
                <w:sz w:val="12"/>
                <w:szCs w:val="12"/>
                <w:color w:val="auto"/>
              </w:rPr>
              <w:t>Cost of electric fuel and purchased power</w:t>
            </w:r>
          </w:p>
        </w:tc>
        <w:tc>
          <w:tcPr>
            <w:tcW w:w="108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Arial" w:cs="Arial" w:eastAsia="Arial" w:hAnsi="Arial"/>
                <w:sz w:val="12"/>
                <w:szCs w:val="12"/>
                <w:color w:val="auto"/>
              </w:rPr>
              <w:t>171</w:t>
            </w:r>
          </w:p>
        </w:tc>
        <w:tc>
          <w:tcPr>
            <w:tcW w:w="78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Arial" w:cs="Arial" w:eastAsia="Arial" w:hAnsi="Arial"/>
                <w:sz w:val="12"/>
                <w:szCs w:val="12"/>
                <w:color w:val="auto"/>
              </w:rPr>
              <w:t>148</w:t>
            </w:r>
          </w:p>
        </w:tc>
        <w:tc>
          <w:tcPr>
            <w:tcW w:w="0" w:type="dxa"/>
            <w:vAlign w:val="bottom"/>
          </w:tcPr>
          <w:p>
            <w:pPr>
              <w:spacing w:after="0"/>
              <w:rPr>
                <w:sz w:val="1"/>
                <w:szCs w:val="1"/>
                <w:color w:val="auto"/>
              </w:rPr>
            </w:pPr>
          </w:p>
        </w:tc>
      </w:tr>
      <w:tr>
        <w:trPr>
          <w:trHeight w:val="134"/>
        </w:trPr>
        <w:tc>
          <w:tcPr>
            <w:tcW w:w="7660" w:type="dxa"/>
            <w:vAlign w:val="bottom"/>
          </w:tcPr>
          <w:p>
            <w:pPr>
              <w:ind w:left="140"/>
              <w:spacing w:after="0" w:line="134" w:lineRule="exact"/>
              <w:rPr>
                <w:sz w:val="20"/>
                <w:szCs w:val="20"/>
                <w:color w:val="auto"/>
              </w:rPr>
            </w:pPr>
            <w:r>
              <w:rPr>
                <w:rFonts w:ascii="Arial" w:cs="Arial" w:eastAsia="Arial" w:hAnsi="Arial"/>
                <w:sz w:val="12"/>
                <w:szCs w:val="12"/>
                <w:color w:val="auto"/>
              </w:rPr>
              <w:t>Cost of natural gas</w:t>
            </w:r>
          </w:p>
        </w:tc>
        <w:tc>
          <w:tcPr>
            <w:tcW w:w="108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Arial" w:cs="Arial" w:eastAsia="Arial" w:hAnsi="Arial"/>
                <w:sz w:val="12"/>
                <w:szCs w:val="12"/>
                <w:color w:val="auto"/>
              </w:rPr>
              <w:t>83</w:t>
            </w:r>
          </w:p>
        </w:tc>
        <w:tc>
          <w:tcPr>
            <w:tcW w:w="78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Arial" w:cs="Arial" w:eastAsia="Arial" w:hAnsi="Arial"/>
                <w:sz w:val="12"/>
                <w:szCs w:val="12"/>
                <w:color w:val="auto"/>
              </w:rPr>
              <w:t>89</w:t>
            </w:r>
          </w:p>
        </w:tc>
        <w:tc>
          <w:tcPr>
            <w:tcW w:w="0" w:type="dxa"/>
            <w:vAlign w:val="bottom"/>
          </w:tcPr>
          <w:p>
            <w:pPr>
              <w:spacing w:after="0"/>
              <w:rPr>
                <w:sz w:val="1"/>
                <w:szCs w:val="1"/>
                <w:color w:val="auto"/>
              </w:rPr>
            </w:pPr>
          </w:p>
        </w:tc>
      </w:tr>
      <w:tr>
        <w:trPr>
          <w:trHeight w:val="134"/>
        </w:trPr>
        <w:tc>
          <w:tcPr>
            <w:tcW w:w="7660" w:type="dxa"/>
            <w:vAlign w:val="bottom"/>
          </w:tcPr>
          <w:p>
            <w:pPr>
              <w:ind w:left="140"/>
              <w:spacing w:after="0" w:line="134" w:lineRule="exact"/>
              <w:rPr>
                <w:sz w:val="20"/>
                <w:szCs w:val="20"/>
                <w:color w:val="auto"/>
              </w:rPr>
            </w:pPr>
            <w:r>
              <w:rPr>
                <w:rFonts w:ascii="Arial" w:cs="Arial" w:eastAsia="Arial" w:hAnsi="Arial"/>
                <w:sz w:val="12"/>
                <w:szCs w:val="12"/>
                <w:color w:val="auto"/>
              </w:rPr>
              <w:t>Operation and maintenance</w:t>
            </w:r>
          </w:p>
        </w:tc>
        <w:tc>
          <w:tcPr>
            <w:tcW w:w="108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Arial" w:cs="Arial" w:eastAsia="Arial" w:hAnsi="Arial"/>
                <w:sz w:val="12"/>
                <w:szCs w:val="12"/>
                <w:color w:val="auto"/>
              </w:rPr>
              <w:t>273</w:t>
            </w:r>
          </w:p>
        </w:tc>
        <w:tc>
          <w:tcPr>
            <w:tcW w:w="78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Arial" w:cs="Arial" w:eastAsia="Arial" w:hAnsi="Arial"/>
                <w:sz w:val="12"/>
                <w:szCs w:val="12"/>
                <w:color w:val="auto"/>
              </w:rPr>
              <w:t>232</w:t>
            </w:r>
          </w:p>
        </w:tc>
        <w:tc>
          <w:tcPr>
            <w:tcW w:w="0" w:type="dxa"/>
            <w:vAlign w:val="bottom"/>
          </w:tcPr>
          <w:p>
            <w:pPr>
              <w:spacing w:after="0"/>
              <w:rPr>
                <w:sz w:val="1"/>
                <w:szCs w:val="1"/>
                <w:color w:val="auto"/>
              </w:rPr>
            </w:pPr>
          </w:p>
        </w:tc>
      </w:tr>
      <w:tr>
        <w:trPr>
          <w:trHeight w:val="134"/>
        </w:trPr>
        <w:tc>
          <w:tcPr>
            <w:tcW w:w="7660" w:type="dxa"/>
            <w:vAlign w:val="bottom"/>
          </w:tcPr>
          <w:p>
            <w:pPr>
              <w:ind w:left="140"/>
              <w:spacing w:after="0" w:line="134" w:lineRule="exact"/>
              <w:rPr>
                <w:sz w:val="20"/>
                <w:szCs w:val="20"/>
                <w:color w:val="auto"/>
              </w:rPr>
            </w:pPr>
            <w:r>
              <w:rPr>
                <w:rFonts w:ascii="Arial" w:cs="Arial" w:eastAsia="Arial" w:hAnsi="Arial"/>
                <w:sz w:val="12"/>
                <w:szCs w:val="12"/>
                <w:color w:val="auto"/>
              </w:rPr>
              <w:t>Depreciation and amortization</w:t>
            </w:r>
          </w:p>
        </w:tc>
        <w:tc>
          <w:tcPr>
            <w:tcW w:w="108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Arial" w:cs="Arial" w:eastAsia="Arial" w:hAnsi="Arial"/>
                <w:sz w:val="12"/>
                <w:szCs w:val="12"/>
                <w:color w:val="auto"/>
              </w:rPr>
              <w:t>103</w:t>
            </w:r>
          </w:p>
        </w:tc>
        <w:tc>
          <w:tcPr>
            <w:tcW w:w="78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144"/>
        </w:trPr>
        <w:tc>
          <w:tcPr>
            <w:tcW w:w="7660" w:type="dxa"/>
            <w:vAlign w:val="bottom"/>
          </w:tcPr>
          <w:p>
            <w:pPr>
              <w:ind w:left="140"/>
              <w:spacing w:after="0"/>
              <w:rPr>
                <w:sz w:val="20"/>
                <w:szCs w:val="20"/>
                <w:color w:val="auto"/>
              </w:rPr>
            </w:pPr>
            <w:r>
              <w:rPr>
                <w:rFonts w:ascii="Arial" w:cs="Arial" w:eastAsia="Arial" w:hAnsi="Arial"/>
                <w:sz w:val="12"/>
                <w:szCs w:val="12"/>
                <w:color w:val="auto"/>
              </w:rPr>
              <w:t>Franchise fees and other taxes</w:t>
            </w:r>
          </w:p>
        </w:tc>
        <w:tc>
          <w:tcPr>
            <w:tcW w:w="10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w:t>
            </w:r>
          </w:p>
        </w:tc>
        <w:tc>
          <w:tcPr>
            <w:tcW w:w="7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35"/>
        </w:trPr>
        <w:tc>
          <w:tcPr>
            <w:tcW w:w="7660" w:type="dxa"/>
            <w:vAlign w:val="bottom"/>
          </w:tcPr>
          <w:p>
            <w:pPr>
              <w:ind w:left="280"/>
              <w:spacing w:after="0" w:line="134" w:lineRule="exact"/>
              <w:rPr>
                <w:sz w:val="20"/>
                <w:szCs w:val="20"/>
                <w:color w:val="auto"/>
              </w:rPr>
            </w:pPr>
            <w:r>
              <w:rPr>
                <w:rFonts w:ascii="Arial" w:cs="Arial" w:eastAsia="Arial" w:hAnsi="Arial"/>
                <w:sz w:val="12"/>
                <w:szCs w:val="12"/>
                <w:color w:val="auto"/>
              </w:rPr>
              <w:t>Total operating expenses</w:t>
            </w:r>
          </w:p>
        </w:tc>
        <w:tc>
          <w:tcPr>
            <w:tcW w:w="10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677</w:t>
            </w:r>
          </w:p>
        </w:tc>
        <w:tc>
          <w:tcPr>
            <w:tcW w:w="7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604</w:t>
            </w:r>
          </w:p>
        </w:tc>
        <w:tc>
          <w:tcPr>
            <w:tcW w:w="0" w:type="dxa"/>
            <w:vAlign w:val="bottom"/>
          </w:tcPr>
          <w:p>
            <w:pPr>
              <w:spacing w:after="0"/>
              <w:rPr>
                <w:sz w:val="1"/>
                <w:szCs w:val="1"/>
                <w:color w:val="auto"/>
              </w:rPr>
            </w:pPr>
          </w:p>
        </w:tc>
      </w:tr>
      <w:tr>
        <w:trPr>
          <w:trHeight w:val="125"/>
        </w:trPr>
        <w:tc>
          <w:tcPr>
            <w:tcW w:w="7660" w:type="dxa"/>
            <w:vAlign w:val="bottom"/>
          </w:tcPr>
          <w:p>
            <w:pPr>
              <w:spacing w:after="0" w:line="126" w:lineRule="exact"/>
              <w:rPr>
                <w:sz w:val="20"/>
                <w:szCs w:val="20"/>
                <w:color w:val="auto"/>
              </w:rPr>
            </w:pPr>
            <w:r>
              <w:rPr>
                <w:rFonts w:ascii="Arial" w:cs="Arial" w:eastAsia="Arial" w:hAnsi="Arial"/>
                <w:sz w:val="12"/>
                <w:szCs w:val="12"/>
                <w:color w:val="auto"/>
              </w:rPr>
              <w:t>Operating income</w:t>
            </w:r>
          </w:p>
        </w:tc>
        <w:tc>
          <w:tcPr>
            <w:tcW w:w="108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163</w:t>
            </w:r>
          </w:p>
        </w:tc>
        <w:tc>
          <w:tcPr>
            <w:tcW w:w="780" w:type="dxa"/>
            <w:vAlign w:val="bottom"/>
          </w:tcPr>
          <w:p>
            <w:pPr>
              <w:spacing w:after="0"/>
              <w:rPr>
                <w:sz w:val="10"/>
                <w:szCs w:val="10"/>
                <w:color w:val="auto"/>
              </w:rPr>
            </w:pPr>
          </w:p>
        </w:tc>
        <w:tc>
          <w:tcPr>
            <w:tcW w:w="1120" w:type="dxa"/>
            <w:vAlign w:val="bottom"/>
          </w:tcPr>
          <w:p>
            <w:pPr>
              <w:jc w:val="right"/>
              <w:spacing w:after="0" w:line="126" w:lineRule="exact"/>
              <w:rPr>
                <w:sz w:val="20"/>
                <w:szCs w:val="20"/>
                <w:color w:val="auto"/>
              </w:rPr>
            </w:pPr>
            <w:r>
              <w:rPr>
                <w:rFonts w:ascii="Arial" w:cs="Arial" w:eastAsia="Arial" w:hAnsi="Arial"/>
                <w:sz w:val="12"/>
                <w:szCs w:val="12"/>
                <w:color w:val="auto"/>
              </w:rPr>
              <w:t>138</w:t>
            </w:r>
          </w:p>
        </w:tc>
        <w:tc>
          <w:tcPr>
            <w:tcW w:w="0" w:type="dxa"/>
            <w:vAlign w:val="bottom"/>
          </w:tcPr>
          <w:p>
            <w:pPr>
              <w:spacing w:after="0"/>
              <w:rPr>
                <w:sz w:val="1"/>
                <w:szCs w:val="1"/>
                <w:color w:val="auto"/>
              </w:rPr>
            </w:pPr>
          </w:p>
        </w:tc>
      </w:tr>
      <w:tr>
        <w:trPr>
          <w:trHeight w:val="134"/>
        </w:trPr>
        <w:tc>
          <w:tcPr>
            <w:tcW w:w="7660" w:type="dxa"/>
            <w:vAlign w:val="bottom"/>
          </w:tcPr>
          <w:p>
            <w:pPr>
              <w:spacing w:after="0" w:line="134" w:lineRule="exact"/>
              <w:rPr>
                <w:sz w:val="20"/>
                <w:szCs w:val="20"/>
                <w:color w:val="auto"/>
              </w:rPr>
            </w:pPr>
            <w:r>
              <w:rPr>
                <w:rFonts w:ascii="Arial" w:cs="Arial" w:eastAsia="Arial" w:hAnsi="Arial"/>
                <w:sz w:val="12"/>
                <w:szCs w:val="12"/>
                <w:color w:val="auto"/>
              </w:rPr>
              <w:t>Other income, net</w:t>
            </w:r>
          </w:p>
        </w:tc>
        <w:tc>
          <w:tcPr>
            <w:tcW w:w="108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Arial" w:cs="Arial" w:eastAsia="Arial" w:hAnsi="Arial"/>
                <w:sz w:val="12"/>
                <w:szCs w:val="12"/>
                <w:color w:val="auto"/>
              </w:rPr>
              <w:t>16</w:t>
            </w:r>
          </w:p>
        </w:tc>
        <w:tc>
          <w:tcPr>
            <w:tcW w:w="78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7660" w:type="dxa"/>
            <w:vAlign w:val="bottom"/>
          </w:tcPr>
          <w:p>
            <w:pPr>
              <w:spacing w:after="0"/>
              <w:rPr>
                <w:sz w:val="20"/>
                <w:szCs w:val="20"/>
                <w:color w:val="auto"/>
              </w:rPr>
            </w:pPr>
            <w:r>
              <w:rPr>
                <w:rFonts w:ascii="Arial" w:cs="Arial" w:eastAsia="Arial" w:hAnsi="Arial"/>
                <w:sz w:val="12"/>
                <w:szCs w:val="12"/>
                <w:color w:val="auto"/>
              </w:rPr>
              <w:t>Interest expense</w:t>
            </w:r>
          </w:p>
        </w:tc>
        <w:tc>
          <w:tcPr>
            <w:tcW w:w="10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w:t>
            </w:r>
          </w:p>
        </w:tc>
        <w:tc>
          <w:tcPr>
            <w:tcW w:w="7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25"/>
        </w:trPr>
        <w:tc>
          <w:tcPr>
            <w:tcW w:w="7660" w:type="dxa"/>
            <w:vAlign w:val="bottom"/>
          </w:tcPr>
          <w:p>
            <w:pPr>
              <w:spacing w:after="0" w:line="126" w:lineRule="exact"/>
              <w:rPr>
                <w:sz w:val="20"/>
                <w:szCs w:val="20"/>
                <w:color w:val="auto"/>
              </w:rPr>
            </w:pPr>
            <w:r>
              <w:rPr>
                <w:rFonts w:ascii="Arial" w:cs="Arial" w:eastAsia="Arial" w:hAnsi="Arial"/>
                <w:sz w:val="12"/>
                <w:szCs w:val="12"/>
                <w:color w:val="auto"/>
              </w:rPr>
              <w:t>Income before income taxes</w:t>
            </w:r>
          </w:p>
        </w:tc>
        <w:tc>
          <w:tcPr>
            <w:tcW w:w="108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143</w:t>
            </w:r>
          </w:p>
        </w:tc>
        <w:tc>
          <w:tcPr>
            <w:tcW w:w="780" w:type="dxa"/>
            <w:vAlign w:val="bottom"/>
          </w:tcPr>
          <w:p>
            <w:pPr>
              <w:spacing w:after="0"/>
              <w:rPr>
                <w:sz w:val="10"/>
                <w:szCs w:val="10"/>
                <w:color w:val="auto"/>
              </w:rPr>
            </w:pPr>
          </w:p>
        </w:tc>
        <w:tc>
          <w:tcPr>
            <w:tcW w:w="1120" w:type="dxa"/>
            <w:vAlign w:val="bottom"/>
          </w:tcPr>
          <w:p>
            <w:pPr>
              <w:jc w:val="right"/>
              <w:spacing w:after="0" w:line="126" w:lineRule="exact"/>
              <w:rPr>
                <w:sz w:val="20"/>
                <w:szCs w:val="20"/>
                <w:color w:val="auto"/>
              </w:rPr>
            </w:pPr>
            <w:r>
              <w:rPr>
                <w:rFonts w:ascii="Arial" w:cs="Arial" w:eastAsia="Arial" w:hAnsi="Arial"/>
                <w:sz w:val="12"/>
                <w:szCs w:val="12"/>
                <w:color w:val="auto"/>
              </w:rPr>
              <w:t>107</w:t>
            </w:r>
          </w:p>
        </w:tc>
        <w:tc>
          <w:tcPr>
            <w:tcW w:w="0" w:type="dxa"/>
            <w:vAlign w:val="bottom"/>
          </w:tcPr>
          <w:p>
            <w:pPr>
              <w:spacing w:after="0"/>
              <w:rPr>
                <w:sz w:val="1"/>
                <w:szCs w:val="1"/>
                <w:color w:val="auto"/>
              </w:rPr>
            </w:pPr>
          </w:p>
        </w:tc>
      </w:tr>
      <w:tr>
        <w:trPr>
          <w:trHeight w:val="144"/>
        </w:trPr>
        <w:tc>
          <w:tcPr>
            <w:tcW w:w="7660" w:type="dxa"/>
            <w:vAlign w:val="bottom"/>
          </w:tcPr>
          <w:p>
            <w:pPr>
              <w:spacing w:after="0"/>
              <w:rPr>
                <w:sz w:val="20"/>
                <w:szCs w:val="20"/>
                <w:color w:val="auto"/>
              </w:rPr>
            </w:pPr>
            <w:r>
              <w:rPr>
                <w:rFonts w:ascii="Arial" w:cs="Arial" w:eastAsia="Arial" w:hAnsi="Arial"/>
                <w:sz w:val="12"/>
                <w:szCs w:val="12"/>
                <w:color w:val="auto"/>
              </w:rPr>
              <w:t>Income tax expense</w:t>
            </w:r>
          </w:p>
        </w:tc>
        <w:tc>
          <w:tcPr>
            <w:tcW w:w="10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w:t>
            </w:r>
          </w:p>
        </w:tc>
        <w:tc>
          <w:tcPr>
            <w:tcW w:w="7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25"/>
        </w:trPr>
        <w:tc>
          <w:tcPr>
            <w:tcW w:w="7660" w:type="dxa"/>
            <w:vAlign w:val="bottom"/>
          </w:tcPr>
          <w:p>
            <w:pPr>
              <w:spacing w:after="0" w:line="126" w:lineRule="exact"/>
              <w:rPr>
                <w:sz w:val="20"/>
                <w:szCs w:val="20"/>
                <w:color w:val="auto"/>
              </w:rPr>
            </w:pPr>
            <w:r>
              <w:rPr>
                <w:rFonts w:ascii="Arial" w:cs="Arial" w:eastAsia="Arial" w:hAnsi="Arial"/>
                <w:sz w:val="12"/>
                <w:szCs w:val="12"/>
                <w:color w:val="auto"/>
              </w:rPr>
              <w:t>Net income</w:t>
            </w:r>
          </w:p>
        </w:tc>
        <w:tc>
          <w:tcPr>
            <w:tcW w:w="108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94</w:t>
            </w:r>
          </w:p>
        </w:tc>
        <w:tc>
          <w:tcPr>
            <w:tcW w:w="780" w:type="dxa"/>
            <w:vAlign w:val="bottom"/>
          </w:tcPr>
          <w:p>
            <w:pPr>
              <w:spacing w:after="0"/>
              <w:rPr>
                <w:sz w:val="10"/>
                <w:szCs w:val="10"/>
                <w:color w:val="auto"/>
              </w:rPr>
            </w:pPr>
          </w:p>
        </w:tc>
        <w:tc>
          <w:tcPr>
            <w:tcW w:w="1120" w:type="dxa"/>
            <w:vAlign w:val="bottom"/>
          </w:tcPr>
          <w:p>
            <w:pPr>
              <w:jc w:val="right"/>
              <w:spacing w:after="0" w:line="126" w:lineRule="exact"/>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44"/>
        </w:trPr>
        <w:tc>
          <w:tcPr>
            <w:tcW w:w="7660" w:type="dxa"/>
            <w:vAlign w:val="bottom"/>
          </w:tcPr>
          <w:p>
            <w:pPr>
              <w:spacing w:after="0"/>
              <w:rPr>
                <w:sz w:val="20"/>
                <w:szCs w:val="20"/>
                <w:color w:val="auto"/>
              </w:rPr>
            </w:pPr>
            <w:r>
              <w:rPr>
                <w:rFonts w:ascii="Arial" w:cs="Arial" w:eastAsia="Arial" w:hAnsi="Arial"/>
                <w:sz w:val="12"/>
                <w:szCs w:val="12"/>
                <w:color w:val="auto"/>
              </w:rPr>
              <w:t>(Earnings) losses attributable to noncontrolling interests</w:t>
            </w:r>
          </w:p>
        </w:tc>
        <w:tc>
          <w:tcPr>
            <w:tcW w:w="10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7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25"/>
        </w:trPr>
        <w:tc>
          <w:tcPr>
            <w:tcW w:w="7660" w:type="dxa"/>
            <w:vAlign w:val="bottom"/>
          </w:tcPr>
          <w:p>
            <w:pPr>
              <w:spacing w:after="0" w:line="126" w:lineRule="exact"/>
              <w:rPr>
                <w:sz w:val="20"/>
                <w:szCs w:val="20"/>
                <w:color w:val="auto"/>
              </w:rPr>
            </w:pPr>
            <w:r>
              <w:rPr>
                <w:rFonts w:ascii="Arial" w:cs="Arial" w:eastAsia="Arial" w:hAnsi="Arial"/>
                <w:sz w:val="12"/>
                <w:szCs w:val="12"/>
                <w:color w:val="auto"/>
              </w:rPr>
              <w:t>Earnings</w:t>
            </w:r>
          </w:p>
        </w:tc>
        <w:tc>
          <w:tcPr>
            <w:tcW w:w="108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90</w:t>
            </w:r>
          </w:p>
        </w:tc>
        <w:tc>
          <w:tcPr>
            <w:tcW w:w="780" w:type="dxa"/>
            <w:vAlign w:val="bottom"/>
          </w:tcPr>
          <w:p>
            <w:pPr>
              <w:spacing w:after="0"/>
              <w:rPr>
                <w:sz w:val="10"/>
                <w:szCs w:val="10"/>
                <w:color w:val="auto"/>
              </w:rPr>
            </w:pPr>
          </w:p>
        </w:tc>
        <w:tc>
          <w:tcPr>
            <w:tcW w:w="1120" w:type="dxa"/>
            <w:vAlign w:val="bottom"/>
          </w:tcPr>
          <w:p>
            <w:pPr>
              <w:jc w:val="right"/>
              <w:spacing w:after="0" w:line="126" w:lineRule="exact"/>
              <w:rPr>
                <w:sz w:val="20"/>
                <w:szCs w:val="20"/>
                <w:color w:val="auto"/>
              </w:rPr>
            </w:pPr>
            <w:r>
              <w:rPr>
                <w:rFonts w:ascii="Arial" w:cs="Arial" w:eastAsia="Arial" w:hAnsi="Arial"/>
                <w:sz w:val="12"/>
                <w:szCs w:val="12"/>
                <w:color w:val="auto"/>
              </w:rPr>
              <w:t>84</w:t>
            </w:r>
          </w:p>
        </w:tc>
        <w:tc>
          <w:tcPr>
            <w:tcW w:w="0" w:type="dxa"/>
            <w:vAlign w:val="bottom"/>
          </w:tcPr>
          <w:p>
            <w:pPr>
              <w:spacing w:after="0"/>
              <w:rPr>
                <w:sz w:val="1"/>
                <w:szCs w:val="1"/>
                <w:color w:val="auto"/>
              </w:rPr>
            </w:pPr>
          </w:p>
        </w:tc>
      </w:tr>
      <w:tr>
        <w:trPr>
          <w:trHeight w:val="144"/>
        </w:trPr>
        <w:tc>
          <w:tcPr>
            <w:tcW w:w="7660" w:type="dxa"/>
            <w:vAlign w:val="bottom"/>
          </w:tcPr>
          <w:p>
            <w:pPr>
              <w:spacing w:after="0"/>
              <w:rPr>
                <w:sz w:val="20"/>
                <w:szCs w:val="20"/>
                <w:color w:val="auto"/>
              </w:rPr>
            </w:pPr>
            <w:r>
              <w:rPr>
                <w:rFonts w:ascii="Arial" w:cs="Arial" w:eastAsia="Arial" w:hAnsi="Arial"/>
                <w:sz w:val="12"/>
                <w:szCs w:val="12"/>
                <w:color w:val="auto"/>
              </w:rPr>
              <w:t>Preferred dividend requirements</w:t>
            </w:r>
          </w:p>
        </w:tc>
        <w:tc>
          <w:tcPr>
            <w:tcW w:w="10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7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20"/>
                <w:szCs w:val="20"/>
                <w:color w:val="auto"/>
              </w:rPr>
            </w:pPr>
            <w:r>
              <w:rPr>
                <w:rFonts w:ascii="Arial" w:cs="Arial" w:eastAsia="Arial" w:hAnsi="Arial"/>
                <w:sz w:val="12"/>
                <w:szCs w:val="12"/>
                <w:color w:val="auto"/>
              </w:rPr>
              <w:t>Earnings attributable to common shares</w:t>
            </w:r>
          </w:p>
        </w:tc>
        <w:tc>
          <w:tcPr>
            <w:tcW w:w="1080" w:type="dxa"/>
            <w:vAlign w:val="bottom"/>
          </w:tcPr>
          <w:p>
            <w:pPr>
              <w:jc w:val="right"/>
              <w:ind w:right="967"/>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89</w:t>
            </w:r>
          </w:p>
        </w:tc>
        <w:tc>
          <w:tcPr>
            <w:tcW w:w="780" w:type="dxa"/>
            <w:vAlign w:val="bottom"/>
          </w:tcPr>
          <w:p>
            <w:pPr>
              <w:jc w:val="right"/>
              <w:ind w:right="668"/>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279005"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See Notes to Condensed Consolidated Financial Statements.</w:t>
      </w:r>
    </w:p>
    <w:p>
      <w:pPr>
        <w:sectPr>
          <w:pgSz w:w="11900" w:h="16838" w:orient="portrait"/>
          <w:cols w:equalWidth="0" w:num="1">
            <w:col w:w="11460"/>
          </w:cols>
          <w:pgMar w:left="220" w:top="427" w:right="21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255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9005" cy="25590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(Dollars in millions)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4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00" w:type="dxa"/>
            <w:vAlign w:val="bottom"/>
          </w:tcPr>
          <w:p>
            <w:pPr>
              <w:jc w:val="center"/>
              <w:ind w:left="383"/>
              <w:spacing w:after="0"/>
              <w:rPr>
                <w:sz w:val="20"/>
                <w:szCs w:val="20"/>
                <w:color w:val="auto"/>
              </w:rPr>
            </w:pPr>
            <w:r>
              <w:rPr>
                <w:rFonts w:ascii="Arial" w:cs="Arial" w:eastAsia="Arial" w:hAnsi="Arial"/>
                <w:sz w:val="11"/>
                <w:szCs w:val="11"/>
                <w:color w:val="auto"/>
                <w:w w:val="98"/>
              </w:rPr>
              <w:t>March 31,</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right"/>
              <w:ind w:right="298"/>
              <w:spacing w:after="0"/>
              <w:rPr>
                <w:sz w:val="20"/>
                <w:szCs w:val="20"/>
                <w:color w:val="auto"/>
              </w:rPr>
            </w:pPr>
            <w:r>
              <w:rPr>
                <w:rFonts w:ascii="Arial" w:cs="Arial" w:eastAsia="Arial" w:hAnsi="Arial"/>
                <w:sz w:val="11"/>
                <w:szCs w:val="11"/>
                <w:color w:val="auto"/>
              </w:rPr>
              <w:t>December 31,</w:t>
            </w:r>
          </w:p>
        </w:tc>
        <w:tc>
          <w:tcPr>
            <w:tcW w:w="0" w:type="dxa"/>
            <w:vAlign w:val="bottom"/>
          </w:tcPr>
          <w:p>
            <w:pPr>
              <w:spacing w:after="0"/>
              <w:rPr>
                <w:sz w:val="1"/>
                <w:szCs w:val="1"/>
                <w:color w:val="auto"/>
              </w:rPr>
            </w:pPr>
          </w:p>
        </w:tc>
      </w:tr>
      <w:tr>
        <w:trPr>
          <w:trHeight w:val="124"/>
        </w:trPr>
        <w:tc>
          <w:tcPr>
            <w:tcW w:w="140" w:type="dxa"/>
            <w:vAlign w:val="bottom"/>
            <w:tcBorders>
              <w:bottom w:val="single" w:sz="8" w:color="auto"/>
            </w:tcBorders>
          </w:tcPr>
          <w:p>
            <w:pPr>
              <w:spacing w:after="0"/>
              <w:rPr>
                <w:sz w:val="10"/>
                <w:szCs w:val="10"/>
                <w:color w:val="auto"/>
              </w:rPr>
            </w:pPr>
          </w:p>
        </w:tc>
        <w:tc>
          <w:tcPr>
            <w:tcW w:w="634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gridSpan w:val="2"/>
          </w:tcPr>
          <w:p>
            <w:pPr>
              <w:jc w:val="center"/>
              <w:ind w:left="2461"/>
              <w:spacing w:after="0" w:line="123" w:lineRule="exact"/>
              <w:rPr>
                <w:sz w:val="20"/>
                <w:szCs w:val="20"/>
                <w:color w:val="auto"/>
              </w:rPr>
            </w:pPr>
            <w:r>
              <w:rPr>
                <w:rFonts w:ascii="Arial" w:cs="Arial" w:eastAsia="Arial" w:hAnsi="Arial"/>
                <w:sz w:val="11"/>
                <w:szCs w:val="11"/>
                <w:color w:val="auto"/>
                <w:w w:val="97"/>
              </w:rPr>
              <w:t>2011</w:t>
            </w: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458"/>
              <w:spacing w:after="0" w:line="123" w:lineRule="exact"/>
              <w:rPr>
                <w:sz w:val="20"/>
                <w:szCs w:val="20"/>
                <w:color w:val="auto"/>
              </w:rPr>
            </w:pPr>
            <w:r>
              <w:rPr>
                <w:rFonts w:ascii="Arial" w:cs="Arial" w:eastAsia="Arial" w:hAnsi="Arial"/>
                <w:sz w:val="11"/>
                <w:szCs w:val="11"/>
                <w:color w:val="auto"/>
              </w:rPr>
              <w:t>2010(1)</w:t>
            </w:r>
          </w:p>
        </w:tc>
        <w:tc>
          <w:tcPr>
            <w:tcW w:w="0" w:type="dxa"/>
            <w:vAlign w:val="bottom"/>
          </w:tcPr>
          <w:p>
            <w:pPr>
              <w:spacing w:after="0"/>
              <w:rPr>
                <w:sz w:val="1"/>
                <w:szCs w:val="1"/>
                <w:color w:val="auto"/>
              </w:rPr>
            </w:pPr>
          </w:p>
        </w:tc>
      </w:tr>
      <w:tr>
        <w:trPr>
          <w:trHeight w:val="146"/>
        </w:trPr>
        <w:tc>
          <w:tcPr>
            <w:tcW w:w="6480" w:type="dxa"/>
            <w:vAlign w:val="bottom"/>
            <w:gridSpan w:val="2"/>
            <w:vMerge w:val="restart"/>
          </w:tcPr>
          <w:p>
            <w:pPr>
              <w:spacing w:after="0"/>
              <w:rPr>
                <w:sz w:val="20"/>
                <w:szCs w:val="20"/>
                <w:color w:val="auto"/>
              </w:rPr>
            </w:pPr>
            <w:r>
              <w:rPr>
                <w:rFonts w:ascii="Arial" w:cs="Arial" w:eastAsia="Arial" w:hAnsi="Arial"/>
                <w:sz w:val="12"/>
                <w:szCs w:val="12"/>
                <w:color w:val="auto"/>
              </w:rPr>
              <w:t>ASSETS</w:t>
            </w:r>
          </w:p>
        </w:tc>
        <w:tc>
          <w:tcPr>
            <w:tcW w:w="2120" w:type="dxa"/>
            <w:vAlign w:val="bottom"/>
          </w:tcPr>
          <w:p>
            <w:pPr>
              <w:spacing w:after="0"/>
              <w:rPr>
                <w:sz w:val="12"/>
                <w:szCs w:val="12"/>
                <w:color w:val="auto"/>
              </w:rPr>
            </w:pPr>
          </w:p>
        </w:tc>
        <w:tc>
          <w:tcPr>
            <w:tcW w:w="1000" w:type="dxa"/>
            <w:vAlign w:val="bottom"/>
          </w:tcPr>
          <w:p>
            <w:pPr>
              <w:jc w:val="center"/>
              <w:ind w:left="383"/>
              <w:spacing w:after="0"/>
              <w:rPr>
                <w:sz w:val="20"/>
                <w:szCs w:val="20"/>
                <w:color w:val="auto"/>
              </w:rPr>
            </w:pPr>
            <w:r>
              <w:rPr>
                <w:rFonts w:ascii="Arial" w:cs="Arial" w:eastAsia="Arial" w:hAnsi="Arial"/>
                <w:sz w:val="11"/>
                <w:szCs w:val="11"/>
                <w:color w:val="auto"/>
              </w:rPr>
              <w:t>(unaudited)</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480" w:type="dxa"/>
            <w:vAlign w:val="bottom"/>
            <w:gridSpan w:val="2"/>
            <w:vMerge w:val="continue"/>
          </w:tcPr>
          <w:p>
            <w:pPr>
              <w:spacing w:after="0"/>
              <w:rPr>
                <w:sz w:val="9"/>
                <w:szCs w:val="9"/>
                <w:color w:val="auto"/>
              </w:rPr>
            </w:pPr>
          </w:p>
        </w:tc>
        <w:tc>
          <w:tcPr>
            <w:tcW w:w="2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6480" w:type="dxa"/>
            <w:vAlign w:val="bottom"/>
            <w:gridSpan w:val="2"/>
          </w:tcPr>
          <w:p>
            <w:pPr>
              <w:spacing w:after="0" w:line="134" w:lineRule="exact"/>
              <w:rPr>
                <w:sz w:val="20"/>
                <w:szCs w:val="20"/>
                <w:color w:val="auto"/>
              </w:rPr>
            </w:pPr>
            <w:r>
              <w:rPr>
                <w:rFonts w:ascii="Arial" w:cs="Arial" w:eastAsia="Arial" w:hAnsi="Arial"/>
                <w:sz w:val="12"/>
                <w:szCs w:val="12"/>
                <w:color w:val="auto"/>
              </w:rPr>
              <w:t>Current assets:</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Cash and cash equivalents</w:t>
            </w:r>
          </w:p>
        </w:tc>
        <w:tc>
          <w:tcPr>
            <w:tcW w:w="3120" w:type="dxa"/>
            <w:vAlign w:val="bottom"/>
            <w:gridSpan w:val="2"/>
          </w:tcPr>
          <w:p>
            <w:pPr>
              <w:jc w:val="right"/>
              <w:ind w:right="863"/>
              <w:spacing w:after="0" w:line="134" w:lineRule="exact"/>
              <w:rPr>
                <w:sz w:val="20"/>
                <w:szCs w:val="20"/>
                <w:color w:val="auto"/>
              </w:rPr>
            </w:pPr>
            <w:r>
              <w:rPr>
                <w:rFonts w:ascii="Arial" w:cs="Arial" w:eastAsia="Arial" w:hAnsi="Arial"/>
                <w:sz w:val="12"/>
                <w:szCs w:val="12"/>
                <w:color w:val="auto"/>
              </w:rPr>
              <w:t>$</w:t>
            </w: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272</w:t>
            </w:r>
          </w:p>
        </w:tc>
        <w:tc>
          <w:tcPr>
            <w:tcW w:w="220" w:type="dxa"/>
            <w:vAlign w:val="bottom"/>
          </w:tcPr>
          <w:p>
            <w:pPr>
              <w:jc w:val="right"/>
              <w:ind w:right="78"/>
              <w:spacing w:after="0" w:line="134" w:lineRule="exact"/>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Restricted cash</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318</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134"/>
        </w:trPr>
        <w:tc>
          <w:tcPr>
            <w:tcW w:w="6480" w:type="dxa"/>
            <w:vAlign w:val="bottom"/>
            <w:gridSpan w:val="2"/>
          </w:tcPr>
          <w:p>
            <w:pPr>
              <w:ind w:left="140"/>
              <w:spacing w:after="0" w:line="134" w:lineRule="exact"/>
              <w:rPr>
                <w:sz w:val="20"/>
                <w:szCs w:val="20"/>
                <w:color w:val="auto"/>
              </w:rPr>
            </w:pPr>
            <w:r>
              <w:rPr>
                <w:rFonts w:ascii="Arial" w:cs="Arial" w:eastAsia="Arial" w:hAnsi="Arial"/>
                <w:sz w:val="12"/>
                <w:szCs w:val="12"/>
                <w:color w:val="auto"/>
              </w:rPr>
              <w:t>Accounts receivable - trade</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266</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248</w:t>
            </w:r>
          </w:p>
        </w:tc>
        <w:tc>
          <w:tcPr>
            <w:tcW w:w="0" w:type="dxa"/>
            <w:vAlign w:val="bottom"/>
          </w:tcPr>
          <w:p>
            <w:pPr>
              <w:spacing w:after="0"/>
              <w:rPr>
                <w:sz w:val="1"/>
                <w:szCs w:val="1"/>
                <w:color w:val="auto"/>
              </w:rPr>
            </w:pPr>
          </w:p>
        </w:tc>
      </w:tr>
      <w:tr>
        <w:trPr>
          <w:trHeight w:val="134"/>
        </w:trPr>
        <w:tc>
          <w:tcPr>
            <w:tcW w:w="6480" w:type="dxa"/>
            <w:vAlign w:val="bottom"/>
            <w:gridSpan w:val="2"/>
          </w:tcPr>
          <w:p>
            <w:pPr>
              <w:ind w:left="140"/>
              <w:spacing w:after="0" w:line="134" w:lineRule="exact"/>
              <w:rPr>
                <w:sz w:val="20"/>
                <w:szCs w:val="20"/>
                <w:color w:val="auto"/>
              </w:rPr>
            </w:pPr>
            <w:r>
              <w:rPr>
                <w:rFonts w:ascii="Arial" w:cs="Arial" w:eastAsia="Arial" w:hAnsi="Arial"/>
                <w:sz w:val="12"/>
                <w:szCs w:val="12"/>
                <w:color w:val="auto"/>
              </w:rPr>
              <w:t>Accounts receivable - other</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34</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Due from unconsolidated affiliates</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Income taxes receivable</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59</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Deferred income taxes</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113</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Inventories</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67</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71</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Regulatory assets arising from fixed-price contracts and other derivatives</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54</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Other regulatory assets</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6</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Fixed-price contracts and other derivatives</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35</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Settlement receivable related to wildfire litigation</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300</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6340" w:type="dxa"/>
            <w:vAlign w:val="bottom"/>
          </w:tcPr>
          <w:p>
            <w:pPr>
              <w:spacing w:after="0"/>
              <w:rPr>
                <w:sz w:val="20"/>
                <w:szCs w:val="20"/>
                <w:color w:val="auto"/>
              </w:rPr>
            </w:pPr>
            <w:r>
              <w:rPr>
                <w:rFonts w:ascii="Arial" w:cs="Arial" w:eastAsia="Arial" w:hAnsi="Arial"/>
                <w:sz w:val="12"/>
                <w:szCs w:val="12"/>
                <w:color w:val="auto"/>
              </w:rPr>
              <w:t>Other</w:t>
            </w:r>
          </w:p>
        </w:tc>
        <w:tc>
          <w:tcPr>
            <w:tcW w:w="21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6340" w:type="dxa"/>
            <w:vAlign w:val="bottom"/>
          </w:tcPr>
          <w:p>
            <w:pPr>
              <w:ind w:left="140"/>
              <w:spacing w:after="0" w:line="134" w:lineRule="exact"/>
              <w:rPr>
                <w:sz w:val="20"/>
                <w:szCs w:val="20"/>
                <w:color w:val="auto"/>
              </w:rPr>
            </w:pPr>
            <w:r>
              <w:rPr>
                <w:rFonts w:ascii="Arial" w:cs="Arial" w:eastAsia="Arial" w:hAnsi="Arial"/>
                <w:sz w:val="12"/>
                <w:szCs w:val="12"/>
                <w:color w:val="auto"/>
              </w:rPr>
              <w:t>Total current assets</w:t>
            </w:r>
          </w:p>
        </w:tc>
        <w:tc>
          <w:tcPr>
            <w:tcW w:w="21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1,263</w:t>
            </w: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1,248</w:t>
            </w:r>
          </w:p>
        </w:tc>
        <w:tc>
          <w:tcPr>
            <w:tcW w:w="0" w:type="dxa"/>
            <w:vAlign w:val="bottom"/>
          </w:tcPr>
          <w:p>
            <w:pPr>
              <w:spacing w:after="0"/>
              <w:rPr>
                <w:sz w:val="1"/>
                <w:szCs w:val="1"/>
                <w:color w:val="auto"/>
              </w:rPr>
            </w:pPr>
          </w:p>
        </w:tc>
      </w:tr>
      <w:tr>
        <w:trPr>
          <w:trHeight w:val="281"/>
        </w:trPr>
        <w:tc>
          <w:tcPr>
            <w:tcW w:w="6480" w:type="dxa"/>
            <w:vAlign w:val="bottom"/>
            <w:gridSpan w:val="2"/>
          </w:tcPr>
          <w:p>
            <w:pPr>
              <w:spacing w:after="0"/>
              <w:rPr>
                <w:sz w:val="20"/>
                <w:szCs w:val="20"/>
                <w:color w:val="auto"/>
              </w:rPr>
            </w:pPr>
            <w:r>
              <w:rPr>
                <w:rFonts w:ascii="Arial" w:cs="Arial" w:eastAsia="Arial" w:hAnsi="Arial"/>
                <w:sz w:val="12"/>
                <w:szCs w:val="12"/>
                <w:color w:val="auto"/>
              </w:rPr>
              <w:t>Other assets:</w:t>
            </w:r>
          </w:p>
        </w:tc>
        <w:tc>
          <w:tcPr>
            <w:tcW w:w="2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Deferred taxes recoverable in rates</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514</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502</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Regulatory assets arising from fixed-price contracts and other derivatives</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220</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Regulatory assets arising from pension and other postretirement</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ind w:left="140"/>
              <w:spacing w:after="0" w:line="134" w:lineRule="exact"/>
              <w:rPr>
                <w:sz w:val="20"/>
                <w:szCs w:val="20"/>
                <w:color w:val="auto"/>
              </w:rPr>
            </w:pPr>
            <w:r>
              <w:rPr>
                <w:rFonts w:ascii="Arial" w:cs="Arial" w:eastAsia="Arial" w:hAnsi="Arial"/>
                <w:sz w:val="12"/>
                <w:szCs w:val="12"/>
                <w:color w:val="auto"/>
              </w:rPr>
              <w:t>benefit obligations</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285</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279</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Regulatory assets arising from wildfire litigation costs</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348</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364</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Other regulatory assets</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72</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73</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Nuclear decommissioning trusts</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796</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769</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6340" w:type="dxa"/>
            <w:vAlign w:val="bottom"/>
          </w:tcPr>
          <w:p>
            <w:pPr>
              <w:spacing w:after="0"/>
              <w:rPr>
                <w:sz w:val="20"/>
                <w:szCs w:val="20"/>
                <w:color w:val="auto"/>
              </w:rPr>
            </w:pPr>
            <w:r>
              <w:rPr>
                <w:rFonts w:ascii="Arial" w:cs="Arial" w:eastAsia="Arial" w:hAnsi="Arial"/>
                <w:sz w:val="12"/>
                <w:szCs w:val="12"/>
                <w:color w:val="auto"/>
              </w:rPr>
              <w:t>Sundry</w:t>
            </w:r>
          </w:p>
        </w:tc>
        <w:tc>
          <w:tcPr>
            <w:tcW w:w="21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6340" w:type="dxa"/>
            <w:vAlign w:val="bottom"/>
          </w:tcPr>
          <w:p>
            <w:pPr>
              <w:ind w:left="140"/>
              <w:spacing w:after="0" w:line="134" w:lineRule="exact"/>
              <w:rPr>
                <w:sz w:val="20"/>
                <w:szCs w:val="20"/>
                <w:color w:val="auto"/>
              </w:rPr>
            </w:pPr>
            <w:r>
              <w:rPr>
                <w:rFonts w:ascii="Arial" w:cs="Arial" w:eastAsia="Arial" w:hAnsi="Arial"/>
                <w:sz w:val="12"/>
                <w:szCs w:val="12"/>
                <w:color w:val="auto"/>
              </w:rPr>
              <w:t>Total other assets</w:t>
            </w:r>
          </w:p>
        </w:tc>
        <w:tc>
          <w:tcPr>
            <w:tcW w:w="21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2,320</w:t>
            </w: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2,276</w:t>
            </w:r>
          </w:p>
        </w:tc>
        <w:tc>
          <w:tcPr>
            <w:tcW w:w="0" w:type="dxa"/>
            <w:vAlign w:val="bottom"/>
          </w:tcPr>
          <w:p>
            <w:pPr>
              <w:spacing w:after="0"/>
              <w:rPr>
                <w:sz w:val="1"/>
                <w:szCs w:val="1"/>
                <w:color w:val="auto"/>
              </w:rPr>
            </w:pPr>
          </w:p>
        </w:tc>
      </w:tr>
      <w:tr>
        <w:trPr>
          <w:trHeight w:val="281"/>
        </w:trPr>
        <w:tc>
          <w:tcPr>
            <w:tcW w:w="6480" w:type="dxa"/>
            <w:vAlign w:val="bottom"/>
            <w:gridSpan w:val="2"/>
          </w:tcPr>
          <w:p>
            <w:pPr>
              <w:spacing w:after="0"/>
              <w:rPr>
                <w:sz w:val="20"/>
                <w:szCs w:val="20"/>
                <w:color w:val="auto"/>
              </w:rPr>
            </w:pPr>
            <w:r>
              <w:rPr>
                <w:rFonts w:ascii="Arial" w:cs="Arial" w:eastAsia="Arial" w:hAnsi="Arial"/>
                <w:sz w:val="12"/>
                <w:szCs w:val="12"/>
                <w:color w:val="auto"/>
              </w:rPr>
              <w:t>Property, plant and equipment:</w:t>
            </w:r>
          </w:p>
        </w:tc>
        <w:tc>
          <w:tcPr>
            <w:tcW w:w="2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Property, plant and equipment</w:t>
            </w:r>
          </w:p>
        </w:tc>
        <w:tc>
          <w:tcPr>
            <w:tcW w:w="2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11,551</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11,247</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6340" w:type="dxa"/>
            <w:vAlign w:val="bottom"/>
          </w:tcPr>
          <w:p>
            <w:pPr>
              <w:spacing w:after="0"/>
              <w:rPr>
                <w:sz w:val="20"/>
                <w:szCs w:val="20"/>
                <w:color w:val="auto"/>
              </w:rPr>
            </w:pPr>
            <w:r>
              <w:rPr>
                <w:rFonts w:ascii="Arial" w:cs="Arial" w:eastAsia="Arial" w:hAnsi="Arial"/>
                <w:sz w:val="12"/>
                <w:szCs w:val="12"/>
                <w:color w:val="auto"/>
              </w:rPr>
              <w:t>Less accumulated depreciation and amortization</w:t>
            </w:r>
          </w:p>
        </w:tc>
        <w:tc>
          <w:tcPr>
            <w:tcW w:w="21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(2,744)</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(2,694)</w:t>
            </w:r>
          </w:p>
        </w:tc>
        <w:tc>
          <w:tcPr>
            <w:tcW w:w="0" w:type="dxa"/>
            <w:vAlign w:val="bottom"/>
          </w:tcPr>
          <w:p>
            <w:pPr>
              <w:spacing w:after="0"/>
              <w:rPr>
                <w:sz w:val="1"/>
                <w:szCs w:val="1"/>
                <w:color w:val="auto"/>
              </w:rPr>
            </w:pPr>
          </w:p>
        </w:tc>
      </w:tr>
      <w:tr>
        <w:trPr>
          <w:trHeight w:val="125"/>
        </w:trPr>
        <w:tc>
          <w:tcPr>
            <w:tcW w:w="140" w:type="dxa"/>
            <w:vAlign w:val="bottom"/>
          </w:tcPr>
          <w:p>
            <w:pPr>
              <w:spacing w:after="0"/>
              <w:rPr>
                <w:sz w:val="10"/>
                <w:szCs w:val="10"/>
                <w:color w:val="auto"/>
              </w:rPr>
            </w:pPr>
          </w:p>
        </w:tc>
        <w:tc>
          <w:tcPr>
            <w:tcW w:w="6340" w:type="dxa"/>
            <w:vAlign w:val="bottom"/>
          </w:tcPr>
          <w:p>
            <w:pPr>
              <w:ind w:left="140"/>
              <w:spacing w:after="0" w:line="126" w:lineRule="exact"/>
              <w:rPr>
                <w:sz w:val="20"/>
                <w:szCs w:val="20"/>
                <w:color w:val="auto"/>
              </w:rPr>
            </w:pPr>
            <w:r>
              <w:rPr>
                <w:rFonts w:ascii="Arial" w:cs="Arial" w:eastAsia="Arial" w:hAnsi="Arial"/>
                <w:sz w:val="12"/>
                <w:szCs w:val="12"/>
                <w:color w:val="auto"/>
              </w:rPr>
              <w:t>Property, plant and equipment, net ($510 and $516 at March 31, 2011 and</w:t>
            </w:r>
          </w:p>
        </w:tc>
        <w:tc>
          <w:tcPr>
            <w:tcW w:w="2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8,807</w:t>
            </w:r>
          </w:p>
        </w:tc>
        <w:tc>
          <w:tcPr>
            <w:tcW w:w="22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Arial" w:cs="Arial" w:eastAsia="Arial" w:hAnsi="Arial"/>
                <w:sz w:val="12"/>
                <w:szCs w:val="12"/>
                <w:color w:val="auto"/>
              </w:rPr>
              <w:t>8,553</w:t>
            </w:r>
          </w:p>
        </w:tc>
        <w:tc>
          <w:tcPr>
            <w:tcW w:w="0" w:type="dxa"/>
            <w:vAlign w:val="bottom"/>
          </w:tcPr>
          <w:p>
            <w:pPr>
              <w:spacing w:after="0"/>
              <w:rPr>
                <w:sz w:val="1"/>
                <w:szCs w:val="1"/>
                <w:color w:val="auto"/>
              </w:rPr>
            </w:pPr>
          </w:p>
        </w:tc>
      </w:tr>
      <w:tr>
        <w:trPr>
          <w:trHeight w:val="123"/>
        </w:trPr>
        <w:tc>
          <w:tcPr>
            <w:tcW w:w="140" w:type="dxa"/>
            <w:vAlign w:val="bottom"/>
          </w:tcPr>
          <w:p>
            <w:pPr>
              <w:spacing w:after="0"/>
              <w:rPr>
                <w:sz w:val="10"/>
                <w:szCs w:val="10"/>
                <w:color w:val="auto"/>
              </w:rPr>
            </w:pPr>
          </w:p>
        </w:tc>
        <w:tc>
          <w:tcPr>
            <w:tcW w:w="6340" w:type="dxa"/>
            <w:vAlign w:val="bottom"/>
          </w:tcPr>
          <w:p>
            <w:pPr>
              <w:ind w:left="280"/>
              <w:spacing w:after="0" w:line="123" w:lineRule="exact"/>
              <w:rPr>
                <w:sz w:val="20"/>
                <w:szCs w:val="20"/>
                <w:color w:val="auto"/>
              </w:rPr>
            </w:pPr>
            <w:r>
              <w:rPr>
                <w:rFonts w:ascii="Arial" w:cs="Arial" w:eastAsia="Arial" w:hAnsi="Arial"/>
                <w:sz w:val="12"/>
                <w:szCs w:val="12"/>
                <w:color w:val="auto"/>
              </w:rPr>
              <w:t>December 31, 2010, respectively, related to VIE)</w:t>
            </w:r>
          </w:p>
        </w:tc>
        <w:tc>
          <w:tcPr>
            <w:tcW w:w="212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480" w:type="dxa"/>
            <w:vAlign w:val="bottom"/>
            <w:tcBorders>
              <w:bottom w:val="single" w:sz="8" w:color="auto"/>
            </w:tcBorders>
            <w:gridSpan w:val="2"/>
          </w:tcPr>
          <w:p>
            <w:pPr>
              <w:spacing w:after="0" w:line="134" w:lineRule="exact"/>
              <w:rPr>
                <w:sz w:val="20"/>
                <w:szCs w:val="20"/>
                <w:color w:val="auto"/>
              </w:rPr>
            </w:pPr>
            <w:r>
              <w:rPr>
                <w:rFonts w:ascii="Arial" w:cs="Arial" w:eastAsia="Arial" w:hAnsi="Arial"/>
                <w:sz w:val="12"/>
                <w:szCs w:val="12"/>
                <w:color w:val="auto"/>
              </w:rPr>
              <w:t>Total assets</w:t>
            </w:r>
          </w:p>
        </w:tc>
        <w:tc>
          <w:tcPr>
            <w:tcW w:w="2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863"/>
              <w:spacing w:after="0" w:line="134" w:lineRule="exact"/>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12,390</w:t>
            </w:r>
          </w:p>
        </w:tc>
        <w:tc>
          <w:tcPr>
            <w:tcW w:w="220" w:type="dxa"/>
            <w:vAlign w:val="bottom"/>
            <w:tcBorders>
              <w:bottom w:val="single" w:sz="8" w:color="auto"/>
            </w:tcBorders>
          </w:tcPr>
          <w:p>
            <w:pPr>
              <w:jc w:val="right"/>
              <w:ind w:right="78"/>
              <w:spacing w:after="0" w:line="134" w:lineRule="exact"/>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12,077</w:t>
            </w:r>
          </w:p>
        </w:tc>
        <w:tc>
          <w:tcPr>
            <w:tcW w:w="0" w:type="dxa"/>
            <w:vAlign w:val="bottom"/>
          </w:tcPr>
          <w:p>
            <w:pPr>
              <w:spacing w:after="0"/>
              <w:rPr>
                <w:sz w:val="1"/>
                <w:szCs w:val="1"/>
                <w:color w:val="auto"/>
              </w:rPr>
            </w:pPr>
          </w:p>
        </w:tc>
      </w:tr>
      <w:tr>
        <w:trPr>
          <w:trHeight w:val="126"/>
        </w:trPr>
        <w:tc>
          <w:tcPr>
            <w:tcW w:w="140" w:type="dxa"/>
            <w:vAlign w:val="bottom"/>
          </w:tcPr>
          <w:p>
            <w:pPr>
              <w:spacing w:after="0"/>
              <w:rPr>
                <w:sz w:val="20"/>
                <w:szCs w:val="20"/>
                <w:color w:val="auto"/>
              </w:rPr>
            </w:pPr>
            <w:r>
              <w:rPr>
                <w:rFonts w:ascii="Arial" w:cs="Arial" w:eastAsia="Arial" w:hAnsi="Arial"/>
                <w:sz w:val="11"/>
                <w:szCs w:val="11"/>
                <w:i w:val="1"/>
                <w:iCs w:val="1"/>
                <w:color w:val="auto"/>
                <w:w w:val="88"/>
              </w:rPr>
              <w:t>(1)</w:t>
            </w:r>
          </w:p>
        </w:tc>
        <w:tc>
          <w:tcPr>
            <w:tcW w:w="6340" w:type="dxa"/>
            <w:vAlign w:val="bottom"/>
          </w:tcPr>
          <w:p>
            <w:pPr>
              <w:ind w:left="380"/>
              <w:spacing w:after="0"/>
              <w:rPr>
                <w:sz w:val="20"/>
                <w:szCs w:val="20"/>
                <w:color w:val="auto"/>
              </w:rPr>
            </w:pPr>
            <w:r>
              <w:rPr>
                <w:rFonts w:ascii="Arial" w:cs="Arial" w:eastAsia="Arial" w:hAnsi="Arial"/>
                <w:sz w:val="11"/>
                <w:szCs w:val="11"/>
                <w:i w:val="1"/>
                <w:iCs w:val="1"/>
                <w:color w:val="auto"/>
              </w:rPr>
              <w:t>Derived from audited financial statements.</w:t>
            </w:r>
          </w:p>
        </w:tc>
        <w:tc>
          <w:tcPr>
            <w:tcW w:w="2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480" w:type="dxa"/>
            <w:vAlign w:val="bottom"/>
            <w:gridSpan w:val="2"/>
          </w:tcPr>
          <w:p>
            <w:pPr>
              <w:spacing w:after="0"/>
              <w:rPr>
                <w:sz w:val="20"/>
                <w:szCs w:val="20"/>
                <w:color w:val="auto"/>
              </w:rPr>
            </w:pPr>
            <w:r>
              <w:rPr>
                <w:rFonts w:ascii="Arial" w:cs="Arial" w:eastAsia="Arial" w:hAnsi="Arial"/>
                <w:sz w:val="11"/>
                <w:szCs w:val="11"/>
                <w:i w:val="1"/>
                <w:iCs w:val="1"/>
                <w:color w:val="auto"/>
              </w:rPr>
              <w:t>See Notes to Condensed Consolidated Financial Statements.</w:t>
            </w:r>
          </w:p>
        </w:tc>
        <w:tc>
          <w:tcPr>
            <w:tcW w:w="2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27" w:right="219" w:bottom="144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255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9005" cy="25590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520" w:type="dxa"/>
            <w:vAlign w:val="bottom"/>
            <w:gridSpan w:val="2"/>
          </w:tcPr>
          <w:p>
            <w:pPr>
              <w:spacing w:after="0"/>
              <w:rPr>
                <w:sz w:val="20"/>
                <w:szCs w:val="20"/>
                <w:color w:val="auto"/>
              </w:rPr>
            </w:pPr>
            <w:r>
              <w:rPr>
                <w:rFonts w:ascii="Arial" w:cs="Arial" w:eastAsia="Arial" w:hAnsi="Arial"/>
                <w:sz w:val="11"/>
                <w:szCs w:val="11"/>
                <w:i w:val="1"/>
                <w:iCs w:val="1"/>
                <w:color w:val="auto"/>
              </w:rPr>
              <w:t>(Dollars in millions)</w:t>
            </w:r>
          </w:p>
        </w:tc>
        <w:tc>
          <w:tcPr>
            <w:tcW w:w="2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0" w:type="dxa"/>
            <w:vAlign w:val="bottom"/>
          </w:tcPr>
          <w:p>
            <w:pPr>
              <w:jc w:val="center"/>
              <w:ind w:left="383"/>
              <w:spacing w:after="0"/>
              <w:rPr>
                <w:sz w:val="20"/>
                <w:szCs w:val="20"/>
                <w:color w:val="auto"/>
              </w:rPr>
            </w:pPr>
            <w:r>
              <w:rPr>
                <w:rFonts w:ascii="Arial" w:cs="Arial" w:eastAsia="Arial" w:hAnsi="Arial"/>
                <w:sz w:val="11"/>
                <w:szCs w:val="11"/>
                <w:color w:val="auto"/>
                <w:w w:val="98"/>
              </w:rPr>
              <w:t>March 31,</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right"/>
              <w:ind w:right="298"/>
              <w:spacing w:after="0"/>
              <w:rPr>
                <w:sz w:val="20"/>
                <w:szCs w:val="20"/>
                <w:color w:val="auto"/>
              </w:rPr>
            </w:pPr>
            <w:r>
              <w:rPr>
                <w:rFonts w:ascii="Arial" w:cs="Arial" w:eastAsia="Arial" w:hAnsi="Arial"/>
                <w:sz w:val="11"/>
                <w:szCs w:val="11"/>
                <w:color w:val="auto"/>
              </w:rPr>
              <w:t>December 31,</w:t>
            </w:r>
          </w:p>
        </w:tc>
        <w:tc>
          <w:tcPr>
            <w:tcW w:w="0" w:type="dxa"/>
            <w:vAlign w:val="bottom"/>
          </w:tcPr>
          <w:p>
            <w:pPr>
              <w:spacing w:after="0"/>
              <w:rPr>
                <w:sz w:val="1"/>
                <w:szCs w:val="1"/>
                <w:color w:val="auto"/>
              </w:rPr>
            </w:pPr>
          </w:p>
        </w:tc>
      </w:tr>
      <w:tr>
        <w:trPr>
          <w:trHeight w:val="124"/>
        </w:trPr>
        <w:tc>
          <w:tcPr>
            <w:tcW w:w="140" w:type="dxa"/>
            <w:vAlign w:val="bottom"/>
            <w:tcBorders>
              <w:bottom w:val="single" w:sz="8" w:color="auto"/>
            </w:tcBorders>
          </w:tcPr>
          <w:p>
            <w:pPr>
              <w:spacing w:after="0"/>
              <w:rPr>
                <w:sz w:val="10"/>
                <w:szCs w:val="10"/>
                <w:color w:val="auto"/>
              </w:rPr>
            </w:pPr>
          </w:p>
        </w:tc>
        <w:tc>
          <w:tcPr>
            <w:tcW w:w="638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gridSpan w:val="2"/>
          </w:tcPr>
          <w:p>
            <w:pPr>
              <w:jc w:val="center"/>
              <w:ind w:left="2421"/>
              <w:spacing w:after="0" w:line="123" w:lineRule="exact"/>
              <w:rPr>
                <w:sz w:val="20"/>
                <w:szCs w:val="20"/>
                <w:color w:val="auto"/>
              </w:rPr>
            </w:pPr>
            <w:r>
              <w:rPr>
                <w:rFonts w:ascii="Arial" w:cs="Arial" w:eastAsia="Arial" w:hAnsi="Arial"/>
                <w:sz w:val="11"/>
                <w:szCs w:val="11"/>
                <w:color w:val="auto"/>
                <w:w w:val="97"/>
              </w:rPr>
              <w:t>2011</w:t>
            </w: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458"/>
              <w:spacing w:after="0" w:line="123" w:lineRule="exact"/>
              <w:rPr>
                <w:sz w:val="20"/>
                <w:szCs w:val="20"/>
                <w:color w:val="auto"/>
              </w:rPr>
            </w:pPr>
            <w:r>
              <w:rPr>
                <w:rFonts w:ascii="Arial" w:cs="Arial" w:eastAsia="Arial" w:hAnsi="Arial"/>
                <w:sz w:val="11"/>
                <w:szCs w:val="11"/>
                <w:color w:val="auto"/>
              </w:rPr>
              <w:t>2010(1)</w:t>
            </w:r>
          </w:p>
        </w:tc>
        <w:tc>
          <w:tcPr>
            <w:tcW w:w="0" w:type="dxa"/>
            <w:vAlign w:val="bottom"/>
          </w:tcPr>
          <w:p>
            <w:pPr>
              <w:spacing w:after="0"/>
              <w:rPr>
                <w:sz w:val="1"/>
                <w:szCs w:val="1"/>
                <w:color w:val="auto"/>
              </w:rPr>
            </w:pPr>
          </w:p>
        </w:tc>
      </w:tr>
      <w:tr>
        <w:trPr>
          <w:trHeight w:val="146"/>
        </w:trPr>
        <w:tc>
          <w:tcPr>
            <w:tcW w:w="6520" w:type="dxa"/>
            <w:vAlign w:val="bottom"/>
            <w:gridSpan w:val="2"/>
            <w:vMerge w:val="restart"/>
          </w:tcPr>
          <w:p>
            <w:pPr>
              <w:spacing w:after="0"/>
              <w:rPr>
                <w:sz w:val="20"/>
                <w:szCs w:val="20"/>
                <w:color w:val="auto"/>
              </w:rPr>
            </w:pPr>
            <w:r>
              <w:rPr>
                <w:rFonts w:ascii="Arial" w:cs="Arial" w:eastAsia="Arial" w:hAnsi="Arial"/>
                <w:sz w:val="12"/>
                <w:szCs w:val="12"/>
                <w:color w:val="auto"/>
              </w:rPr>
              <w:t>LIABILITIES AND EQUITY</w:t>
            </w:r>
          </w:p>
        </w:tc>
        <w:tc>
          <w:tcPr>
            <w:tcW w:w="2080" w:type="dxa"/>
            <w:vAlign w:val="bottom"/>
          </w:tcPr>
          <w:p>
            <w:pPr>
              <w:spacing w:after="0"/>
              <w:rPr>
                <w:sz w:val="12"/>
                <w:szCs w:val="12"/>
                <w:color w:val="auto"/>
              </w:rPr>
            </w:pPr>
          </w:p>
        </w:tc>
        <w:tc>
          <w:tcPr>
            <w:tcW w:w="1000" w:type="dxa"/>
            <w:vAlign w:val="bottom"/>
          </w:tcPr>
          <w:p>
            <w:pPr>
              <w:jc w:val="center"/>
              <w:ind w:left="383"/>
              <w:spacing w:after="0"/>
              <w:rPr>
                <w:sz w:val="20"/>
                <w:szCs w:val="20"/>
                <w:color w:val="auto"/>
              </w:rPr>
            </w:pPr>
            <w:r>
              <w:rPr>
                <w:rFonts w:ascii="Arial" w:cs="Arial" w:eastAsia="Arial" w:hAnsi="Arial"/>
                <w:sz w:val="11"/>
                <w:szCs w:val="11"/>
                <w:color w:val="auto"/>
              </w:rPr>
              <w:t>(unaudited)</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520" w:type="dxa"/>
            <w:vAlign w:val="bottom"/>
            <w:gridSpan w:val="2"/>
            <w:vMerge w:val="continue"/>
          </w:tcPr>
          <w:p>
            <w:pPr>
              <w:spacing w:after="0"/>
              <w:rPr>
                <w:sz w:val="9"/>
                <w:szCs w:val="9"/>
                <w:color w:val="auto"/>
              </w:rPr>
            </w:pPr>
          </w:p>
        </w:tc>
        <w:tc>
          <w:tcPr>
            <w:tcW w:w="2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6520" w:type="dxa"/>
            <w:vAlign w:val="bottom"/>
            <w:gridSpan w:val="2"/>
          </w:tcPr>
          <w:p>
            <w:pPr>
              <w:spacing w:after="0" w:line="134" w:lineRule="exact"/>
              <w:rPr>
                <w:sz w:val="20"/>
                <w:szCs w:val="20"/>
                <w:color w:val="auto"/>
              </w:rPr>
            </w:pPr>
            <w:r>
              <w:rPr>
                <w:rFonts w:ascii="Arial" w:cs="Arial" w:eastAsia="Arial" w:hAnsi="Arial"/>
                <w:sz w:val="12"/>
                <w:szCs w:val="12"/>
                <w:color w:val="auto"/>
              </w:rPr>
              <w:t>Current liabilities:</w:t>
            </w:r>
          </w:p>
        </w:tc>
        <w:tc>
          <w:tcPr>
            <w:tcW w:w="2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gridSpan w:val="2"/>
          </w:tcPr>
          <w:p>
            <w:pPr>
              <w:ind w:left="140"/>
              <w:spacing w:after="0"/>
              <w:rPr>
                <w:sz w:val="20"/>
                <w:szCs w:val="20"/>
                <w:color w:val="auto"/>
              </w:rPr>
            </w:pPr>
            <w:r>
              <w:rPr>
                <w:rFonts w:ascii="Arial" w:cs="Arial" w:eastAsia="Arial" w:hAnsi="Arial"/>
                <w:sz w:val="12"/>
                <w:szCs w:val="12"/>
                <w:color w:val="auto"/>
              </w:rPr>
              <w:t>Accounts payable</w:t>
            </w:r>
          </w:p>
        </w:tc>
        <w:tc>
          <w:tcPr>
            <w:tcW w:w="3080" w:type="dxa"/>
            <w:vAlign w:val="bottom"/>
            <w:gridSpan w:val="2"/>
          </w:tcPr>
          <w:p>
            <w:pPr>
              <w:jc w:val="right"/>
              <w:ind w:right="863"/>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269</w:t>
            </w: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292</w:t>
            </w:r>
          </w:p>
        </w:tc>
        <w:tc>
          <w:tcPr>
            <w:tcW w:w="0" w:type="dxa"/>
            <w:vAlign w:val="bottom"/>
          </w:tcPr>
          <w:p>
            <w:pPr>
              <w:spacing w:after="0"/>
              <w:rPr>
                <w:sz w:val="1"/>
                <w:szCs w:val="1"/>
                <w:color w:val="auto"/>
              </w:rPr>
            </w:pPr>
          </w:p>
        </w:tc>
      </w:tr>
      <w:tr>
        <w:trPr>
          <w:trHeight w:val="141"/>
        </w:trPr>
        <w:tc>
          <w:tcPr>
            <w:tcW w:w="140" w:type="dxa"/>
            <w:vAlign w:val="bottom"/>
          </w:tcPr>
          <w:p>
            <w:pPr>
              <w:spacing w:after="0"/>
              <w:rPr>
                <w:sz w:val="12"/>
                <w:szCs w:val="12"/>
                <w:color w:val="auto"/>
              </w:rPr>
            </w:pPr>
          </w:p>
        </w:tc>
        <w:tc>
          <w:tcPr>
            <w:tcW w:w="6380" w:type="dxa"/>
            <w:vAlign w:val="bottom"/>
          </w:tcPr>
          <w:p>
            <w:pPr>
              <w:spacing w:after="0"/>
              <w:rPr>
                <w:sz w:val="20"/>
                <w:szCs w:val="20"/>
                <w:color w:val="auto"/>
              </w:rPr>
            </w:pPr>
            <w:r>
              <w:rPr>
                <w:rFonts w:ascii="Arial" w:cs="Arial" w:eastAsia="Arial" w:hAnsi="Arial"/>
                <w:sz w:val="12"/>
                <w:szCs w:val="12"/>
                <w:color w:val="auto"/>
              </w:rPr>
              <w:t>Due to unconsolidated affiliates</w:t>
            </w:r>
          </w:p>
        </w:tc>
        <w:tc>
          <w:tcPr>
            <w:tcW w:w="2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44</w:t>
            </w:r>
          </w:p>
        </w:tc>
        <w:tc>
          <w:tcPr>
            <w:tcW w:w="2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34"/>
        </w:trPr>
        <w:tc>
          <w:tcPr>
            <w:tcW w:w="6520" w:type="dxa"/>
            <w:vAlign w:val="bottom"/>
            <w:gridSpan w:val="2"/>
          </w:tcPr>
          <w:p>
            <w:pPr>
              <w:ind w:left="140"/>
              <w:spacing w:after="0" w:line="134" w:lineRule="exact"/>
              <w:rPr>
                <w:sz w:val="20"/>
                <w:szCs w:val="20"/>
                <w:color w:val="auto"/>
              </w:rPr>
            </w:pPr>
            <w:r>
              <w:rPr>
                <w:rFonts w:ascii="Arial" w:cs="Arial" w:eastAsia="Arial" w:hAnsi="Arial"/>
                <w:sz w:val="12"/>
                <w:szCs w:val="12"/>
                <w:color w:val="auto"/>
              </w:rPr>
              <w:t>Accrued compensation and benefits</w:t>
            </w:r>
          </w:p>
        </w:tc>
        <w:tc>
          <w:tcPr>
            <w:tcW w:w="2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59</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115</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80" w:type="dxa"/>
            <w:vAlign w:val="bottom"/>
          </w:tcPr>
          <w:p>
            <w:pPr>
              <w:spacing w:after="0" w:line="134" w:lineRule="exact"/>
              <w:rPr>
                <w:sz w:val="20"/>
                <w:szCs w:val="20"/>
                <w:color w:val="auto"/>
              </w:rPr>
            </w:pPr>
            <w:r>
              <w:rPr>
                <w:rFonts w:ascii="Arial" w:cs="Arial" w:eastAsia="Arial" w:hAnsi="Arial"/>
                <w:sz w:val="12"/>
                <w:szCs w:val="12"/>
                <w:color w:val="auto"/>
              </w:rPr>
              <w:t>Regulatory balancing accounts, net</w:t>
            </w:r>
          </w:p>
        </w:tc>
        <w:tc>
          <w:tcPr>
            <w:tcW w:w="2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72</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80" w:type="dxa"/>
            <w:vAlign w:val="bottom"/>
          </w:tcPr>
          <w:p>
            <w:pPr>
              <w:spacing w:after="0" w:line="134" w:lineRule="exact"/>
              <w:rPr>
                <w:sz w:val="20"/>
                <w:szCs w:val="20"/>
                <w:color w:val="auto"/>
              </w:rPr>
            </w:pPr>
            <w:r>
              <w:rPr>
                <w:rFonts w:ascii="Arial" w:cs="Arial" w:eastAsia="Arial" w:hAnsi="Arial"/>
                <w:sz w:val="12"/>
                <w:szCs w:val="12"/>
                <w:color w:val="auto"/>
              </w:rPr>
              <w:t>Current portion of long-term debt</w:t>
            </w:r>
          </w:p>
        </w:tc>
        <w:tc>
          <w:tcPr>
            <w:tcW w:w="2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19</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80" w:type="dxa"/>
            <w:vAlign w:val="bottom"/>
          </w:tcPr>
          <w:p>
            <w:pPr>
              <w:spacing w:after="0" w:line="134" w:lineRule="exact"/>
              <w:rPr>
                <w:sz w:val="20"/>
                <w:szCs w:val="20"/>
                <w:color w:val="auto"/>
              </w:rPr>
            </w:pPr>
            <w:r>
              <w:rPr>
                <w:rFonts w:ascii="Arial" w:cs="Arial" w:eastAsia="Arial" w:hAnsi="Arial"/>
                <w:sz w:val="12"/>
                <w:szCs w:val="12"/>
                <w:color w:val="auto"/>
              </w:rPr>
              <w:t>Fixed-price contracts and other derivatives</w:t>
            </w:r>
          </w:p>
        </w:tc>
        <w:tc>
          <w:tcPr>
            <w:tcW w:w="2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50</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80" w:type="dxa"/>
            <w:vAlign w:val="bottom"/>
          </w:tcPr>
          <w:p>
            <w:pPr>
              <w:spacing w:after="0" w:line="134" w:lineRule="exact"/>
              <w:rPr>
                <w:sz w:val="20"/>
                <w:szCs w:val="20"/>
                <w:color w:val="auto"/>
              </w:rPr>
            </w:pPr>
            <w:r>
              <w:rPr>
                <w:rFonts w:ascii="Arial" w:cs="Arial" w:eastAsia="Arial" w:hAnsi="Arial"/>
                <w:sz w:val="12"/>
                <w:szCs w:val="12"/>
                <w:color w:val="auto"/>
              </w:rPr>
              <w:t>Customer deposits</w:t>
            </w:r>
          </w:p>
        </w:tc>
        <w:tc>
          <w:tcPr>
            <w:tcW w:w="2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55</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54</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80" w:type="dxa"/>
            <w:vAlign w:val="bottom"/>
          </w:tcPr>
          <w:p>
            <w:pPr>
              <w:spacing w:after="0" w:line="134" w:lineRule="exact"/>
              <w:rPr>
                <w:sz w:val="20"/>
                <w:szCs w:val="20"/>
                <w:color w:val="auto"/>
              </w:rPr>
            </w:pPr>
            <w:r>
              <w:rPr>
                <w:rFonts w:ascii="Arial" w:cs="Arial" w:eastAsia="Arial" w:hAnsi="Arial"/>
                <w:sz w:val="12"/>
                <w:szCs w:val="12"/>
                <w:color w:val="auto"/>
              </w:rPr>
              <w:t>Reserve for wildfire litigation</w:t>
            </w:r>
          </w:p>
        </w:tc>
        <w:tc>
          <w:tcPr>
            <w:tcW w:w="2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489</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639</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6380" w:type="dxa"/>
            <w:vAlign w:val="bottom"/>
          </w:tcPr>
          <w:p>
            <w:pPr>
              <w:spacing w:after="0"/>
              <w:rPr>
                <w:sz w:val="20"/>
                <w:szCs w:val="20"/>
                <w:color w:val="auto"/>
              </w:rPr>
            </w:pPr>
            <w:r>
              <w:rPr>
                <w:rFonts w:ascii="Arial" w:cs="Arial" w:eastAsia="Arial" w:hAnsi="Arial"/>
                <w:sz w:val="12"/>
                <w:szCs w:val="12"/>
                <w:color w:val="auto"/>
              </w:rPr>
              <w:t>Other</w:t>
            </w:r>
          </w:p>
        </w:tc>
        <w:tc>
          <w:tcPr>
            <w:tcW w:w="208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6380" w:type="dxa"/>
            <w:vAlign w:val="bottom"/>
          </w:tcPr>
          <w:p>
            <w:pPr>
              <w:ind w:left="140"/>
              <w:spacing w:after="0" w:line="134" w:lineRule="exact"/>
              <w:rPr>
                <w:sz w:val="20"/>
                <w:szCs w:val="20"/>
                <w:color w:val="auto"/>
              </w:rPr>
            </w:pPr>
            <w:r>
              <w:rPr>
                <w:rFonts w:ascii="Arial" w:cs="Arial" w:eastAsia="Arial" w:hAnsi="Arial"/>
                <w:sz w:val="12"/>
                <w:szCs w:val="12"/>
                <w:color w:val="auto"/>
              </w:rPr>
              <w:t>Total current liabilities</w:t>
            </w:r>
          </w:p>
        </w:tc>
        <w:tc>
          <w:tcPr>
            <w:tcW w:w="20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1,225</w:t>
            </w: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1,383</w:t>
            </w:r>
          </w:p>
        </w:tc>
        <w:tc>
          <w:tcPr>
            <w:tcW w:w="0" w:type="dxa"/>
            <w:vAlign w:val="bottom"/>
          </w:tcPr>
          <w:p>
            <w:pPr>
              <w:spacing w:after="0"/>
              <w:rPr>
                <w:sz w:val="1"/>
                <w:szCs w:val="1"/>
                <w:color w:val="auto"/>
              </w:rPr>
            </w:pPr>
          </w:p>
        </w:tc>
      </w:tr>
      <w:tr>
        <w:trPr>
          <w:trHeight w:val="125"/>
        </w:trPr>
        <w:tc>
          <w:tcPr>
            <w:tcW w:w="6520" w:type="dxa"/>
            <w:vAlign w:val="bottom"/>
            <w:gridSpan w:val="2"/>
          </w:tcPr>
          <w:p>
            <w:pPr>
              <w:spacing w:after="0" w:line="126" w:lineRule="exact"/>
              <w:rPr>
                <w:sz w:val="20"/>
                <w:szCs w:val="20"/>
                <w:color w:val="auto"/>
              </w:rPr>
            </w:pPr>
            <w:r>
              <w:rPr>
                <w:rFonts w:ascii="Arial" w:cs="Arial" w:eastAsia="Arial" w:hAnsi="Arial"/>
                <w:sz w:val="12"/>
                <w:szCs w:val="12"/>
                <w:color w:val="auto"/>
              </w:rPr>
              <w:t>Long-term debt ($352 and $355 at March 31, 2011 and December 31, 2010,</w:t>
            </w:r>
          </w:p>
        </w:tc>
        <w:tc>
          <w:tcPr>
            <w:tcW w:w="2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3,474</w:t>
            </w:r>
          </w:p>
        </w:tc>
        <w:tc>
          <w:tcPr>
            <w:tcW w:w="22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Arial" w:cs="Arial" w:eastAsia="Arial" w:hAnsi="Arial"/>
                <w:sz w:val="12"/>
                <w:szCs w:val="12"/>
                <w:color w:val="auto"/>
              </w:rPr>
              <w:t>3,479</w:t>
            </w:r>
          </w:p>
        </w:tc>
        <w:tc>
          <w:tcPr>
            <w:tcW w:w="0" w:type="dxa"/>
            <w:vAlign w:val="bottom"/>
          </w:tcPr>
          <w:p>
            <w:pPr>
              <w:spacing w:after="0"/>
              <w:rPr>
                <w:sz w:val="1"/>
                <w:szCs w:val="1"/>
                <w:color w:val="auto"/>
              </w:rPr>
            </w:pPr>
          </w:p>
        </w:tc>
      </w:tr>
      <w:tr>
        <w:trPr>
          <w:trHeight w:val="123"/>
        </w:trPr>
        <w:tc>
          <w:tcPr>
            <w:tcW w:w="140" w:type="dxa"/>
            <w:vAlign w:val="bottom"/>
          </w:tcPr>
          <w:p>
            <w:pPr>
              <w:spacing w:after="0"/>
              <w:rPr>
                <w:sz w:val="10"/>
                <w:szCs w:val="10"/>
                <w:color w:val="auto"/>
              </w:rPr>
            </w:pPr>
          </w:p>
        </w:tc>
        <w:tc>
          <w:tcPr>
            <w:tcW w:w="6380" w:type="dxa"/>
            <w:vAlign w:val="bottom"/>
          </w:tcPr>
          <w:p>
            <w:pPr>
              <w:spacing w:after="0" w:line="123" w:lineRule="exact"/>
              <w:rPr>
                <w:sz w:val="20"/>
                <w:szCs w:val="20"/>
                <w:color w:val="auto"/>
              </w:rPr>
            </w:pPr>
            <w:r>
              <w:rPr>
                <w:rFonts w:ascii="Arial" w:cs="Arial" w:eastAsia="Arial" w:hAnsi="Arial"/>
                <w:sz w:val="12"/>
                <w:szCs w:val="12"/>
                <w:color w:val="auto"/>
              </w:rPr>
              <w:t>respectively, related to VIE)</w:t>
            </w:r>
          </w:p>
        </w:tc>
        <w:tc>
          <w:tcPr>
            <w:tcW w:w="208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1"/>
        </w:trPr>
        <w:tc>
          <w:tcPr>
            <w:tcW w:w="6520" w:type="dxa"/>
            <w:vAlign w:val="bottom"/>
            <w:gridSpan w:val="2"/>
          </w:tcPr>
          <w:p>
            <w:pPr>
              <w:spacing w:after="0"/>
              <w:rPr>
                <w:sz w:val="20"/>
                <w:szCs w:val="20"/>
                <w:color w:val="auto"/>
              </w:rPr>
            </w:pPr>
            <w:r>
              <w:rPr>
                <w:rFonts w:ascii="Arial" w:cs="Arial" w:eastAsia="Arial" w:hAnsi="Arial"/>
                <w:sz w:val="12"/>
                <w:szCs w:val="12"/>
                <w:color w:val="auto"/>
              </w:rPr>
              <w:t>Deferred credits and other liabilities:</w:t>
            </w:r>
          </w:p>
        </w:tc>
        <w:tc>
          <w:tcPr>
            <w:tcW w:w="2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80" w:type="dxa"/>
            <w:vAlign w:val="bottom"/>
          </w:tcPr>
          <w:p>
            <w:pPr>
              <w:spacing w:after="0" w:line="134" w:lineRule="exact"/>
              <w:rPr>
                <w:sz w:val="20"/>
                <w:szCs w:val="20"/>
                <w:color w:val="auto"/>
              </w:rPr>
            </w:pPr>
            <w:r>
              <w:rPr>
                <w:rFonts w:ascii="Arial" w:cs="Arial" w:eastAsia="Arial" w:hAnsi="Arial"/>
                <w:sz w:val="12"/>
                <w:szCs w:val="12"/>
                <w:color w:val="auto"/>
              </w:rPr>
              <w:t>Customer advances for construction</w:t>
            </w:r>
          </w:p>
        </w:tc>
        <w:tc>
          <w:tcPr>
            <w:tcW w:w="2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21</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80" w:type="dxa"/>
            <w:vAlign w:val="bottom"/>
          </w:tcPr>
          <w:p>
            <w:pPr>
              <w:spacing w:after="0" w:line="134" w:lineRule="exact"/>
              <w:rPr>
                <w:sz w:val="20"/>
                <w:szCs w:val="20"/>
                <w:color w:val="auto"/>
              </w:rPr>
            </w:pPr>
            <w:r>
              <w:rPr>
                <w:rFonts w:ascii="Arial" w:cs="Arial" w:eastAsia="Arial" w:hAnsi="Arial"/>
                <w:sz w:val="12"/>
                <w:szCs w:val="12"/>
                <w:color w:val="auto"/>
              </w:rPr>
              <w:t>Pension and other postretirement benefit obligations, net of plan assets</w:t>
            </w:r>
          </w:p>
        </w:tc>
        <w:tc>
          <w:tcPr>
            <w:tcW w:w="2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315</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309</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80" w:type="dxa"/>
            <w:vAlign w:val="bottom"/>
          </w:tcPr>
          <w:p>
            <w:pPr>
              <w:spacing w:after="0" w:line="134" w:lineRule="exact"/>
              <w:rPr>
                <w:sz w:val="20"/>
                <w:szCs w:val="20"/>
                <w:color w:val="auto"/>
              </w:rPr>
            </w:pPr>
            <w:r>
              <w:rPr>
                <w:rFonts w:ascii="Arial" w:cs="Arial" w:eastAsia="Arial" w:hAnsi="Arial"/>
                <w:sz w:val="12"/>
                <w:szCs w:val="12"/>
                <w:color w:val="auto"/>
              </w:rPr>
              <w:t>Deferred income taxes</w:t>
            </w:r>
          </w:p>
        </w:tc>
        <w:tc>
          <w:tcPr>
            <w:tcW w:w="2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1,073</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1,001</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80" w:type="dxa"/>
            <w:vAlign w:val="bottom"/>
          </w:tcPr>
          <w:p>
            <w:pPr>
              <w:spacing w:after="0" w:line="134" w:lineRule="exact"/>
              <w:rPr>
                <w:sz w:val="20"/>
                <w:szCs w:val="20"/>
                <w:color w:val="auto"/>
              </w:rPr>
            </w:pPr>
            <w:r>
              <w:rPr>
                <w:rFonts w:ascii="Arial" w:cs="Arial" w:eastAsia="Arial" w:hAnsi="Arial"/>
                <w:sz w:val="12"/>
                <w:szCs w:val="12"/>
                <w:color w:val="auto"/>
              </w:rPr>
              <w:t>Deferred investment tax credits</w:t>
            </w:r>
          </w:p>
        </w:tc>
        <w:tc>
          <w:tcPr>
            <w:tcW w:w="2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24</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80" w:type="dxa"/>
            <w:vAlign w:val="bottom"/>
          </w:tcPr>
          <w:p>
            <w:pPr>
              <w:spacing w:after="0" w:line="134" w:lineRule="exact"/>
              <w:rPr>
                <w:sz w:val="20"/>
                <w:szCs w:val="20"/>
                <w:color w:val="auto"/>
              </w:rPr>
            </w:pPr>
            <w:r>
              <w:rPr>
                <w:rFonts w:ascii="Arial" w:cs="Arial" w:eastAsia="Arial" w:hAnsi="Arial"/>
                <w:sz w:val="12"/>
                <w:szCs w:val="12"/>
                <w:color w:val="auto"/>
              </w:rPr>
              <w:t>Regulatory liabilities arising from removal obligations</w:t>
            </w:r>
          </w:p>
        </w:tc>
        <w:tc>
          <w:tcPr>
            <w:tcW w:w="2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1,443</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1,409</w:t>
            </w:r>
          </w:p>
        </w:tc>
        <w:tc>
          <w:tcPr>
            <w:tcW w:w="0" w:type="dxa"/>
            <w:vAlign w:val="bottom"/>
          </w:tcPr>
          <w:p>
            <w:pPr>
              <w:spacing w:after="0"/>
              <w:rPr>
                <w:sz w:val="1"/>
                <w:szCs w:val="1"/>
                <w:color w:val="auto"/>
              </w:rPr>
            </w:pPr>
          </w:p>
        </w:tc>
      </w:tr>
      <w:tr>
        <w:trPr>
          <w:trHeight w:val="134"/>
        </w:trPr>
        <w:tc>
          <w:tcPr>
            <w:tcW w:w="6520" w:type="dxa"/>
            <w:vAlign w:val="bottom"/>
            <w:gridSpan w:val="2"/>
          </w:tcPr>
          <w:p>
            <w:pPr>
              <w:ind w:left="140"/>
              <w:spacing w:after="0" w:line="134" w:lineRule="exact"/>
              <w:rPr>
                <w:sz w:val="20"/>
                <w:szCs w:val="20"/>
                <w:color w:val="auto"/>
              </w:rPr>
            </w:pPr>
            <w:r>
              <w:rPr>
                <w:rFonts w:ascii="Arial" w:cs="Arial" w:eastAsia="Arial" w:hAnsi="Arial"/>
                <w:sz w:val="12"/>
                <w:szCs w:val="12"/>
                <w:color w:val="auto"/>
              </w:rPr>
              <w:t>Asset retirement obligations</w:t>
            </w:r>
          </w:p>
        </w:tc>
        <w:tc>
          <w:tcPr>
            <w:tcW w:w="2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628</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619</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80" w:type="dxa"/>
            <w:vAlign w:val="bottom"/>
          </w:tcPr>
          <w:p>
            <w:pPr>
              <w:spacing w:after="0" w:line="134" w:lineRule="exact"/>
              <w:rPr>
                <w:sz w:val="20"/>
                <w:szCs w:val="20"/>
                <w:color w:val="auto"/>
              </w:rPr>
            </w:pPr>
            <w:r>
              <w:rPr>
                <w:rFonts w:ascii="Arial" w:cs="Arial" w:eastAsia="Arial" w:hAnsi="Arial"/>
                <w:sz w:val="12"/>
                <w:szCs w:val="12"/>
                <w:color w:val="auto"/>
              </w:rPr>
              <w:t>Fixed-price contracts and other derivatives</w:t>
            </w:r>
          </w:p>
        </w:tc>
        <w:tc>
          <w:tcPr>
            <w:tcW w:w="2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236</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248</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6380" w:type="dxa"/>
            <w:vAlign w:val="bottom"/>
          </w:tcPr>
          <w:p>
            <w:pPr>
              <w:spacing w:after="0"/>
              <w:rPr>
                <w:sz w:val="20"/>
                <w:szCs w:val="20"/>
                <w:color w:val="auto"/>
              </w:rPr>
            </w:pPr>
            <w:r>
              <w:rPr>
                <w:rFonts w:ascii="Arial" w:cs="Arial" w:eastAsia="Arial" w:hAnsi="Arial"/>
                <w:sz w:val="12"/>
                <w:szCs w:val="12"/>
                <w:color w:val="auto"/>
              </w:rPr>
              <w:t>Deferred credits and other</w:t>
            </w:r>
          </w:p>
        </w:tc>
        <w:tc>
          <w:tcPr>
            <w:tcW w:w="208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356</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283</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6380" w:type="dxa"/>
            <w:vAlign w:val="bottom"/>
          </w:tcPr>
          <w:p>
            <w:pPr>
              <w:ind w:left="140"/>
              <w:spacing w:after="0" w:line="134" w:lineRule="exact"/>
              <w:rPr>
                <w:sz w:val="20"/>
                <w:szCs w:val="20"/>
                <w:color w:val="auto"/>
              </w:rPr>
            </w:pPr>
            <w:r>
              <w:rPr>
                <w:rFonts w:ascii="Arial" w:cs="Arial" w:eastAsia="Arial" w:hAnsi="Arial"/>
                <w:sz w:val="12"/>
                <w:szCs w:val="12"/>
                <w:color w:val="auto"/>
              </w:rPr>
              <w:t>Total deferred credits and other liabilities</w:t>
            </w:r>
          </w:p>
        </w:tc>
        <w:tc>
          <w:tcPr>
            <w:tcW w:w="20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4,096</w:t>
            </w: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3,915</w:t>
            </w:r>
          </w:p>
        </w:tc>
        <w:tc>
          <w:tcPr>
            <w:tcW w:w="0" w:type="dxa"/>
            <w:vAlign w:val="bottom"/>
          </w:tcPr>
          <w:p>
            <w:pPr>
              <w:spacing w:after="0"/>
              <w:rPr>
                <w:sz w:val="1"/>
                <w:szCs w:val="1"/>
                <w:color w:val="auto"/>
              </w:rPr>
            </w:pPr>
          </w:p>
        </w:tc>
      </w:tr>
      <w:tr>
        <w:trPr>
          <w:trHeight w:val="135"/>
        </w:trPr>
        <w:tc>
          <w:tcPr>
            <w:tcW w:w="6520" w:type="dxa"/>
            <w:vAlign w:val="bottom"/>
            <w:gridSpan w:val="2"/>
          </w:tcPr>
          <w:p>
            <w:pPr>
              <w:spacing w:after="0" w:line="134" w:lineRule="exact"/>
              <w:rPr>
                <w:sz w:val="20"/>
                <w:szCs w:val="20"/>
                <w:color w:val="auto"/>
              </w:rPr>
            </w:pPr>
            <w:r>
              <w:rPr>
                <w:rFonts w:ascii="Arial" w:cs="Arial" w:eastAsia="Arial" w:hAnsi="Arial"/>
                <w:sz w:val="12"/>
                <w:szCs w:val="12"/>
                <w:color w:val="auto"/>
              </w:rPr>
              <w:t>Contingently redeemable preferred stock</w:t>
            </w:r>
          </w:p>
        </w:tc>
        <w:tc>
          <w:tcPr>
            <w:tcW w:w="20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79</w:t>
            </w: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294"/>
        </w:trPr>
        <w:tc>
          <w:tcPr>
            <w:tcW w:w="6520" w:type="dxa"/>
            <w:vAlign w:val="bottom"/>
            <w:gridSpan w:val="2"/>
          </w:tcPr>
          <w:p>
            <w:pPr>
              <w:spacing w:after="0"/>
              <w:rPr>
                <w:sz w:val="20"/>
                <w:szCs w:val="20"/>
                <w:color w:val="auto"/>
              </w:rPr>
            </w:pPr>
            <w:r>
              <w:rPr>
                <w:rFonts w:ascii="Arial" w:cs="Arial" w:eastAsia="Arial" w:hAnsi="Arial"/>
                <w:sz w:val="12"/>
                <w:szCs w:val="12"/>
                <w:color w:val="auto"/>
              </w:rPr>
              <w:t>Commitments and contingencies (Note 10)</w:t>
            </w:r>
          </w:p>
        </w:tc>
        <w:tc>
          <w:tcPr>
            <w:tcW w:w="2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520" w:type="dxa"/>
            <w:vAlign w:val="bottom"/>
            <w:gridSpan w:val="2"/>
          </w:tcPr>
          <w:p>
            <w:pPr>
              <w:spacing w:after="0"/>
              <w:rPr>
                <w:sz w:val="20"/>
                <w:szCs w:val="20"/>
                <w:color w:val="auto"/>
              </w:rPr>
            </w:pPr>
            <w:r>
              <w:rPr>
                <w:rFonts w:ascii="Arial" w:cs="Arial" w:eastAsia="Arial" w:hAnsi="Arial"/>
                <w:sz w:val="12"/>
                <w:szCs w:val="12"/>
                <w:color w:val="auto"/>
              </w:rPr>
              <w:t>Equity:</w:t>
            </w:r>
          </w:p>
        </w:tc>
        <w:tc>
          <w:tcPr>
            <w:tcW w:w="20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80" w:type="dxa"/>
            <w:vAlign w:val="bottom"/>
          </w:tcPr>
          <w:p>
            <w:pPr>
              <w:spacing w:after="0" w:line="134" w:lineRule="exact"/>
              <w:rPr>
                <w:sz w:val="20"/>
                <w:szCs w:val="20"/>
                <w:color w:val="auto"/>
              </w:rPr>
            </w:pPr>
            <w:r>
              <w:rPr>
                <w:rFonts w:ascii="Arial" w:cs="Arial" w:eastAsia="Arial" w:hAnsi="Arial"/>
                <w:sz w:val="12"/>
                <w:szCs w:val="12"/>
                <w:color w:val="auto"/>
              </w:rPr>
              <w:t>Common stock (255 million shares authorized; 117 million shares outstanding;</w:t>
            </w:r>
          </w:p>
        </w:tc>
        <w:tc>
          <w:tcPr>
            <w:tcW w:w="2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80" w:type="dxa"/>
            <w:vAlign w:val="bottom"/>
          </w:tcPr>
          <w:p>
            <w:pPr>
              <w:ind w:left="140"/>
              <w:spacing w:after="0" w:line="134" w:lineRule="exact"/>
              <w:rPr>
                <w:sz w:val="20"/>
                <w:szCs w:val="20"/>
                <w:color w:val="auto"/>
              </w:rPr>
            </w:pPr>
            <w:r>
              <w:rPr>
                <w:rFonts w:ascii="Arial" w:cs="Arial" w:eastAsia="Arial" w:hAnsi="Arial"/>
                <w:sz w:val="12"/>
                <w:szCs w:val="12"/>
                <w:color w:val="auto"/>
              </w:rPr>
              <w:t>no par value)</w:t>
            </w:r>
          </w:p>
        </w:tc>
        <w:tc>
          <w:tcPr>
            <w:tcW w:w="2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1,338</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1,138</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380" w:type="dxa"/>
            <w:vAlign w:val="bottom"/>
          </w:tcPr>
          <w:p>
            <w:pPr>
              <w:spacing w:after="0" w:line="134" w:lineRule="exact"/>
              <w:rPr>
                <w:sz w:val="20"/>
                <w:szCs w:val="20"/>
                <w:color w:val="auto"/>
              </w:rPr>
            </w:pPr>
            <w:r>
              <w:rPr>
                <w:rFonts w:ascii="Arial" w:cs="Arial" w:eastAsia="Arial" w:hAnsi="Arial"/>
                <w:sz w:val="12"/>
                <w:szCs w:val="12"/>
                <w:color w:val="auto"/>
              </w:rPr>
              <w:t>Retained earnings</w:t>
            </w:r>
          </w:p>
        </w:tc>
        <w:tc>
          <w:tcPr>
            <w:tcW w:w="2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2,069</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1,980</w:t>
            </w:r>
          </w:p>
        </w:tc>
        <w:tc>
          <w:tcPr>
            <w:tcW w:w="0" w:type="dxa"/>
            <w:vAlign w:val="bottom"/>
          </w:tcPr>
          <w:p>
            <w:pPr>
              <w:spacing w:after="0"/>
              <w:rPr>
                <w:sz w:val="1"/>
                <w:szCs w:val="1"/>
                <w:color w:val="auto"/>
              </w:rPr>
            </w:pPr>
          </w:p>
        </w:tc>
      </w:tr>
      <w:tr>
        <w:trPr>
          <w:trHeight w:val="144"/>
        </w:trPr>
        <w:tc>
          <w:tcPr>
            <w:tcW w:w="6520" w:type="dxa"/>
            <w:vAlign w:val="bottom"/>
            <w:gridSpan w:val="2"/>
          </w:tcPr>
          <w:p>
            <w:pPr>
              <w:ind w:left="140"/>
              <w:spacing w:after="0"/>
              <w:rPr>
                <w:sz w:val="20"/>
                <w:szCs w:val="20"/>
                <w:color w:val="auto"/>
              </w:rPr>
            </w:pPr>
            <w:r>
              <w:rPr>
                <w:rFonts w:ascii="Arial" w:cs="Arial" w:eastAsia="Arial" w:hAnsi="Arial"/>
                <w:sz w:val="12"/>
                <w:szCs w:val="12"/>
                <w:color w:val="auto"/>
              </w:rPr>
              <w:t>Accumulated other comprehensive income (loss)</w:t>
            </w:r>
          </w:p>
        </w:tc>
        <w:tc>
          <w:tcPr>
            <w:tcW w:w="208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25"/>
        </w:trPr>
        <w:tc>
          <w:tcPr>
            <w:tcW w:w="140" w:type="dxa"/>
            <w:vAlign w:val="bottom"/>
          </w:tcPr>
          <w:p>
            <w:pPr>
              <w:spacing w:after="0"/>
              <w:rPr>
                <w:sz w:val="10"/>
                <w:szCs w:val="10"/>
                <w:color w:val="auto"/>
              </w:rPr>
            </w:pPr>
          </w:p>
        </w:tc>
        <w:tc>
          <w:tcPr>
            <w:tcW w:w="6380" w:type="dxa"/>
            <w:vAlign w:val="bottom"/>
          </w:tcPr>
          <w:p>
            <w:pPr>
              <w:ind w:left="140"/>
              <w:spacing w:after="0" w:line="126" w:lineRule="exact"/>
              <w:rPr>
                <w:sz w:val="20"/>
                <w:szCs w:val="20"/>
                <w:color w:val="auto"/>
              </w:rPr>
            </w:pPr>
            <w:r>
              <w:rPr>
                <w:rFonts w:ascii="Arial" w:cs="Arial" w:eastAsia="Arial" w:hAnsi="Arial"/>
                <w:sz w:val="12"/>
                <w:szCs w:val="12"/>
                <w:color w:val="auto"/>
              </w:rPr>
              <w:t>Total SDG&amp;E shareholder's equity</w:t>
            </w:r>
          </w:p>
        </w:tc>
        <w:tc>
          <w:tcPr>
            <w:tcW w:w="2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jc w:val="right"/>
              <w:spacing w:after="0" w:line="126" w:lineRule="exact"/>
              <w:rPr>
                <w:sz w:val="20"/>
                <w:szCs w:val="20"/>
                <w:color w:val="auto"/>
              </w:rPr>
            </w:pPr>
            <w:r>
              <w:rPr>
                <w:rFonts w:ascii="Arial" w:cs="Arial" w:eastAsia="Arial" w:hAnsi="Arial"/>
                <w:sz w:val="12"/>
                <w:szCs w:val="12"/>
                <w:color w:val="auto"/>
              </w:rPr>
              <w:t>3,397</w:t>
            </w:r>
          </w:p>
        </w:tc>
        <w:tc>
          <w:tcPr>
            <w:tcW w:w="220" w:type="dxa"/>
            <w:vAlign w:val="bottom"/>
          </w:tcPr>
          <w:p>
            <w:pPr>
              <w:spacing w:after="0"/>
              <w:rPr>
                <w:sz w:val="10"/>
                <w:szCs w:val="10"/>
                <w:color w:val="auto"/>
              </w:rPr>
            </w:pPr>
          </w:p>
        </w:tc>
        <w:tc>
          <w:tcPr>
            <w:tcW w:w="1220" w:type="dxa"/>
            <w:vAlign w:val="bottom"/>
          </w:tcPr>
          <w:p>
            <w:pPr>
              <w:jc w:val="right"/>
              <w:spacing w:after="0" w:line="126" w:lineRule="exact"/>
              <w:rPr>
                <w:sz w:val="20"/>
                <w:szCs w:val="20"/>
                <w:color w:val="auto"/>
              </w:rPr>
            </w:pPr>
            <w:r>
              <w:rPr>
                <w:rFonts w:ascii="Arial" w:cs="Arial" w:eastAsia="Arial" w:hAnsi="Arial"/>
                <w:sz w:val="12"/>
                <w:szCs w:val="12"/>
                <w:color w:val="auto"/>
              </w:rPr>
              <w:t>3,108</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6380" w:type="dxa"/>
            <w:vAlign w:val="bottom"/>
          </w:tcPr>
          <w:p>
            <w:pPr>
              <w:spacing w:after="0"/>
              <w:rPr>
                <w:sz w:val="20"/>
                <w:szCs w:val="20"/>
                <w:color w:val="auto"/>
              </w:rPr>
            </w:pPr>
            <w:r>
              <w:rPr>
                <w:rFonts w:ascii="Arial" w:cs="Arial" w:eastAsia="Arial" w:hAnsi="Arial"/>
                <w:sz w:val="12"/>
                <w:szCs w:val="12"/>
                <w:color w:val="auto"/>
              </w:rPr>
              <w:t>Noncontrolling interest</w:t>
            </w:r>
          </w:p>
        </w:tc>
        <w:tc>
          <w:tcPr>
            <w:tcW w:w="208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6380" w:type="dxa"/>
            <w:vAlign w:val="bottom"/>
          </w:tcPr>
          <w:p>
            <w:pPr>
              <w:ind w:left="140"/>
              <w:spacing w:after="0" w:line="134" w:lineRule="exact"/>
              <w:rPr>
                <w:sz w:val="20"/>
                <w:szCs w:val="20"/>
                <w:color w:val="auto"/>
              </w:rPr>
            </w:pPr>
            <w:r>
              <w:rPr>
                <w:rFonts w:ascii="Arial" w:cs="Arial" w:eastAsia="Arial" w:hAnsi="Arial"/>
                <w:sz w:val="12"/>
                <w:szCs w:val="12"/>
                <w:color w:val="auto"/>
              </w:rPr>
              <w:t>Total equity</w:t>
            </w:r>
          </w:p>
        </w:tc>
        <w:tc>
          <w:tcPr>
            <w:tcW w:w="20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3,516</w:t>
            </w: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3,221</w:t>
            </w:r>
          </w:p>
        </w:tc>
        <w:tc>
          <w:tcPr>
            <w:tcW w:w="0" w:type="dxa"/>
            <w:vAlign w:val="bottom"/>
          </w:tcPr>
          <w:p>
            <w:pPr>
              <w:spacing w:after="0"/>
              <w:rPr>
                <w:sz w:val="1"/>
                <w:szCs w:val="1"/>
                <w:color w:val="auto"/>
              </w:rPr>
            </w:pPr>
          </w:p>
        </w:tc>
      </w:tr>
      <w:tr>
        <w:trPr>
          <w:trHeight w:val="135"/>
        </w:trPr>
        <w:tc>
          <w:tcPr>
            <w:tcW w:w="6520" w:type="dxa"/>
            <w:vAlign w:val="bottom"/>
            <w:tcBorders>
              <w:bottom w:val="single" w:sz="8" w:color="auto"/>
            </w:tcBorders>
            <w:gridSpan w:val="2"/>
          </w:tcPr>
          <w:p>
            <w:pPr>
              <w:spacing w:after="0" w:line="134" w:lineRule="exact"/>
              <w:rPr>
                <w:sz w:val="20"/>
                <w:szCs w:val="20"/>
                <w:color w:val="auto"/>
              </w:rPr>
            </w:pPr>
            <w:r>
              <w:rPr>
                <w:rFonts w:ascii="Arial" w:cs="Arial" w:eastAsia="Arial" w:hAnsi="Arial"/>
                <w:sz w:val="12"/>
                <w:szCs w:val="12"/>
                <w:color w:val="auto"/>
              </w:rPr>
              <w:t>Total liabilities and equity</w:t>
            </w:r>
          </w:p>
        </w:tc>
        <w:tc>
          <w:tcPr>
            <w:tcW w:w="20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863"/>
              <w:spacing w:after="0" w:line="134" w:lineRule="exact"/>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12,390</w:t>
            </w:r>
          </w:p>
        </w:tc>
        <w:tc>
          <w:tcPr>
            <w:tcW w:w="220" w:type="dxa"/>
            <w:vAlign w:val="bottom"/>
            <w:tcBorders>
              <w:bottom w:val="single" w:sz="8" w:color="auto"/>
            </w:tcBorders>
          </w:tcPr>
          <w:p>
            <w:pPr>
              <w:jc w:val="right"/>
              <w:ind w:right="78"/>
              <w:spacing w:after="0" w:line="134" w:lineRule="exact"/>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12,077</w:t>
            </w:r>
          </w:p>
        </w:tc>
        <w:tc>
          <w:tcPr>
            <w:tcW w:w="0" w:type="dxa"/>
            <w:vAlign w:val="bottom"/>
          </w:tcPr>
          <w:p>
            <w:pPr>
              <w:spacing w:after="0"/>
              <w:rPr>
                <w:sz w:val="1"/>
                <w:szCs w:val="1"/>
                <w:color w:val="auto"/>
              </w:rPr>
            </w:pPr>
          </w:p>
        </w:tc>
      </w:tr>
      <w:tr>
        <w:trPr>
          <w:trHeight w:val="126"/>
        </w:trPr>
        <w:tc>
          <w:tcPr>
            <w:tcW w:w="140" w:type="dxa"/>
            <w:vAlign w:val="bottom"/>
          </w:tcPr>
          <w:p>
            <w:pPr>
              <w:spacing w:after="0"/>
              <w:rPr>
                <w:sz w:val="20"/>
                <w:szCs w:val="20"/>
                <w:color w:val="auto"/>
              </w:rPr>
            </w:pPr>
            <w:r>
              <w:rPr>
                <w:rFonts w:ascii="Arial" w:cs="Arial" w:eastAsia="Arial" w:hAnsi="Arial"/>
                <w:sz w:val="11"/>
                <w:szCs w:val="11"/>
                <w:i w:val="1"/>
                <w:iCs w:val="1"/>
                <w:color w:val="auto"/>
                <w:w w:val="88"/>
              </w:rPr>
              <w:t>(1)</w:t>
            </w:r>
          </w:p>
        </w:tc>
        <w:tc>
          <w:tcPr>
            <w:tcW w:w="6380" w:type="dxa"/>
            <w:vAlign w:val="bottom"/>
          </w:tcPr>
          <w:p>
            <w:pPr>
              <w:ind w:left="380"/>
              <w:spacing w:after="0"/>
              <w:rPr>
                <w:sz w:val="20"/>
                <w:szCs w:val="20"/>
                <w:color w:val="auto"/>
              </w:rPr>
            </w:pPr>
            <w:r>
              <w:rPr>
                <w:rFonts w:ascii="Arial" w:cs="Arial" w:eastAsia="Arial" w:hAnsi="Arial"/>
                <w:sz w:val="11"/>
                <w:szCs w:val="11"/>
                <w:i w:val="1"/>
                <w:iCs w:val="1"/>
                <w:color w:val="auto"/>
              </w:rPr>
              <w:t>Derived from audited financial statements.</w:t>
            </w:r>
          </w:p>
        </w:tc>
        <w:tc>
          <w:tcPr>
            <w:tcW w:w="2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520" w:type="dxa"/>
            <w:vAlign w:val="bottom"/>
            <w:gridSpan w:val="2"/>
          </w:tcPr>
          <w:p>
            <w:pPr>
              <w:spacing w:after="0"/>
              <w:rPr>
                <w:sz w:val="20"/>
                <w:szCs w:val="20"/>
                <w:color w:val="auto"/>
              </w:rPr>
            </w:pPr>
            <w:r>
              <w:rPr>
                <w:rFonts w:ascii="Arial" w:cs="Arial" w:eastAsia="Arial" w:hAnsi="Arial"/>
                <w:sz w:val="11"/>
                <w:szCs w:val="11"/>
                <w:i w:val="1"/>
                <w:iCs w:val="1"/>
                <w:color w:val="auto"/>
              </w:rPr>
              <w:t>See Notes to Condensed Consolidated Financial Statements.</w:t>
            </w:r>
          </w:p>
        </w:tc>
        <w:tc>
          <w:tcPr>
            <w:tcW w:w="2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27" w:right="219" w:bottom="1440" w:gutter="0" w:footer="0" w:header="0"/>
        </w:sectPr>
      </w:pPr>
    </w:p>
    <w:bookmarkStart w:id="14" w:name="page15"/>
    <w:bookmarkEnd w:id="14"/>
    <w:p>
      <w:pPr>
        <w:spacing w:after="0"/>
        <w:rPr>
          <w:sz w:val="20"/>
          <w:szCs w:val="20"/>
          <w:color w:val="auto"/>
        </w:rPr>
      </w:pPr>
      <w:r>
        <w:rPr>
          <w:rFonts w:ascii="Arial" w:cs="Arial" w:eastAsia="Arial" w:hAnsi="Arial"/>
          <w:sz w:val="12"/>
          <w:szCs w:val="12"/>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255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9005" cy="25590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(Dollars 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00" w:type="dxa"/>
            <w:vAlign w:val="bottom"/>
            <w:gridSpan w:val="2"/>
          </w:tcPr>
          <w:p>
            <w:pPr>
              <w:jc w:val="center"/>
              <w:spacing w:after="0"/>
              <w:rPr>
                <w:sz w:val="20"/>
                <w:szCs w:val="20"/>
                <w:color w:val="auto"/>
              </w:rPr>
            </w:pPr>
            <w:r>
              <w:rPr>
                <w:rFonts w:ascii="Arial" w:cs="Arial" w:eastAsia="Arial" w:hAnsi="Arial"/>
                <w:sz w:val="11"/>
                <w:szCs w:val="11"/>
                <w:color w:val="auto"/>
                <w:w w:val="98"/>
              </w:rPr>
              <w:t>Three months ended</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1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jc w:val="center"/>
              <w:spacing w:after="0" w:line="121" w:lineRule="exact"/>
              <w:rPr>
                <w:sz w:val="20"/>
                <w:szCs w:val="20"/>
                <w:color w:val="auto"/>
              </w:rPr>
            </w:pPr>
            <w:r>
              <w:rPr>
                <w:rFonts w:ascii="Arial" w:cs="Arial" w:eastAsia="Arial" w:hAnsi="Arial"/>
                <w:sz w:val="11"/>
                <w:szCs w:val="11"/>
                <w:color w:val="auto"/>
                <w:w w:val="98"/>
              </w:rPr>
              <w:t>March 31,</w:t>
            </w:r>
          </w:p>
        </w:tc>
        <w:tc>
          <w:tcPr>
            <w:tcW w:w="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14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2011</w:t>
            </w:r>
          </w:p>
        </w:tc>
        <w:tc>
          <w:tcPr>
            <w:tcW w:w="6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98"/>
              <w:spacing w:after="0"/>
              <w:rPr>
                <w:sz w:val="20"/>
                <w:szCs w:val="20"/>
                <w:color w:val="auto"/>
              </w:rPr>
            </w:pPr>
            <w:r>
              <w:rPr>
                <w:rFonts w:ascii="Arial" w:cs="Arial" w:eastAsia="Arial" w:hAnsi="Arial"/>
                <w:sz w:val="11"/>
                <w:szCs w:val="11"/>
                <w:color w:val="auto"/>
              </w:rPr>
              <w:t>2010</w:t>
            </w:r>
          </w:p>
        </w:tc>
        <w:tc>
          <w:tcPr>
            <w:tcW w:w="0" w:type="dxa"/>
            <w:vAlign w:val="bottom"/>
          </w:tcPr>
          <w:p>
            <w:pPr>
              <w:spacing w:after="0"/>
              <w:rPr>
                <w:sz w:val="1"/>
                <w:szCs w:val="1"/>
                <w:color w:val="auto"/>
              </w:rPr>
            </w:pPr>
          </w:p>
        </w:tc>
      </w:tr>
      <w:tr>
        <w:trPr>
          <w:trHeight w:val="146"/>
        </w:trPr>
        <w:tc>
          <w:tcPr>
            <w:tcW w:w="6140" w:type="dxa"/>
            <w:vAlign w:val="bottom"/>
            <w:vMerge w:val="restart"/>
          </w:tcPr>
          <w:p>
            <w:pPr>
              <w:spacing w:after="0"/>
              <w:rPr>
                <w:sz w:val="20"/>
                <w:szCs w:val="20"/>
                <w:color w:val="auto"/>
              </w:rPr>
            </w:pPr>
            <w:r>
              <w:rPr>
                <w:rFonts w:ascii="Arial" w:cs="Arial" w:eastAsia="Arial" w:hAnsi="Arial"/>
                <w:sz w:val="12"/>
                <w:szCs w:val="12"/>
                <w:color w:val="auto"/>
              </w:rPr>
              <w:t>CASH FLOWS FROM OPERATING ACTIVITIES</w:t>
            </w:r>
          </w:p>
        </w:tc>
        <w:tc>
          <w:tcPr>
            <w:tcW w:w="2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gridSpan w:val="2"/>
          </w:tcPr>
          <w:p>
            <w:pPr>
              <w:jc w:val="center"/>
              <w:spacing w:after="0"/>
              <w:rPr>
                <w:sz w:val="20"/>
                <w:szCs w:val="20"/>
                <w:color w:val="auto"/>
              </w:rPr>
            </w:pPr>
            <w:r>
              <w:rPr>
                <w:rFonts w:ascii="Arial" w:cs="Arial" w:eastAsia="Arial" w:hAnsi="Arial"/>
                <w:sz w:val="11"/>
                <w:szCs w:val="11"/>
                <w:color w:val="auto"/>
              </w:rPr>
              <w:t>(unaudited)</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140" w:type="dxa"/>
            <w:vAlign w:val="bottom"/>
            <w:vMerge w:val="continue"/>
          </w:tcPr>
          <w:p>
            <w:pPr>
              <w:spacing w:after="0"/>
              <w:rPr>
                <w:sz w:val="9"/>
                <w:szCs w:val="9"/>
                <w:color w:val="auto"/>
              </w:rPr>
            </w:pPr>
          </w:p>
        </w:tc>
        <w:tc>
          <w:tcPr>
            <w:tcW w:w="2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140" w:type="dxa"/>
            <w:vAlign w:val="bottom"/>
          </w:tcPr>
          <w:p>
            <w:pPr>
              <w:ind w:left="140"/>
              <w:spacing w:after="0"/>
              <w:rPr>
                <w:sz w:val="20"/>
                <w:szCs w:val="20"/>
                <w:color w:val="auto"/>
              </w:rPr>
            </w:pPr>
            <w:r>
              <w:rPr>
                <w:rFonts w:ascii="Arial" w:cs="Arial" w:eastAsia="Arial" w:hAnsi="Arial"/>
                <w:sz w:val="12"/>
                <w:szCs w:val="12"/>
                <w:color w:val="auto"/>
              </w:rPr>
              <w:t>Net income</w:t>
            </w:r>
          </w:p>
        </w:tc>
        <w:tc>
          <w:tcPr>
            <w:tcW w:w="3340" w:type="dxa"/>
            <w:vAlign w:val="bottom"/>
            <w:gridSpan w:val="2"/>
          </w:tcPr>
          <w:p>
            <w:pPr>
              <w:jc w:val="right"/>
              <w:ind w:right="788"/>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94</w:t>
            </w:r>
          </w:p>
        </w:tc>
        <w:tc>
          <w:tcPr>
            <w:tcW w:w="500" w:type="dxa"/>
            <w:vAlign w:val="bottom"/>
          </w:tcPr>
          <w:p>
            <w:pPr>
              <w:jc w:val="right"/>
              <w:ind w:right="388"/>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41"/>
        </w:trPr>
        <w:tc>
          <w:tcPr>
            <w:tcW w:w="6140" w:type="dxa"/>
            <w:vAlign w:val="bottom"/>
          </w:tcPr>
          <w:p>
            <w:pPr>
              <w:ind w:left="140"/>
              <w:spacing w:after="0"/>
              <w:rPr>
                <w:sz w:val="20"/>
                <w:szCs w:val="20"/>
                <w:color w:val="auto"/>
              </w:rPr>
            </w:pPr>
            <w:r>
              <w:rPr>
                <w:rFonts w:ascii="Arial" w:cs="Arial" w:eastAsia="Arial" w:hAnsi="Arial"/>
                <w:sz w:val="12"/>
                <w:szCs w:val="12"/>
                <w:color w:val="auto"/>
              </w:rPr>
              <w:t>Adjustments to reconcile net income to net cash provided by</w:t>
            </w:r>
          </w:p>
        </w:tc>
        <w:tc>
          <w:tcPr>
            <w:tcW w:w="2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140" w:type="dxa"/>
            <w:vAlign w:val="bottom"/>
          </w:tcPr>
          <w:p>
            <w:pPr>
              <w:ind w:left="280"/>
              <w:spacing w:after="0" w:line="134" w:lineRule="exact"/>
              <w:rPr>
                <w:sz w:val="20"/>
                <w:szCs w:val="20"/>
                <w:color w:val="auto"/>
              </w:rPr>
            </w:pPr>
            <w:r>
              <w:rPr>
                <w:rFonts w:ascii="Arial" w:cs="Arial" w:eastAsia="Arial" w:hAnsi="Arial"/>
                <w:sz w:val="12"/>
                <w:szCs w:val="12"/>
                <w:color w:val="auto"/>
              </w:rPr>
              <w:t>operating activities:</w:t>
            </w:r>
          </w:p>
        </w:tc>
        <w:tc>
          <w:tcPr>
            <w:tcW w:w="2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140" w:type="dxa"/>
            <w:vAlign w:val="bottom"/>
          </w:tcPr>
          <w:p>
            <w:pPr>
              <w:ind w:left="420"/>
              <w:spacing w:after="0" w:line="134" w:lineRule="exact"/>
              <w:rPr>
                <w:sz w:val="20"/>
                <w:szCs w:val="20"/>
                <w:color w:val="auto"/>
              </w:rPr>
            </w:pPr>
            <w:r>
              <w:rPr>
                <w:rFonts w:ascii="Arial" w:cs="Arial" w:eastAsia="Arial" w:hAnsi="Arial"/>
                <w:sz w:val="12"/>
                <w:szCs w:val="12"/>
                <w:color w:val="auto"/>
              </w:rPr>
              <w:t>Depreciation and amortization</w:t>
            </w:r>
          </w:p>
        </w:tc>
        <w:tc>
          <w:tcPr>
            <w:tcW w:w="2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103</w:t>
            </w:r>
          </w:p>
        </w:tc>
        <w:tc>
          <w:tcPr>
            <w:tcW w:w="50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134"/>
        </w:trPr>
        <w:tc>
          <w:tcPr>
            <w:tcW w:w="6140" w:type="dxa"/>
            <w:vAlign w:val="bottom"/>
          </w:tcPr>
          <w:p>
            <w:pPr>
              <w:ind w:left="420"/>
              <w:spacing w:after="0" w:line="134" w:lineRule="exact"/>
              <w:rPr>
                <w:sz w:val="20"/>
                <w:szCs w:val="20"/>
                <w:color w:val="auto"/>
              </w:rPr>
            </w:pPr>
            <w:r>
              <w:rPr>
                <w:rFonts w:ascii="Arial" w:cs="Arial" w:eastAsia="Arial" w:hAnsi="Arial"/>
                <w:sz w:val="12"/>
                <w:szCs w:val="12"/>
                <w:color w:val="auto"/>
              </w:rPr>
              <w:t>Deferred income taxes and investment tax credits</w:t>
            </w:r>
          </w:p>
        </w:tc>
        <w:tc>
          <w:tcPr>
            <w:tcW w:w="2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75</w:t>
            </w:r>
          </w:p>
        </w:tc>
        <w:tc>
          <w:tcPr>
            <w:tcW w:w="50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34"/>
        </w:trPr>
        <w:tc>
          <w:tcPr>
            <w:tcW w:w="6140" w:type="dxa"/>
            <w:vAlign w:val="bottom"/>
          </w:tcPr>
          <w:p>
            <w:pPr>
              <w:ind w:left="420"/>
              <w:spacing w:after="0" w:line="134" w:lineRule="exact"/>
              <w:rPr>
                <w:sz w:val="20"/>
                <w:szCs w:val="20"/>
                <w:color w:val="auto"/>
              </w:rPr>
            </w:pPr>
            <w:r>
              <w:rPr>
                <w:rFonts w:ascii="Arial" w:cs="Arial" w:eastAsia="Arial" w:hAnsi="Arial"/>
                <w:sz w:val="12"/>
                <w:szCs w:val="12"/>
                <w:color w:val="auto"/>
              </w:rPr>
              <w:t>Fixed price contracts and other derivatives</w:t>
            </w:r>
          </w:p>
        </w:tc>
        <w:tc>
          <w:tcPr>
            <w:tcW w:w="2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(4)</w:t>
            </w:r>
          </w:p>
        </w:tc>
        <w:tc>
          <w:tcPr>
            <w:tcW w:w="50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6140" w:type="dxa"/>
            <w:vAlign w:val="bottom"/>
          </w:tcPr>
          <w:p>
            <w:pPr>
              <w:ind w:left="420"/>
              <w:spacing w:after="0" w:line="134" w:lineRule="exact"/>
              <w:rPr>
                <w:sz w:val="20"/>
                <w:szCs w:val="20"/>
                <w:color w:val="auto"/>
              </w:rPr>
            </w:pPr>
            <w:r>
              <w:rPr>
                <w:rFonts w:ascii="Arial" w:cs="Arial" w:eastAsia="Arial" w:hAnsi="Arial"/>
                <w:sz w:val="12"/>
                <w:szCs w:val="12"/>
                <w:color w:val="auto"/>
              </w:rPr>
              <w:t>Other</w:t>
            </w:r>
          </w:p>
        </w:tc>
        <w:tc>
          <w:tcPr>
            <w:tcW w:w="2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(12)</w:t>
            </w:r>
          </w:p>
        </w:tc>
        <w:tc>
          <w:tcPr>
            <w:tcW w:w="50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6140" w:type="dxa"/>
            <w:vAlign w:val="bottom"/>
          </w:tcPr>
          <w:p>
            <w:pPr>
              <w:ind w:left="140"/>
              <w:spacing w:after="0" w:line="134" w:lineRule="exact"/>
              <w:rPr>
                <w:sz w:val="20"/>
                <w:szCs w:val="20"/>
                <w:color w:val="auto"/>
              </w:rPr>
            </w:pPr>
            <w:r>
              <w:rPr>
                <w:rFonts w:ascii="Arial" w:cs="Arial" w:eastAsia="Arial" w:hAnsi="Arial"/>
                <w:sz w:val="12"/>
                <w:szCs w:val="12"/>
                <w:color w:val="auto"/>
              </w:rPr>
              <w:t>Net change in other working capital components</w:t>
            </w:r>
          </w:p>
        </w:tc>
        <w:tc>
          <w:tcPr>
            <w:tcW w:w="2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241</w:t>
            </w:r>
          </w:p>
        </w:tc>
        <w:tc>
          <w:tcPr>
            <w:tcW w:w="50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r>
        <w:trPr>
          <w:trHeight w:val="134"/>
        </w:trPr>
        <w:tc>
          <w:tcPr>
            <w:tcW w:w="6140" w:type="dxa"/>
            <w:vAlign w:val="bottom"/>
          </w:tcPr>
          <w:p>
            <w:pPr>
              <w:ind w:left="140"/>
              <w:spacing w:after="0" w:line="134" w:lineRule="exact"/>
              <w:rPr>
                <w:sz w:val="20"/>
                <w:szCs w:val="20"/>
                <w:color w:val="auto"/>
              </w:rPr>
            </w:pPr>
            <w:r>
              <w:rPr>
                <w:rFonts w:ascii="Arial" w:cs="Arial" w:eastAsia="Arial" w:hAnsi="Arial"/>
                <w:sz w:val="12"/>
                <w:szCs w:val="12"/>
                <w:color w:val="auto"/>
              </w:rPr>
              <w:t>Changes in other assets</w:t>
            </w:r>
          </w:p>
        </w:tc>
        <w:tc>
          <w:tcPr>
            <w:tcW w:w="2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7</w:t>
            </w:r>
          </w:p>
        </w:tc>
        <w:tc>
          <w:tcPr>
            <w:tcW w:w="50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6140" w:type="dxa"/>
            <w:vAlign w:val="bottom"/>
          </w:tcPr>
          <w:p>
            <w:pPr>
              <w:ind w:left="140"/>
              <w:spacing w:after="0"/>
              <w:rPr>
                <w:sz w:val="20"/>
                <w:szCs w:val="20"/>
                <w:color w:val="auto"/>
              </w:rPr>
            </w:pPr>
            <w:r>
              <w:rPr>
                <w:rFonts w:ascii="Arial" w:cs="Arial" w:eastAsia="Arial" w:hAnsi="Arial"/>
                <w:sz w:val="12"/>
                <w:szCs w:val="12"/>
                <w:color w:val="auto"/>
              </w:rPr>
              <w:t>Changes in other liabilities</w:t>
            </w:r>
          </w:p>
        </w:tc>
        <w:tc>
          <w:tcPr>
            <w:tcW w:w="244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35"/>
        </w:trPr>
        <w:tc>
          <w:tcPr>
            <w:tcW w:w="6140" w:type="dxa"/>
            <w:vAlign w:val="bottom"/>
          </w:tcPr>
          <w:p>
            <w:pPr>
              <w:ind w:left="280"/>
              <w:spacing w:after="0" w:line="134" w:lineRule="exact"/>
              <w:rPr>
                <w:sz w:val="20"/>
                <w:szCs w:val="20"/>
                <w:color w:val="auto"/>
              </w:rPr>
            </w:pPr>
            <w:r>
              <w:rPr>
                <w:rFonts w:ascii="Arial" w:cs="Arial" w:eastAsia="Arial" w:hAnsi="Arial"/>
                <w:sz w:val="12"/>
                <w:szCs w:val="12"/>
                <w:color w:val="auto"/>
              </w:rPr>
              <w:t>Net cash provided by operating activities</w:t>
            </w:r>
          </w:p>
        </w:tc>
        <w:tc>
          <w:tcPr>
            <w:tcW w:w="24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501</w:t>
            </w:r>
          </w:p>
        </w:tc>
        <w:tc>
          <w:tcPr>
            <w:tcW w:w="5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275</w:t>
            </w:r>
          </w:p>
        </w:tc>
        <w:tc>
          <w:tcPr>
            <w:tcW w:w="0" w:type="dxa"/>
            <w:vAlign w:val="bottom"/>
          </w:tcPr>
          <w:p>
            <w:pPr>
              <w:spacing w:after="0"/>
              <w:rPr>
                <w:sz w:val="1"/>
                <w:szCs w:val="1"/>
                <w:color w:val="auto"/>
              </w:rPr>
            </w:pPr>
          </w:p>
        </w:tc>
      </w:tr>
      <w:tr>
        <w:trPr>
          <w:trHeight w:val="281"/>
        </w:trPr>
        <w:tc>
          <w:tcPr>
            <w:tcW w:w="614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2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140" w:type="dxa"/>
            <w:vAlign w:val="bottom"/>
          </w:tcPr>
          <w:p>
            <w:pPr>
              <w:ind w:left="140"/>
              <w:spacing w:after="0" w:line="134" w:lineRule="exact"/>
              <w:rPr>
                <w:sz w:val="20"/>
                <w:szCs w:val="20"/>
                <w:color w:val="auto"/>
              </w:rPr>
            </w:pPr>
            <w:r>
              <w:rPr>
                <w:rFonts w:ascii="Arial" w:cs="Arial" w:eastAsia="Arial" w:hAnsi="Arial"/>
                <w:sz w:val="12"/>
                <w:szCs w:val="12"/>
                <w:color w:val="auto"/>
              </w:rPr>
              <w:t>Expenditures for property, plant and equipment</w:t>
            </w:r>
          </w:p>
        </w:tc>
        <w:tc>
          <w:tcPr>
            <w:tcW w:w="2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(348)</w:t>
            </w:r>
          </w:p>
        </w:tc>
        <w:tc>
          <w:tcPr>
            <w:tcW w:w="50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(290)</w:t>
            </w:r>
          </w:p>
        </w:tc>
        <w:tc>
          <w:tcPr>
            <w:tcW w:w="0" w:type="dxa"/>
            <w:vAlign w:val="bottom"/>
          </w:tcPr>
          <w:p>
            <w:pPr>
              <w:spacing w:after="0"/>
              <w:rPr>
                <w:sz w:val="1"/>
                <w:szCs w:val="1"/>
                <w:color w:val="auto"/>
              </w:rPr>
            </w:pPr>
          </w:p>
        </w:tc>
      </w:tr>
      <w:tr>
        <w:trPr>
          <w:trHeight w:val="134"/>
        </w:trPr>
        <w:tc>
          <w:tcPr>
            <w:tcW w:w="6140" w:type="dxa"/>
            <w:vAlign w:val="bottom"/>
          </w:tcPr>
          <w:p>
            <w:pPr>
              <w:ind w:left="140"/>
              <w:spacing w:after="0" w:line="134" w:lineRule="exact"/>
              <w:rPr>
                <w:sz w:val="20"/>
                <w:szCs w:val="20"/>
                <w:color w:val="auto"/>
              </w:rPr>
            </w:pPr>
            <w:r>
              <w:rPr>
                <w:rFonts w:ascii="Arial" w:cs="Arial" w:eastAsia="Arial" w:hAnsi="Arial"/>
                <w:sz w:val="12"/>
                <w:szCs w:val="12"/>
                <w:color w:val="auto"/>
              </w:rPr>
              <w:t>Purchases of nuclear decommissioning trust assets</w:t>
            </w:r>
          </w:p>
        </w:tc>
        <w:tc>
          <w:tcPr>
            <w:tcW w:w="2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(44)</w:t>
            </w:r>
          </w:p>
        </w:tc>
        <w:tc>
          <w:tcPr>
            <w:tcW w:w="50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34"/>
        </w:trPr>
        <w:tc>
          <w:tcPr>
            <w:tcW w:w="6140" w:type="dxa"/>
            <w:vAlign w:val="bottom"/>
          </w:tcPr>
          <w:p>
            <w:pPr>
              <w:ind w:left="140"/>
              <w:spacing w:after="0" w:line="134" w:lineRule="exact"/>
              <w:rPr>
                <w:sz w:val="20"/>
                <w:szCs w:val="20"/>
                <w:color w:val="auto"/>
              </w:rPr>
            </w:pPr>
            <w:r>
              <w:rPr>
                <w:rFonts w:ascii="Arial" w:cs="Arial" w:eastAsia="Arial" w:hAnsi="Arial"/>
                <w:sz w:val="12"/>
                <w:szCs w:val="12"/>
                <w:color w:val="auto"/>
              </w:rPr>
              <w:t>Proceeds from sales by nuclear decommissioning trusts</w:t>
            </w:r>
          </w:p>
        </w:tc>
        <w:tc>
          <w:tcPr>
            <w:tcW w:w="2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42</w:t>
            </w:r>
          </w:p>
        </w:tc>
        <w:tc>
          <w:tcPr>
            <w:tcW w:w="50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34"/>
        </w:trPr>
        <w:tc>
          <w:tcPr>
            <w:tcW w:w="6140" w:type="dxa"/>
            <w:vAlign w:val="bottom"/>
          </w:tcPr>
          <w:p>
            <w:pPr>
              <w:ind w:left="140"/>
              <w:spacing w:after="0" w:line="134" w:lineRule="exact"/>
              <w:rPr>
                <w:sz w:val="20"/>
                <w:szCs w:val="20"/>
                <w:color w:val="auto"/>
              </w:rPr>
            </w:pPr>
            <w:r>
              <w:rPr>
                <w:rFonts w:ascii="Arial" w:cs="Arial" w:eastAsia="Arial" w:hAnsi="Arial"/>
                <w:sz w:val="12"/>
                <w:szCs w:val="12"/>
                <w:color w:val="auto"/>
              </w:rPr>
              <w:t>Decrease in loans to affiliates, net</w:t>
            </w:r>
          </w:p>
        </w:tc>
        <w:tc>
          <w:tcPr>
            <w:tcW w:w="2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50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4"/>
        </w:trPr>
        <w:tc>
          <w:tcPr>
            <w:tcW w:w="6140" w:type="dxa"/>
            <w:vAlign w:val="bottom"/>
          </w:tcPr>
          <w:p>
            <w:pPr>
              <w:ind w:left="140"/>
              <w:spacing w:after="0" w:line="134" w:lineRule="exact"/>
              <w:rPr>
                <w:sz w:val="20"/>
                <w:szCs w:val="20"/>
                <w:color w:val="auto"/>
              </w:rPr>
            </w:pPr>
            <w:r>
              <w:rPr>
                <w:rFonts w:ascii="Arial" w:cs="Arial" w:eastAsia="Arial" w:hAnsi="Arial"/>
                <w:sz w:val="12"/>
                <w:szCs w:val="12"/>
                <w:color w:val="auto"/>
              </w:rPr>
              <w:t>Decrease in restricted cash</w:t>
            </w:r>
          </w:p>
        </w:tc>
        <w:tc>
          <w:tcPr>
            <w:tcW w:w="2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109</w:t>
            </w:r>
          </w:p>
        </w:tc>
        <w:tc>
          <w:tcPr>
            <w:tcW w:w="50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44"/>
        </w:trPr>
        <w:tc>
          <w:tcPr>
            <w:tcW w:w="6140" w:type="dxa"/>
            <w:vAlign w:val="bottom"/>
          </w:tcPr>
          <w:p>
            <w:pPr>
              <w:ind w:left="140"/>
              <w:spacing w:after="0"/>
              <w:rPr>
                <w:sz w:val="20"/>
                <w:szCs w:val="20"/>
                <w:color w:val="auto"/>
              </w:rPr>
            </w:pPr>
            <w:r>
              <w:rPr>
                <w:rFonts w:ascii="Arial" w:cs="Arial" w:eastAsia="Arial" w:hAnsi="Arial"/>
                <w:sz w:val="12"/>
                <w:szCs w:val="12"/>
                <w:color w:val="auto"/>
              </w:rPr>
              <w:t>Increase in restricted cash</w:t>
            </w:r>
          </w:p>
        </w:tc>
        <w:tc>
          <w:tcPr>
            <w:tcW w:w="244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(311)</w:t>
            </w: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35"/>
        </w:trPr>
        <w:tc>
          <w:tcPr>
            <w:tcW w:w="6140" w:type="dxa"/>
            <w:vAlign w:val="bottom"/>
          </w:tcPr>
          <w:p>
            <w:pPr>
              <w:ind w:left="280"/>
              <w:spacing w:after="0" w:line="134" w:lineRule="exact"/>
              <w:rPr>
                <w:sz w:val="20"/>
                <w:szCs w:val="20"/>
                <w:color w:val="auto"/>
              </w:rPr>
            </w:pPr>
            <w:r>
              <w:rPr>
                <w:rFonts w:ascii="Arial" w:cs="Arial" w:eastAsia="Arial" w:hAnsi="Arial"/>
                <w:sz w:val="12"/>
                <w:szCs w:val="12"/>
                <w:color w:val="auto"/>
              </w:rPr>
              <w:t>Net cash used in investing activities</w:t>
            </w:r>
          </w:p>
        </w:tc>
        <w:tc>
          <w:tcPr>
            <w:tcW w:w="24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(552)</w:t>
            </w:r>
          </w:p>
        </w:tc>
        <w:tc>
          <w:tcPr>
            <w:tcW w:w="5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(300)</w:t>
            </w:r>
          </w:p>
        </w:tc>
        <w:tc>
          <w:tcPr>
            <w:tcW w:w="0" w:type="dxa"/>
            <w:vAlign w:val="bottom"/>
          </w:tcPr>
          <w:p>
            <w:pPr>
              <w:spacing w:after="0"/>
              <w:rPr>
                <w:sz w:val="1"/>
                <w:szCs w:val="1"/>
                <w:color w:val="auto"/>
              </w:rPr>
            </w:pPr>
          </w:p>
        </w:tc>
      </w:tr>
      <w:tr>
        <w:trPr>
          <w:trHeight w:val="281"/>
        </w:trPr>
        <w:tc>
          <w:tcPr>
            <w:tcW w:w="6140" w:type="dxa"/>
            <w:vAlign w:val="bottom"/>
          </w:tcPr>
          <w:p>
            <w:pPr>
              <w:spacing w:after="0"/>
              <w:rPr>
                <w:sz w:val="20"/>
                <w:szCs w:val="20"/>
                <w:color w:val="auto"/>
              </w:rPr>
            </w:pPr>
            <w:r>
              <w:rPr>
                <w:rFonts w:ascii="Arial" w:cs="Arial" w:eastAsia="Arial" w:hAnsi="Arial"/>
                <w:sz w:val="12"/>
                <w:szCs w:val="12"/>
                <w:color w:val="auto"/>
              </w:rPr>
              <w:t>CASH FLOWS FROM FINANCING ACTIVITIES</w:t>
            </w:r>
          </w:p>
        </w:tc>
        <w:tc>
          <w:tcPr>
            <w:tcW w:w="2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140" w:type="dxa"/>
            <w:vAlign w:val="bottom"/>
          </w:tcPr>
          <w:p>
            <w:pPr>
              <w:ind w:left="140"/>
              <w:spacing w:after="0" w:line="134" w:lineRule="exact"/>
              <w:rPr>
                <w:sz w:val="20"/>
                <w:szCs w:val="20"/>
                <w:color w:val="auto"/>
              </w:rPr>
            </w:pPr>
            <w:r>
              <w:rPr>
                <w:rFonts w:ascii="Arial" w:cs="Arial" w:eastAsia="Arial" w:hAnsi="Arial"/>
                <w:sz w:val="12"/>
                <w:szCs w:val="12"/>
                <w:color w:val="auto"/>
              </w:rPr>
              <w:t>Capital contribution</w:t>
            </w:r>
          </w:p>
        </w:tc>
        <w:tc>
          <w:tcPr>
            <w:tcW w:w="2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200</w:t>
            </w:r>
          </w:p>
        </w:tc>
        <w:tc>
          <w:tcPr>
            <w:tcW w:w="50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6140" w:type="dxa"/>
            <w:vAlign w:val="bottom"/>
          </w:tcPr>
          <w:p>
            <w:pPr>
              <w:ind w:left="140"/>
              <w:spacing w:after="0" w:line="134" w:lineRule="exact"/>
              <w:rPr>
                <w:sz w:val="20"/>
                <w:szCs w:val="20"/>
                <w:color w:val="auto"/>
              </w:rPr>
            </w:pPr>
            <w:r>
              <w:rPr>
                <w:rFonts w:ascii="Arial" w:cs="Arial" w:eastAsia="Arial" w:hAnsi="Arial"/>
                <w:sz w:val="12"/>
                <w:szCs w:val="12"/>
                <w:color w:val="auto"/>
              </w:rPr>
              <w:t>Preferred dividends paid</w:t>
            </w:r>
          </w:p>
        </w:tc>
        <w:tc>
          <w:tcPr>
            <w:tcW w:w="2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c>
          <w:tcPr>
            <w:tcW w:w="50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4"/>
        </w:trPr>
        <w:tc>
          <w:tcPr>
            <w:tcW w:w="6140" w:type="dxa"/>
            <w:vAlign w:val="bottom"/>
          </w:tcPr>
          <w:p>
            <w:pPr>
              <w:ind w:left="140"/>
              <w:spacing w:after="0" w:line="134" w:lineRule="exact"/>
              <w:rPr>
                <w:sz w:val="20"/>
                <w:szCs w:val="20"/>
                <w:color w:val="auto"/>
              </w:rPr>
            </w:pPr>
            <w:r>
              <w:rPr>
                <w:rFonts w:ascii="Arial" w:cs="Arial" w:eastAsia="Arial" w:hAnsi="Arial"/>
                <w:sz w:val="12"/>
                <w:szCs w:val="12"/>
                <w:color w:val="auto"/>
              </w:rPr>
              <w:t>Issuances of long-term debt</w:t>
            </w:r>
          </w:p>
        </w:tc>
        <w:tc>
          <w:tcPr>
            <w:tcW w:w="2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50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4"/>
        </w:trPr>
        <w:tc>
          <w:tcPr>
            <w:tcW w:w="6140" w:type="dxa"/>
            <w:vAlign w:val="bottom"/>
          </w:tcPr>
          <w:p>
            <w:pPr>
              <w:ind w:left="140"/>
              <w:spacing w:after="0" w:line="134" w:lineRule="exact"/>
              <w:rPr>
                <w:sz w:val="20"/>
                <w:szCs w:val="20"/>
                <w:color w:val="auto"/>
              </w:rPr>
            </w:pPr>
            <w:r>
              <w:rPr>
                <w:rFonts w:ascii="Arial" w:cs="Arial" w:eastAsia="Arial" w:hAnsi="Arial"/>
                <w:sz w:val="12"/>
                <w:szCs w:val="12"/>
                <w:color w:val="auto"/>
              </w:rPr>
              <w:t>Payments on long-term debt</w:t>
            </w:r>
          </w:p>
        </w:tc>
        <w:tc>
          <w:tcPr>
            <w:tcW w:w="2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(3)</w:t>
            </w:r>
          </w:p>
        </w:tc>
        <w:tc>
          <w:tcPr>
            <w:tcW w:w="50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4"/>
        </w:trPr>
        <w:tc>
          <w:tcPr>
            <w:tcW w:w="6140" w:type="dxa"/>
            <w:vAlign w:val="bottom"/>
          </w:tcPr>
          <w:p>
            <w:pPr>
              <w:ind w:left="140"/>
              <w:spacing w:after="0"/>
              <w:rPr>
                <w:sz w:val="20"/>
                <w:szCs w:val="20"/>
                <w:color w:val="auto"/>
              </w:rPr>
            </w:pPr>
            <w:r>
              <w:rPr>
                <w:rFonts w:ascii="Arial" w:cs="Arial" w:eastAsia="Arial" w:hAnsi="Arial"/>
                <w:sz w:val="12"/>
                <w:szCs w:val="12"/>
                <w:color w:val="auto"/>
              </w:rPr>
              <w:t>Increase in short-term debt, net</w:t>
            </w:r>
          </w:p>
        </w:tc>
        <w:tc>
          <w:tcPr>
            <w:tcW w:w="244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35"/>
        </w:trPr>
        <w:tc>
          <w:tcPr>
            <w:tcW w:w="6140" w:type="dxa"/>
            <w:vAlign w:val="bottom"/>
          </w:tcPr>
          <w:p>
            <w:pPr>
              <w:ind w:left="280"/>
              <w:spacing w:after="0" w:line="134" w:lineRule="exact"/>
              <w:rPr>
                <w:sz w:val="20"/>
                <w:szCs w:val="20"/>
                <w:color w:val="auto"/>
              </w:rPr>
            </w:pPr>
            <w:r>
              <w:rPr>
                <w:rFonts w:ascii="Arial" w:cs="Arial" w:eastAsia="Arial" w:hAnsi="Arial"/>
                <w:sz w:val="12"/>
                <w:szCs w:val="12"/>
                <w:color w:val="auto"/>
              </w:rPr>
              <w:t>Net cash provided by financing activities</w:t>
            </w:r>
          </w:p>
        </w:tc>
        <w:tc>
          <w:tcPr>
            <w:tcW w:w="24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196</w:t>
            </w:r>
          </w:p>
        </w:tc>
        <w:tc>
          <w:tcPr>
            <w:tcW w:w="5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260"/>
        </w:trPr>
        <w:tc>
          <w:tcPr>
            <w:tcW w:w="6140" w:type="dxa"/>
            <w:vAlign w:val="bottom"/>
          </w:tcPr>
          <w:p>
            <w:pPr>
              <w:spacing w:after="0"/>
              <w:rPr>
                <w:sz w:val="20"/>
                <w:szCs w:val="20"/>
                <w:color w:val="auto"/>
              </w:rPr>
            </w:pPr>
            <w:r>
              <w:rPr>
                <w:rFonts w:ascii="Arial" w:cs="Arial" w:eastAsia="Arial" w:hAnsi="Arial"/>
                <w:sz w:val="12"/>
                <w:szCs w:val="12"/>
                <w:color w:val="auto"/>
              </w:rPr>
              <w:t>Increase in cash and cash equivalents</w:t>
            </w:r>
          </w:p>
        </w:tc>
        <w:tc>
          <w:tcPr>
            <w:tcW w:w="2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145</w:t>
            </w:r>
          </w:p>
        </w:tc>
        <w:tc>
          <w:tcPr>
            <w:tcW w:w="5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4"/>
        </w:trPr>
        <w:tc>
          <w:tcPr>
            <w:tcW w:w="6140" w:type="dxa"/>
            <w:vAlign w:val="bottom"/>
          </w:tcPr>
          <w:p>
            <w:pPr>
              <w:spacing w:after="0"/>
              <w:rPr>
                <w:sz w:val="20"/>
                <w:szCs w:val="20"/>
                <w:color w:val="auto"/>
              </w:rPr>
            </w:pPr>
            <w:r>
              <w:rPr>
                <w:rFonts w:ascii="Arial" w:cs="Arial" w:eastAsia="Arial" w:hAnsi="Arial"/>
                <w:sz w:val="12"/>
                <w:szCs w:val="12"/>
                <w:color w:val="auto"/>
              </w:rPr>
              <w:t>Cash and cash equivalents, January 1</w:t>
            </w:r>
          </w:p>
        </w:tc>
        <w:tc>
          <w:tcPr>
            <w:tcW w:w="244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w:t>
            </w: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35"/>
        </w:trPr>
        <w:tc>
          <w:tcPr>
            <w:tcW w:w="6140" w:type="dxa"/>
            <w:vAlign w:val="bottom"/>
          </w:tcPr>
          <w:p>
            <w:pPr>
              <w:spacing w:after="0" w:line="134" w:lineRule="exact"/>
              <w:rPr>
                <w:sz w:val="20"/>
                <w:szCs w:val="20"/>
                <w:color w:val="auto"/>
              </w:rPr>
            </w:pPr>
            <w:r>
              <w:rPr>
                <w:rFonts w:ascii="Arial" w:cs="Arial" w:eastAsia="Arial" w:hAnsi="Arial"/>
                <w:sz w:val="12"/>
                <w:szCs w:val="12"/>
                <w:color w:val="auto"/>
              </w:rPr>
              <w:t>Cash and cash equivalents, March 31</w:t>
            </w:r>
          </w:p>
        </w:tc>
        <w:tc>
          <w:tcPr>
            <w:tcW w:w="2440" w:type="dxa"/>
            <w:vAlign w:val="bottom"/>
          </w:tcPr>
          <w:p>
            <w:pPr>
              <w:spacing w:after="0"/>
              <w:rPr>
                <w:sz w:val="11"/>
                <w:szCs w:val="11"/>
                <w:color w:val="auto"/>
              </w:rPr>
            </w:pPr>
          </w:p>
        </w:tc>
        <w:tc>
          <w:tcPr>
            <w:tcW w:w="900" w:type="dxa"/>
            <w:vAlign w:val="bottom"/>
            <w:tcBorders>
              <w:bottom w:val="single" w:sz="8" w:color="auto"/>
            </w:tcBorders>
          </w:tcPr>
          <w:p>
            <w:pPr>
              <w:jc w:val="right"/>
              <w:ind w:right="78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272</w:t>
            </w:r>
          </w:p>
        </w:tc>
        <w:tc>
          <w:tcPr>
            <w:tcW w:w="500" w:type="dxa"/>
            <w:vAlign w:val="bottom"/>
            <w:tcBorders>
              <w:bottom w:val="single" w:sz="8" w:color="auto"/>
            </w:tcBorders>
          </w:tcPr>
          <w:p>
            <w:pPr>
              <w:jc w:val="right"/>
              <w:ind w:right="388"/>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260"/>
        </w:trPr>
        <w:tc>
          <w:tcPr>
            <w:tcW w:w="6140" w:type="dxa"/>
            <w:vAlign w:val="bottom"/>
          </w:tcPr>
          <w:p>
            <w:pPr>
              <w:spacing w:after="0"/>
              <w:rPr>
                <w:sz w:val="20"/>
                <w:szCs w:val="20"/>
                <w:color w:val="auto"/>
              </w:rPr>
            </w:pPr>
            <w:r>
              <w:rPr>
                <w:rFonts w:ascii="Arial" w:cs="Arial" w:eastAsia="Arial" w:hAnsi="Arial"/>
                <w:sz w:val="12"/>
                <w:szCs w:val="12"/>
                <w:color w:val="auto"/>
              </w:rPr>
              <w:t>SUPPLEMENTAL DISCLOSURE OF CASH FLOW INFORMATION</w:t>
            </w:r>
          </w:p>
        </w:tc>
        <w:tc>
          <w:tcPr>
            <w:tcW w:w="2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6140" w:type="dxa"/>
            <w:vAlign w:val="bottom"/>
          </w:tcPr>
          <w:p>
            <w:pPr>
              <w:ind w:left="140"/>
              <w:spacing w:after="0" w:line="134" w:lineRule="exact"/>
              <w:rPr>
                <w:sz w:val="20"/>
                <w:szCs w:val="20"/>
                <w:color w:val="auto"/>
              </w:rPr>
            </w:pPr>
            <w:r>
              <w:rPr>
                <w:rFonts w:ascii="Arial" w:cs="Arial" w:eastAsia="Arial" w:hAnsi="Arial"/>
                <w:sz w:val="12"/>
                <w:szCs w:val="12"/>
                <w:color w:val="auto"/>
              </w:rPr>
              <w:t>Interest payments, net of amounts capitalized</w:t>
            </w:r>
          </w:p>
        </w:tc>
        <w:tc>
          <w:tcPr>
            <w:tcW w:w="3340" w:type="dxa"/>
            <w:vAlign w:val="bottom"/>
            <w:gridSpan w:val="2"/>
          </w:tcPr>
          <w:p>
            <w:pPr>
              <w:jc w:val="right"/>
              <w:ind w:right="788"/>
              <w:spacing w:after="0" w:line="134"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17</w:t>
            </w:r>
          </w:p>
        </w:tc>
        <w:tc>
          <w:tcPr>
            <w:tcW w:w="500" w:type="dxa"/>
            <w:vAlign w:val="bottom"/>
          </w:tcPr>
          <w:p>
            <w:pPr>
              <w:jc w:val="right"/>
              <w:ind w:right="388"/>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8"/>
        </w:trPr>
        <w:tc>
          <w:tcPr>
            <w:tcW w:w="6140" w:type="dxa"/>
            <w:vAlign w:val="bottom"/>
          </w:tcPr>
          <w:p>
            <w:pPr>
              <w:ind w:left="140"/>
              <w:spacing w:after="0"/>
              <w:rPr>
                <w:sz w:val="20"/>
                <w:szCs w:val="20"/>
                <w:color w:val="auto"/>
              </w:rPr>
            </w:pPr>
            <w:r>
              <w:rPr>
                <w:rFonts w:ascii="Arial" w:cs="Arial" w:eastAsia="Arial" w:hAnsi="Arial"/>
                <w:sz w:val="12"/>
                <w:szCs w:val="12"/>
                <w:color w:val="auto"/>
              </w:rPr>
              <w:t>Income tax payments (refunds), net</w:t>
            </w:r>
          </w:p>
        </w:tc>
        <w:tc>
          <w:tcPr>
            <w:tcW w:w="2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24</w:t>
            </w:r>
          </w:p>
        </w:tc>
        <w:tc>
          <w:tcPr>
            <w:tcW w:w="5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255"/>
        </w:trPr>
        <w:tc>
          <w:tcPr>
            <w:tcW w:w="6140" w:type="dxa"/>
            <w:vAlign w:val="bottom"/>
          </w:tcPr>
          <w:p>
            <w:pPr>
              <w:spacing w:after="0"/>
              <w:rPr>
                <w:sz w:val="20"/>
                <w:szCs w:val="20"/>
                <w:color w:val="auto"/>
              </w:rPr>
            </w:pPr>
            <w:r>
              <w:rPr>
                <w:rFonts w:ascii="Arial" w:cs="Arial" w:eastAsia="Arial" w:hAnsi="Arial"/>
                <w:sz w:val="12"/>
                <w:szCs w:val="12"/>
                <w:color w:val="auto"/>
              </w:rPr>
              <w:t>SUPPLEMENTAL DISCLOSURE OF NONCASH ACTIVITIES</w:t>
            </w:r>
          </w:p>
        </w:tc>
        <w:tc>
          <w:tcPr>
            <w:tcW w:w="2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6140" w:type="dxa"/>
            <w:vAlign w:val="bottom"/>
          </w:tcPr>
          <w:p>
            <w:pPr>
              <w:ind w:left="140"/>
              <w:spacing w:after="0" w:line="134" w:lineRule="exact"/>
              <w:rPr>
                <w:sz w:val="20"/>
                <w:szCs w:val="20"/>
                <w:color w:val="auto"/>
              </w:rPr>
            </w:pPr>
            <w:r>
              <w:rPr>
                <w:rFonts w:ascii="Arial" w:cs="Arial" w:eastAsia="Arial" w:hAnsi="Arial"/>
                <w:sz w:val="12"/>
                <w:szCs w:val="12"/>
                <w:color w:val="auto"/>
              </w:rPr>
              <w:t>Accrued capital expenditures</w:t>
            </w:r>
          </w:p>
        </w:tc>
        <w:tc>
          <w:tcPr>
            <w:tcW w:w="3340" w:type="dxa"/>
            <w:vAlign w:val="bottom"/>
            <w:gridSpan w:val="2"/>
          </w:tcPr>
          <w:p>
            <w:pPr>
              <w:jc w:val="right"/>
              <w:ind w:right="788"/>
              <w:spacing w:after="0" w:line="134"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145</w:t>
            </w:r>
          </w:p>
        </w:tc>
        <w:tc>
          <w:tcPr>
            <w:tcW w:w="500" w:type="dxa"/>
            <w:vAlign w:val="bottom"/>
          </w:tcPr>
          <w:p>
            <w:pPr>
              <w:jc w:val="right"/>
              <w:ind w:right="388"/>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48"/>
        </w:trPr>
        <w:tc>
          <w:tcPr>
            <w:tcW w:w="6140" w:type="dxa"/>
            <w:vAlign w:val="bottom"/>
          </w:tcPr>
          <w:p>
            <w:pPr>
              <w:ind w:left="140"/>
              <w:spacing w:after="0"/>
              <w:rPr>
                <w:sz w:val="20"/>
                <w:szCs w:val="20"/>
                <w:color w:val="auto"/>
              </w:rPr>
            </w:pPr>
            <w:r>
              <w:rPr>
                <w:rFonts w:ascii="Arial" w:cs="Arial" w:eastAsia="Arial" w:hAnsi="Arial"/>
                <w:sz w:val="12"/>
                <w:szCs w:val="12"/>
                <w:color w:val="auto"/>
              </w:rPr>
              <w:t>Dividends declared but not paid</w:t>
            </w:r>
          </w:p>
        </w:tc>
        <w:tc>
          <w:tcPr>
            <w:tcW w:w="2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w:t>
            </w:r>
          </w:p>
        </w:tc>
        <w:tc>
          <w:tcPr>
            <w:tcW w:w="5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279005"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See Notes to Condensed Consolidated Financial Statements.</w:t>
      </w:r>
    </w:p>
    <w:p>
      <w:pPr>
        <w:sectPr>
          <w:pgSz w:w="11900" w:h="16838" w:orient="portrait"/>
          <w:cols w:equalWidth="0" w:num="1">
            <w:col w:w="11460"/>
          </w:cols>
          <w:pgMar w:left="220" w:top="427" w:right="21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color w:val="auto"/>
        </w:rPr>
        <w:t>PACIFIC ENTERPRISES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255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9005" cy="25590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(Dollars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66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Three months ended March 31,</w:t>
            </w:r>
          </w:p>
        </w:tc>
        <w:tc>
          <w:tcPr>
            <w:tcW w:w="1120" w:type="dxa"/>
            <w:vAlign w:val="bottom"/>
            <w:tcBorders>
              <w:bottom w:val="single" w:sz="8" w:color="auto"/>
            </w:tcBorders>
          </w:tcPr>
          <w:p>
            <w:pPr>
              <w:spacing w:after="0"/>
              <w:rPr>
                <w:sz w:val="11"/>
                <w:szCs w:val="11"/>
                <w:color w:val="auto"/>
              </w:rPr>
            </w:pPr>
          </w:p>
        </w:tc>
      </w:tr>
      <w:tr>
        <w:trPr>
          <w:trHeight w:val="135"/>
        </w:trPr>
        <w:tc>
          <w:tcPr>
            <w:tcW w:w="76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2011</w:t>
            </w:r>
          </w:p>
        </w:tc>
        <w:tc>
          <w:tcPr>
            <w:tcW w:w="8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778"/>
              <w:spacing w:after="0"/>
              <w:rPr>
                <w:sz w:val="20"/>
                <w:szCs w:val="20"/>
                <w:color w:val="auto"/>
              </w:rPr>
            </w:pPr>
            <w:r>
              <w:rPr>
                <w:rFonts w:ascii="Arial" w:cs="Arial" w:eastAsia="Arial" w:hAnsi="Arial"/>
                <w:sz w:val="11"/>
                <w:szCs w:val="11"/>
                <w:color w:val="auto"/>
              </w:rPr>
              <w:t>2010</w:t>
            </w:r>
          </w:p>
        </w:tc>
      </w:tr>
      <w:tr>
        <w:trPr>
          <w:trHeight w:val="146"/>
        </w:trPr>
        <w:tc>
          <w:tcPr>
            <w:tcW w:w="7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0" w:type="dxa"/>
            <w:vAlign w:val="bottom"/>
            <w:gridSpan w:val="2"/>
          </w:tcPr>
          <w:p>
            <w:pPr>
              <w:jc w:val="right"/>
              <w:ind w:right="448"/>
              <w:spacing w:after="0"/>
              <w:rPr>
                <w:sz w:val="20"/>
                <w:szCs w:val="20"/>
                <w:color w:val="auto"/>
              </w:rPr>
            </w:pPr>
            <w:r>
              <w:rPr>
                <w:rFonts w:ascii="Arial" w:cs="Arial" w:eastAsia="Arial" w:hAnsi="Arial"/>
                <w:sz w:val="11"/>
                <w:szCs w:val="11"/>
                <w:color w:val="auto"/>
              </w:rPr>
              <w:t>(unaudited)</w:t>
            </w:r>
          </w:p>
        </w:tc>
        <w:tc>
          <w:tcPr>
            <w:tcW w:w="1120" w:type="dxa"/>
            <w:vAlign w:val="bottom"/>
          </w:tcPr>
          <w:p>
            <w:pPr>
              <w:spacing w:after="0"/>
              <w:rPr>
                <w:sz w:val="12"/>
                <w:szCs w:val="12"/>
                <w:color w:val="auto"/>
              </w:rPr>
            </w:pPr>
          </w:p>
        </w:tc>
      </w:tr>
      <w:tr>
        <w:trPr>
          <w:trHeight w:val="258"/>
        </w:trPr>
        <w:tc>
          <w:tcPr>
            <w:tcW w:w="7660" w:type="dxa"/>
            <w:vAlign w:val="bottom"/>
          </w:tcPr>
          <w:p>
            <w:pPr>
              <w:spacing w:after="0"/>
              <w:rPr>
                <w:sz w:val="20"/>
                <w:szCs w:val="20"/>
                <w:color w:val="auto"/>
              </w:rPr>
            </w:pPr>
            <w:r>
              <w:rPr>
                <w:rFonts w:ascii="Arial" w:cs="Arial" w:eastAsia="Arial" w:hAnsi="Arial"/>
                <w:sz w:val="12"/>
                <w:szCs w:val="12"/>
                <w:color w:val="auto"/>
              </w:rPr>
              <w:t>Operating revenues</w:t>
            </w:r>
          </w:p>
        </w:tc>
        <w:tc>
          <w:tcPr>
            <w:tcW w:w="1080" w:type="dxa"/>
            <w:vAlign w:val="bottom"/>
            <w:tcBorders>
              <w:bottom w:val="single" w:sz="8" w:color="auto"/>
            </w:tcBorders>
          </w:tcPr>
          <w:p>
            <w:pPr>
              <w:jc w:val="right"/>
              <w:ind w:right="967"/>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1,056</w:t>
            </w:r>
          </w:p>
        </w:tc>
        <w:tc>
          <w:tcPr>
            <w:tcW w:w="78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1,182</w:t>
            </w:r>
          </w:p>
        </w:tc>
      </w:tr>
      <w:tr>
        <w:trPr>
          <w:trHeight w:val="125"/>
        </w:trPr>
        <w:tc>
          <w:tcPr>
            <w:tcW w:w="7660" w:type="dxa"/>
            <w:vAlign w:val="bottom"/>
          </w:tcPr>
          <w:p>
            <w:pPr>
              <w:spacing w:after="0" w:line="126" w:lineRule="exact"/>
              <w:rPr>
                <w:sz w:val="20"/>
                <w:szCs w:val="20"/>
                <w:color w:val="auto"/>
              </w:rPr>
            </w:pPr>
            <w:r>
              <w:rPr>
                <w:rFonts w:ascii="Arial" w:cs="Arial" w:eastAsia="Arial" w:hAnsi="Arial"/>
                <w:sz w:val="12"/>
                <w:szCs w:val="12"/>
                <w:color w:val="auto"/>
              </w:rPr>
              <w:t>Operating expenses</w:t>
            </w:r>
          </w:p>
        </w:tc>
        <w:tc>
          <w:tcPr>
            <w:tcW w:w="10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34"/>
        </w:trPr>
        <w:tc>
          <w:tcPr>
            <w:tcW w:w="7660" w:type="dxa"/>
            <w:vAlign w:val="bottom"/>
          </w:tcPr>
          <w:p>
            <w:pPr>
              <w:ind w:left="140"/>
              <w:spacing w:after="0" w:line="134" w:lineRule="exact"/>
              <w:rPr>
                <w:sz w:val="20"/>
                <w:szCs w:val="20"/>
                <w:color w:val="auto"/>
              </w:rPr>
            </w:pPr>
            <w:r>
              <w:rPr>
                <w:rFonts w:ascii="Arial" w:cs="Arial" w:eastAsia="Arial" w:hAnsi="Arial"/>
                <w:sz w:val="12"/>
                <w:szCs w:val="12"/>
                <w:color w:val="auto"/>
              </w:rPr>
              <w:t>Cost of natural gas</w:t>
            </w:r>
          </w:p>
        </w:tc>
        <w:tc>
          <w:tcPr>
            <w:tcW w:w="108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Arial" w:cs="Arial" w:eastAsia="Arial" w:hAnsi="Arial"/>
                <w:sz w:val="12"/>
                <w:szCs w:val="12"/>
                <w:color w:val="auto"/>
              </w:rPr>
              <w:t>531</w:t>
            </w:r>
          </w:p>
        </w:tc>
        <w:tc>
          <w:tcPr>
            <w:tcW w:w="78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Arial" w:cs="Arial" w:eastAsia="Arial" w:hAnsi="Arial"/>
                <w:sz w:val="12"/>
                <w:szCs w:val="12"/>
                <w:color w:val="auto"/>
              </w:rPr>
              <w:t>674</w:t>
            </w:r>
          </w:p>
        </w:tc>
      </w:tr>
      <w:tr>
        <w:trPr>
          <w:trHeight w:val="134"/>
        </w:trPr>
        <w:tc>
          <w:tcPr>
            <w:tcW w:w="7660" w:type="dxa"/>
            <w:vAlign w:val="bottom"/>
          </w:tcPr>
          <w:p>
            <w:pPr>
              <w:ind w:left="140"/>
              <w:spacing w:after="0" w:line="134" w:lineRule="exact"/>
              <w:rPr>
                <w:sz w:val="20"/>
                <w:szCs w:val="20"/>
                <w:color w:val="auto"/>
              </w:rPr>
            </w:pPr>
            <w:r>
              <w:rPr>
                <w:rFonts w:ascii="Arial" w:cs="Arial" w:eastAsia="Arial" w:hAnsi="Arial"/>
                <w:sz w:val="12"/>
                <w:szCs w:val="12"/>
                <w:color w:val="auto"/>
              </w:rPr>
              <w:t>Operation and maintenance</w:t>
            </w:r>
          </w:p>
        </w:tc>
        <w:tc>
          <w:tcPr>
            <w:tcW w:w="108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Arial" w:cs="Arial" w:eastAsia="Arial" w:hAnsi="Arial"/>
                <w:sz w:val="12"/>
                <w:szCs w:val="12"/>
                <w:color w:val="auto"/>
              </w:rPr>
              <w:t>288</w:t>
            </w:r>
          </w:p>
        </w:tc>
        <w:tc>
          <w:tcPr>
            <w:tcW w:w="78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Arial" w:cs="Arial" w:eastAsia="Arial" w:hAnsi="Arial"/>
                <w:sz w:val="12"/>
                <w:szCs w:val="12"/>
                <w:color w:val="auto"/>
              </w:rPr>
              <w:t>261</w:t>
            </w:r>
          </w:p>
        </w:tc>
      </w:tr>
      <w:tr>
        <w:trPr>
          <w:trHeight w:val="134"/>
        </w:trPr>
        <w:tc>
          <w:tcPr>
            <w:tcW w:w="7660" w:type="dxa"/>
            <w:vAlign w:val="bottom"/>
          </w:tcPr>
          <w:p>
            <w:pPr>
              <w:ind w:left="140"/>
              <w:spacing w:after="0" w:line="134" w:lineRule="exact"/>
              <w:rPr>
                <w:sz w:val="20"/>
                <w:szCs w:val="20"/>
                <w:color w:val="auto"/>
              </w:rPr>
            </w:pPr>
            <w:r>
              <w:rPr>
                <w:rFonts w:ascii="Arial" w:cs="Arial" w:eastAsia="Arial" w:hAnsi="Arial"/>
                <w:sz w:val="12"/>
                <w:szCs w:val="12"/>
                <w:color w:val="auto"/>
              </w:rPr>
              <w:t>Depreciation</w:t>
            </w:r>
          </w:p>
        </w:tc>
        <w:tc>
          <w:tcPr>
            <w:tcW w:w="108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Arial" w:cs="Arial" w:eastAsia="Arial" w:hAnsi="Arial"/>
                <w:sz w:val="12"/>
                <w:szCs w:val="12"/>
                <w:color w:val="auto"/>
              </w:rPr>
              <w:t>81</w:t>
            </w:r>
          </w:p>
        </w:tc>
        <w:tc>
          <w:tcPr>
            <w:tcW w:w="78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Arial" w:cs="Arial" w:eastAsia="Arial" w:hAnsi="Arial"/>
                <w:sz w:val="12"/>
                <w:szCs w:val="12"/>
                <w:color w:val="auto"/>
              </w:rPr>
              <w:t>75</w:t>
            </w:r>
          </w:p>
        </w:tc>
      </w:tr>
      <w:tr>
        <w:trPr>
          <w:trHeight w:val="144"/>
        </w:trPr>
        <w:tc>
          <w:tcPr>
            <w:tcW w:w="7660" w:type="dxa"/>
            <w:vAlign w:val="bottom"/>
          </w:tcPr>
          <w:p>
            <w:pPr>
              <w:ind w:left="140"/>
              <w:spacing w:after="0"/>
              <w:rPr>
                <w:sz w:val="20"/>
                <w:szCs w:val="20"/>
                <w:color w:val="auto"/>
              </w:rPr>
            </w:pPr>
            <w:r>
              <w:rPr>
                <w:rFonts w:ascii="Arial" w:cs="Arial" w:eastAsia="Arial" w:hAnsi="Arial"/>
                <w:sz w:val="12"/>
                <w:szCs w:val="12"/>
                <w:color w:val="auto"/>
              </w:rPr>
              <w:t>Franchise fees and other taxes</w:t>
            </w:r>
          </w:p>
        </w:tc>
        <w:tc>
          <w:tcPr>
            <w:tcW w:w="10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w:t>
            </w:r>
          </w:p>
        </w:tc>
        <w:tc>
          <w:tcPr>
            <w:tcW w:w="7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w:t>
            </w:r>
          </w:p>
        </w:tc>
      </w:tr>
      <w:tr>
        <w:trPr>
          <w:trHeight w:val="135"/>
        </w:trPr>
        <w:tc>
          <w:tcPr>
            <w:tcW w:w="7660" w:type="dxa"/>
            <w:vAlign w:val="bottom"/>
          </w:tcPr>
          <w:p>
            <w:pPr>
              <w:ind w:left="280"/>
              <w:spacing w:after="0" w:line="134" w:lineRule="exact"/>
              <w:rPr>
                <w:sz w:val="20"/>
                <w:szCs w:val="20"/>
                <w:color w:val="auto"/>
              </w:rPr>
            </w:pPr>
            <w:r>
              <w:rPr>
                <w:rFonts w:ascii="Arial" w:cs="Arial" w:eastAsia="Arial" w:hAnsi="Arial"/>
                <w:sz w:val="12"/>
                <w:szCs w:val="12"/>
                <w:color w:val="auto"/>
              </w:rPr>
              <w:t>Total operating expenses</w:t>
            </w:r>
          </w:p>
        </w:tc>
        <w:tc>
          <w:tcPr>
            <w:tcW w:w="10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937</w:t>
            </w:r>
          </w:p>
        </w:tc>
        <w:tc>
          <w:tcPr>
            <w:tcW w:w="7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1,047</w:t>
            </w:r>
          </w:p>
        </w:tc>
      </w:tr>
      <w:tr>
        <w:trPr>
          <w:trHeight w:val="125"/>
        </w:trPr>
        <w:tc>
          <w:tcPr>
            <w:tcW w:w="7660" w:type="dxa"/>
            <w:vAlign w:val="bottom"/>
          </w:tcPr>
          <w:p>
            <w:pPr>
              <w:spacing w:after="0" w:line="126" w:lineRule="exact"/>
              <w:rPr>
                <w:sz w:val="20"/>
                <w:szCs w:val="20"/>
                <w:color w:val="auto"/>
              </w:rPr>
            </w:pPr>
            <w:r>
              <w:rPr>
                <w:rFonts w:ascii="Arial" w:cs="Arial" w:eastAsia="Arial" w:hAnsi="Arial"/>
                <w:sz w:val="12"/>
                <w:szCs w:val="12"/>
                <w:color w:val="auto"/>
              </w:rPr>
              <w:t>Operating income</w:t>
            </w:r>
          </w:p>
        </w:tc>
        <w:tc>
          <w:tcPr>
            <w:tcW w:w="108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119</w:t>
            </w:r>
          </w:p>
        </w:tc>
        <w:tc>
          <w:tcPr>
            <w:tcW w:w="780" w:type="dxa"/>
            <w:vAlign w:val="bottom"/>
          </w:tcPr>
          <w:p>
            <w:pPr>
              <w:spacing w:after="0"/>
              <w:rPr>
                <w:sz w:val="10"/>
                <w:szCs w:val="10"/>
                <w:color w:val="auto"/>
              </w:rPr>
            </w:pPr>
          </w:p>
        </w:tc>
        <w:tc>
          <w:tcPr>
            <w:tcW w:w="1120" w:type="dxa"/>
            <w:vAlign w:val="bottom"/>
          </w:tcPr>
          <w:p>
            <w:pPr>
              <w:jc w:val="right"/>
              <w:spacing w:after="0" w:line="126" w:lineRule="exact"/>
              <w:rPr>
                <w:sz w:val="20"/>
                <w:szCs w:val="20"/>
                <w:color w:val="auto"/>
              </w:rPr>
            </w:pPr>
            <w:r>
              <w:rPr>
                <w:rFonts w:ascii="Arial" w:cs="Arial" w:eastAsia="Arial" w:hAnsi="Arial"/>
                <w:sz w:val="12"/>
                <w:szCs w:val="12"/>
                <w:color w:val="auto"/>
              </w:rPr>
              <w:t>135</w:t>
            </w:r>
          </w:p>
        </w:tc>
      </w:tr>
      <w:tr>
        <w:trPr>
          <w:trHeight w:val="134"/>
        </w:trPr>
        <w:tc>
          <w:tcPr>
            <w:tcW w:w="7660" w:type="dxa"/>
            <w:vAlign w:val="bottom"/>
          </w:tcPr>
          <w:p>
            <w:pPr>
              <w:spacing w:after="0" w:line="134" w:lineRule="exact"/>
              <w:rPr>
                <w:sz w:val="20"/>
                <w:szCs w:val="20"/>
                <w:color w:val="auto"/>
              </w:rPr>
            </w:pPr>
            <w:r>
              <w:rPr>
                <w:rFonts w:ascii="Arial" w:cs="Arial" w:eastAsia="Arial" w:hAnsi="Arial"/>
                <w:sz w:val="12"/>
                <w:szCs w:val="12"/>
                <w:color w:val="auto"/>
              </w:rPr>
              <w:t>Other income, net</w:t>
            </w:r>
          </w:p>
        </w:tc>
        <w:tc>
          <w:tcPr>
            <w:tcW w:w="108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Arial" w:cs="Arial" w:eastAsia="Arial" w:hAnsi="Arial"/>
                <w:sz w:val="12"/>
                <w:szCs w:val="12"/>
                <w:color w:val="auto"/>
              </w:rPr>
              <w:t>3</w:t>
            </w:r>
          </w:p>
        </w:tc>
        <w:tc>
          <w:tcPr>
            <w:tcW w:w="78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Arial" w:cs="Arial" w:eastAsia="Arial" w:hAnsi="Arial"/>
                <w:sz w:val="12"/>
                <w:szCs w:val="12"/>
                <w:color w:val="auto"/>
              </w:rPr>
              <w:t>4</w:t>
            </w:r>
          </w:p>
        </w:tc>
      </w:tr>
      <w:tr>
        <w:trPr>
          <w:trHeight w:val="144"/>
        </w:trPr>
        <w:tc>
          <w:tcPr>
            <w:tcW w:w="7660" w:type="dxa"/>
            <w:vAlign w:val="bottom"/>
          </w:tcPr>
          <w:p>
            <w:pPr>
              <w:spacing w:after="0"/>
              <w:rPr>
                <w:sz w:val="20"/>
                <w:szCs w:val="20"/>
                <w:color w:val="auto"/>
              </w:rPr>
            </w:pPr>
            <w:r>
              <w:rPr>
                <w:rFonts w:ascii="Arial" w:cs="Arial" w:eastAsia="Arial" w:hAnsi="Arial"/>
                <w:sz w:val="12"/>
                <w:szCs w:val="12"/>
                <w:color w:val="auto"/>
              </w:rPr>
              <w:t>Interest expense</w:t>
            </w:r>
          </w:p>
        </w:tc>
        <w:tc>
          <w:tcPr>
            <w:tcW w:w="10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7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r>
      <w:tr>
        <w:trPr>
          <w:trHeight w:val="125"/>
        </w:trPr>
        <w:tc>
          <w:tcPr>
            <w:tcW w:w="7660" w:type="dxa"/>
            <w:vAlign w:val="bottom"/>
          </w:tcPr>
          <w:p>
            <w:pPr>
              <w:spacing w:after="0" w:line="126" w:lineRule="exact"/>
              <w:rPr>
                <w:sz w:val="20"/>
                <w:szCs w:val="20"/>
                <w:color w:val="auto"/>
              </w:rPr>
            </w:pPr>
            <w:r>
              <w:rPr>
                <w:rFonts w:ascii="Arial" w:cs="Arial" w:eastAsia="Arial" w:hAnsi="Arial"/>
                <w:sz w:val="12"/>
                <w:szCs w:val="12"/>
                <w:color w:val="auto"/>
              </w:rPr>
              <w:t>Income before income taxes</w:t>
            </w:r>
          </w:p>
        </w:tc>
        <w:tc>
          <w:tcPr>
            <w:tcW w:w="108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105</w:t>
            </w:r>
          </w:p>
        </w:tc>
        <w:tc>
          <w:tcPr>
            <w:tcW w:w="780" w:type="dxa"/>
            <w:vAlign w:val="bottom"/>
          </w:tcPr>
          <w:p>
            <w:pPr>
              <w:spacing w:after="0"/>
              <w:rPr>
                <w:sz w:val="10"/>
                <w:szCs w:val="10"/>
                <w:color w:val="auto"/>
              </w:rPr>
            </w:pPr>
          </w:p>
        </w:tc>
        <w:tc>
          <w:tcPr>
            <w:tcW w:w="1120" w:type="dxa"/>
            <w:vAlign w:val="bottom"/>
          </w:tcPr>
          <w:p>
            <w:pPr>
              <w:jc w:val="right"/>
              <w:spacing w:after="0" w:line="126" w:lineRule="exact"/>
              <w:rPr>
                <w:sz w:val="20"/>
                <w:szCs w:val="20"/>
                <w:color w:val="auto"/>
              </w:rPr>
            </w:pPr>
            <w:r>
              <w:rPr>
                <w:rFonts w:ascii="Arial" w:cs="Arial" w:eastAsia="Arial" w:hAnsi="Arial"/>
                <w:sz w:val="12"/>
                <w:szCs w:val="12"/>
                <w:color w:val="auto"/>
              </w:rPr>
              <w:t>122</w:t>
            </w:r>
          </w:p>
        </w:tc>
      </w:tr>
      <w:tr>
        <w:trPr>
          <w:trHeight w:val="144"/>
        </w:trPr>
        <w:tc>
          <w:tcPr>
            <w:tcW w:w="7660" w:type="dxa"/>
            <w:vAlign w:val="bottom"/>
          </w:tcPr>
          <w:p>
            <w:pPr>
              <w:spacing w:after="0"/>
              <w:rPr>
                <w:sz w:val="20"/>
                <w:szCs w:val="20"/>
                <w:color w:val="auto"/>
              </w:rPr>
            </w:pPr>
            <w:r>
              <w:rPr>
                <w:rFonts w:ascii="Arial" w:cs="Arial" w:eastAsia="Arial" w:hAnsi="Arial"/>
                <w:sz w:val="12"/>
                <w:szCs w:val="12"/>
                <w:color w:val="auto"/>
              </w:rPr>
              <w:t>Income tax expense</w:t>
            </w:r>
          </w:p>
        </w:tc>
        <w:tc>
          <w:tcPr>
            <w:tcW w:w="10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w:t>
            </w:r>
          </w:p>
        </w:tc>
        <w:tc>
          <w:tcPr>
            <w:tcW w:w="7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w:t>
            </w:r>
          </w:p>
        </w:tc>
      </w:tr>
      <w:tr>
        <w:trPr>
          <w:trHeight w:val="125"/>
        </w:trPr>
        <w:tc>
          <w:tcPr>
            <w:tcW w:w="7660" w:type="dxa"/>
            <w:vAlign w:val="bottom"/>
          </w:tcPr>
          <w:p>
            <w:pPr>
              <w:spacing w:after="0" w:line="126" w:lineRule="exact"/>
              <w:rPr>
                <w:sz w:val="20"/>
                <w:szCs w:val="20"/>
                <w:color w:val="auto"/>
              </w:rPr>
            </w:pPr>
            <w:r>
              <w:rPr>
                <w:rFonts w:ascii="Arial" w:cs="Arial" w:eastAsia="Arial" w:hAnsi="Arial"/>
                <w:sz w:val="12"/>
                <w:szCs w:val="12"/>
                <w:color w:val="auto"/>
              </w:rPr>
              <w:t>Net income/Earnings</w:t>
            </w:r>
          </w:p>
        </w:tc>
        <w:tc>
          <w:tcPr>
            <w:tcW w:w="108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68</w:t>
            </w:r>
          </w:p>
        </w:tc>
        <w:tc>
          <w:tcPr>
            <w:tcW w:w="780" w:type="dxa"/>
            <w:vAlign w:val="bottom"/>
          </w:tcPr>
          <w:p>
            <w:pPr>
              <w:spacing w:after="0"/>
              <w:rPr>
                <w:sz w:val="10"/>
                <w:szCs w:val="10"/>
                <w:color w:val="auto"/>
              </w:rPr>
            </w:pPr>
          </w:p>
        </w:tc>
        <w:tc>
          <w:tcPr>
            <w:tcW w:w="1120" w:type="dxa"/>
            <w:vAlign w:val="bottom"/>
          </w:tcPr>
          <w:p>
            <w:pPr>
              <w:jc w:val="right"/>
              <w:spacing w:after="0" w:line="126" w:lineRule="exact"/>
              <w:rPr>
                <w:sz w:val="20"/>
                <w:szCs w:val="20"/>
                <w:color w:val="auto"/>
              </w:rPr>
            </w:pPr>
            <w:r>
              <w:rPr>
                <w:rFonts w:ascii="Arial" w:cs="Arial" w:eastAsia="Arial" w:hAnsi="Arial"/>
                <w:sz w:val="12"/>
                <w:szCs w:val="12"/>
                <w:color w:val="auto"/>
              </w:rPr>
              <w:t>65</w:t>
            </w:r>
          </w:p>
        </w:tc>
      </w:tr>
      <w:tr>
        <w:trPr>
          <w:trHeight w:val="144"/>
        </w:trPr>
        <w:tc>
          <w:tcPr>
            <w:tcW w:w="7660" w:type="dxa"/>
            <w:vAlign w:val="bottom"/>
          </w:tcPr>
          <w:p>
            <w:pPr>
              <w:spacing w:after="0"/>
              <w:rPr>
                <w:sz w:val="20"/>
                <w:szCs w:val="20"/>
                <w:color w:val="auto"/>
              </w:rPr>
            </w:pPr>
            <w:r>
              <w:rPr>
                <w:rFonts w:ascii="Arial" w:cs="Arial" w:eastAsia="Arial" w:hAnsi="Arial"/>
                <w:sz w:val="12"/>
                <w:szCs w:val="12"/>
                <w:color w:val="auto"/>
              </w:rPr>
              <w:t>Preferred dividend requirements</w:t>
            </w:r>
          </w:p>
        </w:tc>
        <w:tc>
          <w:tcPr>
            <w:tcW w:w="10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7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r>
      <w:tr>
        <w:trPr>
          <w:trHeight w:val="148"/>
        </w:trPr>
        <w:tc>
          <w:tcPr>
            <w:tcW w:w="7660" w:type="dxa"/>
            <w:vAlign w:val="bottom"/>
          </w:tcPr>
          <w:p>
            <w:pPr>
              <w:spacing w:after="0"/>
              <w:rPr>
                <w:sz w:val="20"/>
                <w:szCs w:val="20"/>
                <w:color w:val="auto"/>
              </w:rPr>
            </w:pPr>
            <w:r>
              <w:rPr>
                <w:rFonts w:ascii="Arial" w:cs="Arial" w:eastAsia="Arial" w:hAnsi="Arial"/>
                <w:sz w:val="12"/>
                <w:szCs w:val="12"/>
                <w:color w:val="auto"/>
              </w:rPr>
              <w:t>Earnings attributable to common shares</w:t>
            </w:r>
          </w:p>
        </w:tc>
        <w:tc>
          <w:tcPr>
            <w:tcW w:w="1080" w:type="dxa"/>
            <w:vAlign w:val="bottom"/>
          </w:tcPr>
          <w:p>
            <w:pPr>
              <w:jc w:val="right"/>
              <w:ind w:right="967"/>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67</w:t>
            </w:r>
          </w:p>
        </w:tc>
        <w:tc>
          <w:tcPr>
            <w:tcW w:w="780" w:type="dxa"/>
            <w:vAlign w:val="bottom"/>
          </w:tcPr>
          <w:p>
            <w:pPr>
              <w:jc w:val="right"/>
              <w:ind w:right="668"/>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279005"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See Notes to Condensed Consolidated Financial Statements.</w:t>
      </w:r>
    </w:p>
    <w:p>
      <w:pPr>
        <w:sectPr>
          <w:pgSz w:w="11900" w:h="16838" w:orient="portrait"/>
          <w:cols w:equalWidth="0" w:num="1">
            <w:col w:w="11460"/>
          </w:cols>
          <w:pgMar w:left="220" w:top="427" w:right="21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color w:val="auto"/>
        </w:rPr>
        <w:t>PACIFIC ENTERPRISES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255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9005" cy="25590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(Dollars in millions)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1180" w:type="dxa"/>
            <w:vAlign w:val="bottom"/>
          </w:tcPr>
          <w:p>
            <w:pPr>
              <w:jc w:val="center"/>
              <w:ind w:left="406"/>
              <w:spacing w:after="0"/>
              <w:rPr>
                <w:sz w:val="20"/>
                <w:szCs w:val="20"/>
                <w:color w:val="auto"/>
              </w:rPr>
            </w:pPr>
            <w:r>
              <w:rPr>
                <w:rFonts w:ascii="Arial" w:cs="Arial" w:eastAsia="Arial" w:hAnsi="Arial"/>
                <w:sz w:val="11"/>
                <w:szCs w:val="11"/>
                <w:color w:val="auto"/>
                <w:w w:val="98"/>
              </w:rPr>
              <w:t>March 31,</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jc w:val="right"/>
              <w:ind w:right="419"/>
              <w:spacing w:after="0"/>
              <w:rPr>
                <w:sz w:val="20"/>
                <w:szCs w:val="20"/>
                <w:color w:val="auto"/>
              </w:rPr>
            </w:pPr>
            <w:r>
              <w:rPr>
                <w:rFonts w:ascii="Arial" w:cs="Arial" w:eastAsia="Arial" w:hAnsi="Arial"/>
                <w:sz w:val="11"/>
                <w:szCs w:val="11"/>
                <w:color w:val="auto"/>
              </w:rPr>
              <w:t>December 31,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center"/>
              <w:ind w:left="366"/>
              <w:spacing w:after="0" w:line="123" w:lineRule="exact"/>
              <w:rPr>
                <w:sz w:val="20"/>
                <w:szCs w:val="20"/>
                <w:color w:val="auto"/>
              </w:rPr>
            </w:pPr>
            <w:r>
              <w:rPr>
                <w:rFonts w:ascii="Arial" w:cs="Arial" w:eastAsia="Arial" w:hAnsi="Arial"/>
                <w:sz w:val="11"/>
                <w:szCs w:val="11"/>
                <w:color w:val="auto"/>
                <w:w w:val="97"/>
              </w:rPr>
              <w:t>2011</w:t>
            </w:r>
          </w:p>
        </w:tc>
        <w:tc>
          <w:tcPr>
            <w:tcW w:w="4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jc w:val="right"/>
              <w:ind w:right="579"/>
              <w:spacing w:after="0" w:line="123" w:lineRule="exact"/>
              <w:rPr>
                <w:sz w:val="20"/>
                <w:szCs w:val="20"/>
                <w:color w:val="auto"/>
              </w:rPr>
            </w:pPr>
            <w:r>
              <w:rPr>
                <w:rFonts w:ascii="Arial" w:cs="Arial" w:eastAsia="Arial" w:hAnsi="Arial"/>
                <w:sz w:val="11"/>
                <w:szCs w:val="11"/>
                <w:color w:val="auto"/>
              </w:rPr>
              <w:t>2010(1)</w:t>
            </w:r>
          </w:p>
        </w:tc>
        <w:tc>
          <w:tcPr>
            <w:tcW w:w="0" w:type="dxa"/>
            <w:vAlign w:val="bottom"/>
          </w:tcPr>
          <w:p>
            <w:pPr>
              <w:spacing w:after="0"/>
              <w:rPr>
                <w:sz w:val="1"/>
                <w:szCs w:val="1"/>
                <w:color w:val="auto"/>
              </w:rPr>
            </w:pPr>
          </w:p>
        </w:tc>
      </w:tr>
      <w:tr>
        <w:trPr>
          <w:trHeight w:val="146"/>
        </w:trPr>
        <w:tc>
          <w:tcPr>
            <w:tcW w:w="8160" w:type="dxa"/>
            <w:vAlign w:val="bottom"/>
            <w:gridSpan w:val="3"/>
            <w:vMerge w:val="restart"/>
          </w:tcPr>
          <w:p>
            <w:pPr>
              <w:spacing w:after="0"/>
              <w:rPr>
                <w:sz w:val="20"/>
                <w:szCs w:val="20"/>
                <w:color w:val="auto"/>
              </w:rPr>
            </w:pPr>
            <w:r>
              <w:rPr>
                <w:rFonts w:ascii="Arial" w:cs="Arial" w:eastAsia="Arial" w:hAnsi="Arial"/>
                <w:sz w:val="12"/>
                <w:szCs w:val="12"/>
                <w:color w:val="auto"/>
              </w:rPr>
              <w:t>ASSETS</w:t>
            </w:r>
          </w:p>
        </w:tc>
        <w:tc>
          <w:tcPr>
            <w:tcW w:w="1180" w:type="dxa"/>
            <w:vAlign w:val="bottom"/>
          </w:tcPr>
          <w:p>
            <w:pPr>
              <w:jc w:val="center"/>
              <w:ind w:left="406"/>
              <w:spacing w:after="0"/>
              <w:rPr>
                <w:sz w:val="20"/>
                <w:szCs w:val="20"/>
                <w:color w:val="auto"/>
              </w:rPr>
            </w:pPr>
            <w:r>
              <w:rPr>
                <w:rFonts w:ascii="Arial" w:cs="Arial" w:eastAsia="Arial" w:hAnsi="Arial"/>
                <w:sz w:val="11"/>
                <w:szCs w:val="11"/>
                <w:color w:val="auto"/>
              </w:rPr>
              <w:t>(unaudited)</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816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8160" w:type="dxa"/>
            <w:vAlign w:val="bottom"/>
            <w:gridSpan w:val="3"/>
          </w:tcPr>
          <w:p>
            <w:pPr>
              <w:spacing w:after="0" w:line="134" w:lineRule="exact"/>
              <w:rPr>
                <w:sz w:val="20"/>
                <w:szCs w:val="20"/>
                <w:color w:val="auto"/>
              </w:rPr>
            </w:pPr>
            <w:r>
              <w:rPr>
                <w:rFonts w:ascii="Arial" w:cs="Arial" w:eastAsia="Arial" w:hAnsi="Arial"/>
                <w:sz w:val="12"/>
                <w:szCs w:val="12"/>
                <w:color w:val="auto"/>
              </w:rPr>
              <w:t>Current assets:</w:t>
            </w: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20" w:type="dxa"/>
            <w:vAlign w:val="bottom"/>
          </w:tcPr>
          <w:p>
            <w:pPr>
              <w:spacing w:after="0" w:line="134" w:lineRule="exact"/>
              <w:rPr>
                <w:sz w:val="20"/>
                <w:szCs w:val="20"/>
                <w:color w:val="auto"/>
              </w:rPr>
            </w:pPr>
            <w:r>
              <w:rPr>
                <w:rFonts w:ascii="Arial" w:cs="Arial" w:eastAsia="Arial" w:hAnsi="Arial"/>
                <w:sz w:val="12"/>
                <w:szCs w:val="12"/>
                <w:color w:val="auto"/>
              </w:rPr>
              <w:t>Cash and cash equivalents</w:t>
            </w:r>
          </w:p>
        </w:tc>
        <w:tc>
          <w:tcPr>
            <w:tcW w:w="1180" w:type="dxa"/>
            <w:vAlign w:val="bottom"/>
          </w:tcPr>
          <w:p>
            <w:pPr>
              <w:jc w:val="right"/>
              <w:ind w:right="1066"/>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34" w:lineRule="exact"/>
              <w:rPr>
                <w:sz w:val="20"/>
                <w:szCs w:val="20"/>
                <w:color w:val="auto"/>
              </w:rPr>
            </w:pPr>
            <w:r>
              <w:rPr>
                <w:rFonts w:ascii="Arial" w:cs="Arial" w:eastAsia="Arial" w:hAnsi="Arial"/>
                <w:sz w:val="12"/>
                <w:szCs w:val="12"/>
                <w:color w:val="auto"/>
              </w:rPr>
              <w:t>33</w:t>
            </w:r>
          </w:p>
        </w:tc>
        <w:tc>
          <w:tcPr>
            <w:tcW w:w="280" w:type="dxa"/>
            <w:vAlign w:val="bottom"/>
          </w:tcPr>
          <w:p>
            <w:pPr>
              <w:jc w:val="right"/>
              <w:ind w:right="138"/>
              <w:spacing w:after="0" w:line="134" w:lineRule="exact"/>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line="134" w:lineRule="exact"/>
              <w:rPr>
                <w:sz w:val="20"/>
                <w:szCs w:val="20"/>
                <w:color w:val="auto"/>
              </w:rPr>
            </w:pPr>
            <w:r>
              <w:rPr>
                <w:rFonts w:ascii="Arial" w:cs="Arial" w:eastAsia="Arial" w:hAnsi="Arial"/>
                <w:sz w:val="12"/>
                <w:szCs w:val="12"/>
                <w:color w:val="auto"/>
              </w:rPr>
              <w:t>417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140" w:type="dxa"/>
            <w:vAlign w:val="bottom"/>
            <w:gridSpan w:val="2"/>
          </w:tcPr>
          <w:p>
            <w:pPr>
              <w:ind w:left="120"/>
              <w:spacing w:after="0" w:line="134" w:lineRule="exact"/>
              <w:rPr>
                <w:sz w:val="20"/>
                <w:szCs w:val="20"/>
                <w:color w:val="auto"/>
              </w:rPr>
            </w:pPr>
            <w:r>
              <w:rPr>
                <w:rFonts w:ascii="Arial" w:cs="Arial" w:eastAsia="Arial" w:hAnsi="Arial"/>
                <w:sz w:val="12"/>
                <w:szCs w:val="12"/>
                <w:color w:val="auto"/>
              </w:rPr>
              <w:t>Accounts receivable - trade</w:t>
            </w:r>
          </w:p>
        </w:tc>
        <w:tc>
          <w:tcPr>
            <w:tcW w:w="1180" w:type="dxa"/>
            <w:vAlign w:val="bottom"/>
          </w:tcPr>
          <w:p>
            <w:pPr>
              <w:spacing w:after="0"/>
              <w:rPr>
                <w:sz w:val="11"/>
                <w:szCs w:val="11"/>
                <w:color w:val="auto"/>
              </w:rPr>
            </w:pPr>
          </w:p>
        </w:tc>
        <w:tc>
          <w:tcPr>
            <w:tcW w:w="460" w:type="dxa"/>
            <w:vAlign w:val="bottom"/>
          </w:tcPr>
          <w:p>
            <w:pPr>
              <w:jc w:val="right"/>
              <w:spacing w:after="0" w:line="134" w:lineRule="exact"/>
              <w:rPr>
                <w:sz w:val="20"/>
                <w:szCs w:val="20"/>
                <w:color w:val="auto"/>
              </w:rPr>
            </w:pPr>
            <w:r>
              <w:rPr>
                <w:rFonts w:ascii="Arial" w:cs="Arial" w:eastAsia="Arial" w:hAnsi="Arial"/>
                <w:sz w:val="12"/>
                <w:szCs w:val="12"/>
                <w:color w:val="auto"/>
              </w:rPr>
              <w:t>521</w:t>
            </w:r>
          </w:p>
        </w:tc>
        <w:tc>
          <w:tcPr>
            <w:tcW w:w="280" w:type="dxa"/>
            <w:vAlign w:val="bottom"/>
          </w:tcPr>
          <w:p>
            <w:pPr>
              <w:spacing w:after="0"/>
              <w:rPr>
                <w:sz w:val="11"/>
                <w:szCs w:val="11"/>
                <w:color w:val="auto"/>
              </w:rPr>
            </w:pPr>
          </w:p>
        </w:tc>
        <w:tc>
          <w:tcPr>
            <w:tcW w:w="1380" w:type="dxa"/>
            <w:vAlign w:val="bottom"/>
          </w:tcPr>
          <w:p>
            <w:pPr>
              <w:jc w:val="right"/>
              <w:spacing w:after="0" w:line="134" w:lineRule="exact"/>
              <w:rPr>
                <w:sz w:val="20"/>
                <w:szCs w:val="20"/>
                <w:color w:val="auto"/>
              </w:rPr>
            </w:pPr>
            <w:r>
              <w:rPr>
                <w:rFonts w:ascii="Arial" w:cs="Arial" w:eastAsia="Arial" w:hAnsi="Arial"/>
                <w:sz w:val="12"/>
                <w:szCs w:val="12"/>
                <w:color w:val="auto"/>
              </w:rPr>
              <w:t>534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140" w:type="dxa"/>
            <w:vAlign w:val="bottom"/>
            <w:gridSpan w:val="2"/>
          </w:tcPr>
          <w:p>
            <w:pPr>
              <w:ind w:left="120"/>
              <w:spacing w:after="0" w:line="134" w:lineRule="exact"/>
              <w:rPr>
                <w:sz w:val="20"/>
                <w:szCs w:val="20"/>
                <w:color w:val="auto"/>
              </w:rPr>
            </w:pPr>
            <w:r>
              <w:rPr>
                <w:rFonts w:ascii="Arial" w:cs="Arial" w:eastAsia="Arial" w:hAnsi="Arial"/>
                <w:sz w:val="12"/>
                <w:szCs w:val="12"/>
                <w:color w:val="auto"/>
              </w:rPr>
              <w:t>Accounts receivable - other</w:t>
            </w:r>
          </w:p>
        </w:tc>
        <w:tc>
          <w:tcPr>
            <w:tcW w:w="1180" w:type="dxa"/>
            <w:vAlign w:val="bottom"/>
          </w:tcPr>
          <w:p>
            <w:pPr>
              <w:spacing w:after="0"/>
              <w:rPr>
                <w:sz w:val="11"/>
                <w:szCs w:val="11"/>
                <w:color w:val="auto"/>
              </w:rPr>
            </w:pPr>
          </w:p>
        </w:tc>
        <w:tc>
          <w:tcPr>
            <w:tcW w:w="460" w:type="dxa"/>
            <w:vAlign w:val="bottom"/>
          </w:tcPr>
          <w:p>
            <w:pPr>
              <w:jc w:val="right"/>
              <w:spacing w:after="0" w:line="134" w:lineRule="exact"/>
              <w:rPr>
                <w:sz w:val="20"/>
                <w:szCs w:val="20"/>
                <w:color w:val="auto"/>
              </w:rPr>
            </w:pPr>
            <w:r>
              <w:rPr>
                <w:rFonts w:ascii="Arial" w:cs="Arial" w:eastAsia="Arial" w:hAnsi="Arial"/>
                <w:sz w:val="12"/>
                <w:szCs w:val="12"/>
                <w:color w:val="auto"/>
              </w:rPr>
              <w:t>63</w:t>
            </w:r>
          </w:p>
        </w:tc>
        <w:tc>
          <w:tcPr>
            <w:tcW w:w="280" w:type="dxa"/>
            <w:vAlign w:val="bottom"/>
          </w:tcPr>
          <w:p>
            <w:pPr>
              <w:spacing w:after="0"/>
              <w:rPr>
                <w:sz w:val="11"/>
                <w:szCs w:val="11"/>
                <w:color w:val="auto"/>
              </w:rPr>
            </w:pPr>
          </w:p>
        </w:tc>
        <w:tc>
          <w:tcPr>
            <w:tcW w:w="1380" w:type="dxa"/>
            <w:vAlign w:val="bottom"/>
          </w:tcPr>
          <w:p>
            <w:pPr>
              <w:jc w:val="right"/>
              <w:spacing w:after="0" w:line="134" w:lineRule="exact"/>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20" w:type="dxa"/>
            <w:vAlign w:val="bottom"/>
          </w:tcPr>
          <w:p>
            <w:pPr>
              <w:spacing w:after="0" w:line="134" w:lineRule="exact"/>
              <w:rPr>
                <w:sz w:val="20"/>
                <w:szCs w:val="20"/>
                <w:color w:val="auto"/>
              </w:rPr>
            </w:pPr>
            <w:r>
              <w:rPr>
                <w:rFonts w:ascii="Arial" w:cs="Arial" w:eastAsia="Arial" w:hAnsi="Arial"/>
                <w:sz w:val="12"/>
                <w:szCs w:val="12"/>
                <w:color w:val="auto"/>
              </w:rPr>
              <w:t>Due from unconsolidated affiliates</w:t>
            </w:r>
          </w:p>
        </w:tc>
        <w:tc>
          <w:tcPr>
            <w:tcW w:w="1180" w:type="dxa"/>
            <w:vAlign w:val="bottom"/>
          </w:tcPr>
          <w:p>
            <w:pPr>
              <w:spacing w:after="0"/>
              <w:rPr>
                <w:sz w:val="11"/>
                <w:szCs w:val="11"/>
                <w:color w:val="auto"/>
              </w:rPr>
            </w:pPr>
          </w:p>
        </w:tc>
        <w:tc>
          <w:tcPr>
            <w:tcW w:w="460" w:type="dxa"/>
            <w:vAlign w:val="bottom"/>
          </w:tcPr>
          <w:p>
            <w:pPr>
              <w:jc w:val="right"/>
              <w:spacing w:after="0" w:line="134" w:lineRule="exact"/>
              <w:rPr>
                <w:sz w:val="20"/>
                <w:szCs w:val="20"/>
                <w:color w:val="auto"/>
              </w:rPr>
            </w:pPr>
            <w:r>
              <w:rPr>
                <w:rFonts w:ascii="Arial" w:cs="Arial" w:eastAsia="Arial" w:hAnsi="Arial"/>
                <w:sz w:val="12"/>
                <w:szCs w:val="12"/>
                <w:color w:val="auto"/>
              </w:rPr>
              <w:t>383</w:t>
            </w:r>
          </w:p>
        </w:tc>
        <w:tc>
          <w:tcPr>
            <w:tcW w:w="280" w:type="dxa"/>
            <w:vAlign w:val="bottom"/>
          </w:tcPr>
          <w:p>
            <w:pPr>
              <w:spacing w:after="0"/>
              <w:rPr>
                <w:sz w:val="11"/>
                <w:szCs w:val="11"/>
                <w:color w:val="auto"/>
              </w:rPr>
            </w:pPr>
          </w:p>
        </w:tc>
        <w:tc>
          <w:tcPr>
            <w:tcW w:w="1380" w:type="dxa"/>
            <w:vAlign w:val="bottom"/>
          </w:tcPr>
          <w:p>
            <w:pPr>
              <w:jc w:val="right"/>
              <w:spacing w:after="0" w:line="134" w:lineRule="exact"/>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20" w:type="dxa"/>
            <w:vAlign w:val="bottom"/>
          </w:tcPr>
          <w:p>
            <w:pPr>
              <w:spacing w:after="0" w:line="134" w:lineRule="exact"/>
              <w:rPr>
                <w:sz w:val="20"/>
                <w:szCs w:val="20"/>
                <w:color w:val="auto"/>
              </w:rPr>
            </w:pPr>
            <w:r>
              <w:rPr>
                <w:rFonts w:ascii="Arial" w:cs="Arial" w:eastAsia="Arial" w:hAnsi="Arial"/>
                <w:sz w:val="12"/>
                <w:szCs w:val="12"/>
                <w:color w:val="auto"/>
              </w:rPr>
              <w:t>Income taxes receivable</w:t>
            </w:r>
          </w:p>
        </w:tc>
        <w:tc>
          <w:tcPr>
            <w:tcW w:w="1180" w:type="dxa"/>
            <w:vAlign w:val="bottom"/>
          </w:tcPr>
          <w:p>
            <w:pPr>
              <w:spacing w:after="0"/>
              <w:rPr>
                <w:sz w:val="11"/>
                <w:szCs w:val="11"/>
                <w:color w:val="auto"/>
              </w:rPr>
            </w:pPr>
          </w:p>
        </w:tc>
        <w:tc>
          <w:tcPr>
            <w:tcW w:w="460" w:type="dxa"/>
            <w:vAlign w:val="bottom"/>
          </w:tcPr>
          <w:p>
            <w:pPr>
              <w:jc w:val="right"/>
              <w:spacing w:after="0" w:line="134" w:lineRule="exact"/>
              <w:rPr>
                <w:sz w:val="20"/>
                <w:szCs w:val="20"/>
                <w:color w:val="auto"/>
              </w:rPr>
            </w:pPr>
            <w:r>
              <w:rPr>
                <w:rFonts w:ascii="Arial" w:cs="Arial" w:eastAsia="Arial" w:hAnsi="Arial"/>
                <w:sz w:val="12"/>
                <w:szCs w:val="12"/>
                <w:color w:val="auto"/>
              </w:rPr>
              <w:t>13</w:t>
            </w:r>
          </w:p>
        </w:tc>
        <w:tc>
          <w:tcPr>
            <w:tcW w:w="280" w:type="dxa"/>
            <w:vAlign w:val="bottom"/>
          </w:tcPr>
          <w:p>
            <w:pPr>
              <w:spacing w:after="0"/>
              <w:rPr>
                <w:sz w:val="11"/>
                <w:szCs w:val="11"/>
                <w:color w:val="auto"/>
              </w:rPr>
            </w:pPr>
          </w:p>
        </w:tc>
        <w:tc>
          <w:tcPr>
            <w:tcW w:w="1380" w:type="dxa"/>
            <w:vAlign w:val="bottom"/>
          </w:tcPr>
          <w:p>
            <w:pPr>
              <w:jc w:val="right"/>
              <w:spacing w:after="0" w:line="134" w:lineRule="exact"/>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20" w:type="dxa"/>
            <w:vAlign w:val="bottom"/>
          </w:tcPr>
          <w:p>
            <w:pPr>
              <w:spacing w:after="0" w:line="134" w:lineRule="exact"/>
              <w:rPr>
                <w:sz w:val="20"/>
                <w:szCs w:val="20"/>
                <w:color w:val="auto"/>
              </w:rPr>
            </w:pPr>
            <w:r>
              <w:rPr>
                <w:rFonts w:ascii="Arial" w:cs="Arial" w:eastAsia="Arial" w:hAnsi="Arial"/>
                <w:sz w:val="12"/>
                <w:szCs w:val="12"/>
                <w:color w:val="auto"/>
              </w:rPr>
              <w:t>Inventories</w:t>
            </w:r>
          </w:p>
        </w:tc>
        <w:tc>
          <w:tcPr>
            <w:tcW w:w="1180" w:type="dxa"/>
            <w:vAlign w:val="bottom"/>
          </w:tcPr>
          <w:p>
            <w:pPr>
              <w:spacing w:after="0"/>
              <w:rPr>
                <w:sz w:val="11"/>
                <w:szCs w:val="11"/>
                <w:color w:val="auto"/>
              </w:rPr>
            </w:pPr>
          </w:p>
        </w:tc>
        <w:tc>
          <w:tcPr>
            <w:tcW w:w="460" w:type="dxa"/>
            <w:vAlign w:val="bottom"/>
          </w:tcPr>
          <w:p>
            <w:pPr>
              <w:jc w:val="right"/>
              <w:spacing w:after="0" w:line="134" w:lineRule="exact"/>
              <w:rPr>
                <w:sz w:val="20"/>
                <w:szCs w:val="20"/>
                <w:color w:val="auto"/>
              </w:rPr>
            </w:pPr>
            <w:r>
              <w:rPr>
                <w:rFonts w:ascii="Arial" w:cs="Arial" w:eastAsia="Arial" w:hAnsi="Arial"/>
                <w:sz w:val="12"/>
                <w:szCs w:val="12"/>
                <w:color w:val="auto"/>
              </w:rPr>
              <w:t>28</w:t>
            </w:r>
          </w:p>
        </w:tc>
        <w:tc>
          <w:tcPr>
            <w:tcW w:w="280" w:type="dxa"/>
            <w:vAlign w:val="bottom"/>
          </w:tcPr>
          <w:p>
            <w:pPr>
              <w:spacing w:after="0"/>
              <w:rPr>
                <w:sz w:val="11"/>
                <w:szCs w:val="11"/>
                <w:color w:val="auto"/>
              </w:rPr>
            </w:pPr>
          </w:p>
        </w:tc>
        <w:tc>
          <w:tcPr>
            <w:tcW w:w="1380" w:type="dxa"/>
            <w:vAlign w:val="bottom"/>
          </w:tcPr>
          <w:p>
            <w:pPr>
              <w:jc w:val="right"/>
              <w:spacing w:after="0" w:line="134" w:lineRule="exact"/>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20" w:type="dxa"/>
            <w:vAlign w:val="bottom"/>
          </w:tcPr>
          <w:p>
            <w:pPr>
              <w:spacing w:after="0" w:line="134" w:lineRule="exact"/>
              <w:rPr>
                <w:sz w:val="20"/>
                <w:szCs w:val="20"/>
                <w:color w:val="auto"/>
              </w:rPr>
            </w:pPr>
            <w:r>
              <w:rPr>
                <w:rFonts w:ascii="Arial" w:cs="Arial" w:eastAsia="Arial" w:hAnsi="Arial"/>
                <w:sz w:val="12"/>
                <w:szCs w:val="12"/>
                <w:color w:val="auto"/>
              </w:rPr>
              <w:t>Regulatory assets</w:t>
            </w:r>
          </w:p>
        </w:tc>
        <w:tc>
          <w:tcPr>
            <w:tcW w:w="1180" w:type="dxa"/>
            <w:vAlign w:val="bottom"/>
          </w:tcPr>
          <w:p>
            <w:pPr>
              <w:spacing w:after="0"/>
              <w:rPr>
                <w:sz w:val="11"/>
                <w:szCs w:val="11"/>
                <w:color w:val="auto"/>
              </w:rPr>
            </w:pPr>
          </w:p>
        </w:tc>
        <w:tc>
          <w:tcPr>
            <w:tcW w:w="460" w:type="dxa"/>
            <w:vAlign w:val="bottom"/>
          </w:tcPr>
          <w:p>
            <w:pPr>
              <w:jc w:val="right"/>
              <w:spacing w:after="0" w:line="134" w:lineRule="exact"/>
              <w:rPr>
                <w:sz w:val="20"/>
                <w:szCs w:val="20"/>
                <w:color w:val="auto"/>
              </w:rPr>
            </w:pPr>
            <w:r>
              <w:rPr>
                <w:rFonts w:ascii="Arial" w:cs="Arial" w:eastAsia="Arial" w:hAnsi="Arial"/>
                <w:sz w:val="12"/>
                <w:szCs w:val="12"/>
                <w:color w:val="auto"/>
              </w:rPr>
              <w:t>10</w:t>
            </w:r>
          </w:p>
        </w:tc>
        <w:tc>
          <w:tcPr>
            <w:tcW w:w="280" w:type="dxa"/>
            <w:vAlign w:val="bottom"/>
          </w:tcPr>
          <w:p>
            <w:pPr>
              <w:spacing w:after="0"/>
              <w:rPr>
                <w:sz w:val="11"/>
                <w:szCs w:val="11"/>
                <w:color w:val="auto"/>
              </w:rPr>
            </w:pPr>
          </w:p>
        </w:tc>
        <w:tc>
          <w:tcPr>
            <w:tcW w:w="1380" w:type="dxa"/>
            <w:vAlign w:val="bottom"/>
          </w:tcPr>
          <w:p>
            <w:pPr>
              <w:jc w:val="right"/>
              <w:spacing w:after="0" w:line="134" w:lineRule="exact"/>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20" w:type="dxa"/>
            <w:vAlign w:val="bottom"/>
          </w:tcPr>
          <w:p>
            <w:pPr>
              <w:spacing w:after="0"/>
              <w:rPr>
                <w:sz w:val="20"/>
                <w:szCs w:val="20"/>
                <w:color w:val="auto"/>
              </w:rPr>
            </w:pPr>
            <w:r>
              <w:rPr>
                <w:rFonts w:ascii="Arial" w:cs="Arial" w:eastAsia="Arial" w:hAnsi="Arial"/>
                <w:sz w:val="12"/>
                <w:szCs w:val="12"/>
                <w:color w:val="auto"/>
              </w:rPr>
              <w:t>Other</w:t>
            </w:r>
          </w:p>
        </w:tc>
        <w:tc>
          <w:tcPr>
            <w:tcW w:w="1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w:t>
            </w: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20" w:type="dxa"/>
            <w:vAlign w:val="bottom"/>
          </w:tcPr>
          <w:p>
            <w:pPr>
              <w:ind w:left="140"/>
              <w:spacing w:after="0" w:line="134" w:lineRule="exact"/>
              <w:rPr>
                <w:sz w:val="20"/>
                <w:szCs w:val="20"/>
                <w:color w:val="auto"/>
              </w:rPr>
            </w:pPr>
            <w:r>
              <w:rPr>
                <w:rFonts w:ascii="Arial" w:cs="Arial" w:eastAsia="Arial" w:hAnsi="Arial"/>
                <w:sz w:val="12"/>
                <w:szCs w:val="12"/>
                <w:color w:val="auto"/>
              </w:rPr>
              <w:t>Total current assets</w:t>
            </w:r>
          </w:p>
        </w:tc>
        <w:tc>
          <w:tcPr>
            <w:tcW w:w="1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1,088</w:t>
            </w:r>
          </w:p>
        </w:tc>
        <w:tc>
          <w:tcPr>
            <w:tcW w:w="2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1,260</w:t>
            </w:r>
          </w:p>
        </w:tc>
        <w:tc>
          <w:tcPr>
            <w:tcW w:w="0" w:type="dxa"/>
            <w:vAlign w:val="bottom"/>
          </w:tcPr>
          <w:p>
            <w:pPr>
              <w:spacing w:after="0"/>
              <w:rPr>
                <w:sz w:val="1"/>
                <w:szCs w:val="1"/>
                <w:color w:val="auto"/>
              </w:rPr>
            </w:pPr>
          </w:p>
        </w:tc>
      </w:tr>
      <w:tr>
        <w:trPr>
          <w:trHeight w:val="260"/>
        </w:trPr>
        <w:tc>
          <w:tcPr>
            <w:tcW w:w="8160" w:type="dxa"/>
            <w:vAlign w:val="bottom"/>
            <w:gridSpan w:val="3"/>
          </w:tcPr>
          <w:p>
            <w:pPr>
              <w:spacing w:after="0"/>
              <w:rPr>
                <w:sz w:val="20"/>
                <w:szCs w:val="20"/>
                <w:color w:val="auto"/>
              </w:rPr>
            </w:pPr>
            <w:r>
              <w:rPr>
                <w:rFonts w:ascii="Arial" w:cs="Arial" w:eastAsia="Arial" w:hAnsi="Arial"/>
                <w:sz w:val="12"/>
                <w:szCs w:val="12"/>
                <w:color w:val="auto"/>
              </w:rPr>
              <w:t>Other assets:</w:t>
            </w:r>
          </w:p>
        </w:tc>
        <w:tc>
          <w:tcPr>
            <w:tcW w:w="1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20" w:type="dxa"/>
            <w:vAlign w:val="bottom"/>
          </w:tcPr>
          <w:p>
            <w:pPr>
              <w:spacing w:after="0" w:line="134" w:lineRule="exact"/>
              <w:rPr>
                <w:sz w:val="20"/>
                <w:szCs w:val="20"/>
                <w:color w:val="auto"/>
              </w:rPr>
            </w:pPr>
            <w:r>
              <w:rPr>
                <w:rFonts w:ascii="Arial" w:cs="Arial" w:eastAsia="Arial" w:hAnsi="Arial"/>
                <w:sz w:val="12"/>
                <w:szCs w:val="12"/>
                <w:color w:val="auto"/>
              </w:rPr>
              <w:t>Due from unconsolidated affiliate</w:t>
            </w:r>
          </w:p>
        </w:tc>
        <w:tc>
          <w:tcPr>
            <w:tcW w:w="1180" w:type="dxa"/>
            <w:vAlign w:val="bottom"/>
          </w:tcPr>
          <w:p>
            <w:pPr>
              <w:spacing w:after="0"/>
              <w:rPr>
                <w:sz w:val="11"/>
                <w:szCs w:val="11"/>
                <w:color w:val="auto"/>
              </w:rPr>
            </w:pPr>
          </w:p>
        </w:tc>
        <w:tc>
          <w:tcPr>
            <w:tcW w:w="460" w:type="dxa"/>
            <w:vAlign w:val="bottom"/>
          </w:tcPr>
          <w:p>
            <w:pPr>
              <w:jc w:val="right"/>
              <w:spacing w:after="0" w:line="134" w:lineRule="exact"/>
              <w:rPr>
                <w:sz w:val="20"/>
                <w:szCs w:val="20"/>
                <w:color w:val="auto"/>
              </w:rPr>
            </w:pPr>
            <w:r>
              <w:rPr>
                <w:rFonts w:ascii="Arial" w:cs="Arial" w:eastAsia="Arial" w:hAnsi="Arial"/>
                <w:sz w:val="12"/>
                <w:szCs w:val="12"/>
                <w:color w:val="auto"/>
              </w:rPr>
              <w:t>505</w:t>
            </w:r>
          </w:p>
        </w:tc>
        <w:tc>
          <w:tcPr>
            <w:tcW w:w="280" w:type="dxa"/>
            <w:vAlign w:val="bottom"/>
          </w:tcPr>
          <w:p>
            <w:pPr>
              <w:spacing w:after="0"/>
              <w:rPr>
                <w:sz w:val="11"/>
                <w:szCs w:val="11"/>
                <w:color w:val="auto"/>
              </w:rPr>
            </w:pPr>
          </w:p>
        </w:tc>
        <w:tc>
          <w:tcPr>
            <w:tcW w:w="1380" w:type="dxa"/>
            <w:vAlign w:val="bottom"/>
          </w:tcPr>
          <w:p>
            <w:pPr>
              <w:jc w:val="right"/>
              <w:spacing w:after="0" w:line="134" w:lineRule="exact"/>
              <w:rPr>
                <w:sz w:val="20"/>
                <w:szCs w:val="20"/>
                <w:color w:val="auto"/>
              </w:rPr>
            </w:pPr>
            <w:r>
              <w:rPr>
                <w:rFonts w:ascii="Arial" w:cs="Arial" w:eastAsia="Arial" w:hAnsi="Arial"/>
                <w:sz w:val="12"/>
                <w:szCs w:val="12"/>
                <w:color w:val="auto"/>
              </w:rPr>
              <w:t>502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20" w:type="dxa"/>
            <w:vAlign w:val="bottom"/>
          </w:tcPr>
          <w:p>
            <w:pPr>
              <w:spacing w:after="0" w:line="134" w:lineRule="exact"/>
              <w:rPr>
                <w:sz w:val="20"/>
                <w:szCs w:val="20"/>
                <w:color w:val="auto"/>
              </w:rPr>
            </w:pPr>
            <w:r>
              <w:rPr>
                <w:rFonts w:ascii="Arial" w:cs="Arial" w:eastAsia="Arial" w:hAnsi="Arial"/>
                <w:sz w:val="12"/>
                <w:szCs w:val="12"/>
                <w:color w:val="auto"/>
              </w:rPr>
              <w:t>Regulatory assets arising from pension and other postretirement</w:t>
            </w: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20" w:type="dxa"/>
            <w:vAlign w:val="bottom"/>
          </w:tcPr>
          <w:p>
            <w:pPr>
              <w:ind w:left="140"/>
              <w:spacing w:after="0" w:line="134" w:lineRule="exact"/>
              <w:rPr>
                <w:sz w:val="20"/>
                <w:szCs w:val="20"/>
                <w:color w:val="auto"/>
              </w:rPr>
            </w:pPr>
            <w:r>
              <w:rPr>
                <w:rFonts w:ascii="Arial" w:cs="Arial" w:eastAsia="Arial" w:hAnsi="Arial"/>
                <w:sz w:val="12"/>
                <w:szCs w:val="12"/>
                <w:color w:val="auto"/>
              </w:rPr>
              <w:t>benefit obligations</w:t>
            </w:r>
          </w:p>
        </w:tc>
        <w:tc>
          <w:tcPr>
            <w:tcW w:w="1180" w:type="dxa"/>
            <w:vAlign w:val="bottom"/>
          </w:tcPr>
          <w:p>
            <w:pPr>
              <w:spacing w:after="0"/>
              <w:rPr>
                <w:sz w:val="11"/>
                <w:szCs w:val="11"/>
                <w:color w:val="auto"/>
              </w:rPr>
            </w:pPr>
          </w:p>
        </w:tc>
        <w:tc>
          <w:tcPr>
            <w:tcW w:w="460" w:type="dxa"/>
            <w:vAlign w:val="bottom"/>
          </w:tcPr>
          <w:p>
            <w:pPr>
              <w:jc w:val="right"/>
              <w:spacing w:after="0" w:line="134" w:lineRule="exact"/>
              <w:rPr>
                <w:sz w:val="20"/>
                <w:szCs w:val="20"/>
                <w:color w:val="auto"/>
              </w:rPr>
            </w:pPr>
            <w:r>
              <w:rPr>
                <w:rFonts w:ascii="Arial" w:cs="Arial" w:eastAsia="Arial" w:hAnsi="Arial"/>
                <w:sz w:val="12"/>
                <w:szCs w:val="12"/>
                <w:color w:val="auto"/>
              </w:rPr>
              <w:t>596</w:t>
            </w:r>
          </w:p>
        </w:tc>
        <w:tc>
          <w:tcPr>
            <w:tcW w:w="280" w:type="dxa"/>
            <w:vAlign w:val="bottom"/>
          </w:tcPr>
          <w:p>
            <w:pPr>
              <w:spacing w:after="0"/>
              <w:rPr>
                <w:sz w:val="11"/>
                <w:szCs w:val="11"/>
                <w:color w:val="auto"/>
              </w:rPr>
            </w:pPr>
          </w:p>
        </w:tc>
        <w:tc>
          <w:tcPr>
            <w:tcW w:w="1380" w:type="dxa"/>
            <w:vAlign w:val="bottom"/>
          </w:tcPr>
          <w:p>
            <w:pPr>
              <w:jc w:val="right"/>
              <w:spacing w:after="0" w:line="134" w:lineRule="exact"/>
              <w:rPr>
                <w:sz w:val="20"/>
                <w:szCs w:val="20"/>
                <w:color w:val="auto"/>
              </w:rPr>
            </w:pPr>
            <w:r>
              <w:rPr>
                <w:rFonts w:ascii="Arial" w:cs="Arial" w:eastAsia="Arial" w:hAnsi="Arial"/>
                <w:sz w:val="12"/>
                <w:szCs w:val="12"/>
                <w:color w:val="auto"/>
              </w:rPr>
              <w:t>586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20" w:type="dxa"/>
            <w:vAlign w:val="bottom"/>
          </w:tcPr>
          <w:p>
            <w:pPr>
              <w:spacing w:after="0" w:line="134" w:lineRule="exact"/>
              <w:rPr>
                <w:sz w:val="20"/>
                <w:szCs w:val="20"/>
                <w:color w:val="auto"/>
              </w:rPr>
            </w:pPr>
            <w:r>
              <w:rPr>
                <w:rFonts w:ascii="Arial" w:cs="Arial" w:eastAsia="Arial" w:hAnsi="Arial"/>
                <w:sz w:val="12"/>
                <w:szCs w:val="12"/>
                <w:color w:val="auto"/>
              </w:rPr>
              <w:t>Other regulatory assets</w:t>
            </w:r>
          </w:p>
        </w:tc>
        <w:tc>
          <w:tcPr>
            <w:tcW w:w="1180" w:type="dxa"/>
            <w:vAlign w:val="bottom"/>
          </w:tcPr>
          <w:p>
            <w:pPr>
              <w:spacing w:after="0"/>
              <w:rPr>
                <w:sz w:val="11"/>
                <w:szCs w:val="11"/>
                <w:color w:val="auto"/>
              </w:rPr>
            </w:pPr>
          </w:p>
        </w:tc>
        <w:tc>
          <w:tcPr>
            <w:tcW w:w="460" w:type="dxa"/>
            <w:vAlign w:val="bottom"/>
          </w:tcPr>
          <w:p>
            <w:pPr>
              <w:jc w:val="right"/>
              <w:spacing w:after="0" w:line="134" w:lineRule="exact"/>
              <w:rPr>
                <w:sz w:val="20"/>
                <w:szCs w:val="20"/>
                <w:color w:val="auto"/>
              </w:rPr>
            </w:pPr>
            <w:r>
              <w:rPr>
                <w:rFonts w:ascii="Arial" w:cs="Arial" w:eastAsia="Arial" w:hAnsi="Arial"/>
                <w:sz w:val="12"/>
                <w:szCs w:val="12"/>
                <w:color w:val="auto"/>
              </w:rPr>
              <w:t>124</w:t>
            </w:r>
          </w:p>
        </w:tc>
        <w:tc>
          <w:tcPr>
            <w:tcW w:w="280" w:type="dxa"/>
            <w:vAlign w:val="bottom"/>
          </w:tcPr>
          <w:p>
            <w:pPr>
              <w:spacing w:after="0"/>
              <w:rPr>
                <w:sz w:val="11"/>
                <w:szCs w:val="11"/>
                <w:color w:val="auto"/>
              </w:rPr>
            </w:pPr>
          </w:p>
        </w:tc>
        <w:tc>
          <w:tcPr>
            <w:tcW w:w="1380" w:type="dxa"/>
            <w:vAlign w:val="bottom"/>
          </w:tcPr>
          <w:p>
            <w:pPr>
              <w:jc w:val="right"/>
              <w:spacing w:after="0" w:line="134" w:lineRule="exact"/>
              <w:rPr>
                <w:sz w:val="20"/>
                <w:szCs w:val="20"/>
                <w:color w:val="auto"/>
              </w:rPr>
            </w:pPr>
            <w:r>
              <w:rPr>
                <w:rFonts w:ascii="Arial" w:cs="Arial" w:eastAsia="Arial" w:hAnsi="Arial"/>
                <w:sz w:val="12"/>
                <w:szCs w:val="12"/>
                <w:color w:val="auto"/>
              </w:rPr>
              <w:t>123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20" w:type="dxa"/>
            <w:vAlign w:val="bottom"/>
          </w:tcPr>
          <w:p>
            <w:pPr>
              <w:spacing w:after="0"/>
              <w:rPr>
                <w:sz w:val="20"/>
                <w:szCs w:val="20"/>
                <w:color w:val="auto"/>
              </w:rPr>
            </w:pPr>
            <w:r>
              <w:rPr>
                <w:rFonts w:ascii="Arial" w:cs="Arial" w:eastAsia="Arial" w:hAnsi="Arial"/>
                <w:sz w:val="12"/>
                <w:szCs w:val="12"/>
                <w:color w:val="auto"/>
              </w:rPr>
              <w:t>Sundry</w:t>
            </w:r>
          </w:p>
        </w:tc>
        <w:tc>
          <w:tcPr>
            <w:tcW w:w="1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w:t>
            </w: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20" w:type="dxa"/>
            <w:vAlign w:val="bottom"/>
          </w:tcPr>
          <w:p>
            <w:pPr>
              <w:ind w:left="140"/>
              <w:spacing w:after="0" w:line="134" w:lineRule="exact"/>
              <w:rPr>
                <w:sz w:val="20"/>
                <w:szCs w:val="20"/>
                <w:color w:val="auto"/>
              </w:rPr>
            </w:pPr>
            <w:r>
              <w:rPr>
                <w:rFonts w:ascii="Arial" w:cs="Arial" w:eastAsia="Arial" w:hAnsi="Arial"/>
                <w:sz w:val="12"/>
                <w:szCs w:val="12"/>
                <w:color w:val="auto"/>
              </w:rPr>
              <w:t>Total other assets</w:t>
            </w:r>
          </w:p>
        </w:tc>
        <w:tc>
          <w:tcPr>
            <w:tcW w:w="1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1,274</w:t>
            </w:r>
          </w:p>
        </w:tc>
        <w:tc>
          <w:tcPr>
            <w:tcW w:w="2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1,247</w:t>
            </w:r>
          </w:p>
        </w:tc>
        <w:tc>
          <w:tcPr>
            <w:tcW w:w="0" w:type="dxa"/>
            <w:vAlign w:val="bottom"/>
          </w:tcPr>
          <w:p>
            <w:pPr>
              <w:spacing w:after="0"/>
              <w:rPr>
                <w:sz w:val="1"/>
                <w:szCs w:val="1"/>
                <w:color w:val="auto"/>
              </w:rPr>
            </w:pPr>
          </w:p>
        </w:tc>
      </w:tr>
      <w:tr>
        <w:trPr>
          <w:trHeight w:val="260"/>
        </w:trPr>
        <w:tc>
          <w:tcPr>
            <w:tcW w:w="8160" w:type="dxa"/>
            <w:vAlign w:val="bottom"/>
            <w:gridSpan w:val="3"/>
          </w:tcPr>
          <w:p>
            <w:pPr>
              <w:spacing w:after="0"/>
              <w:rPr>
                <w:sz w:val="20"/>
                <w:szCs w:val="20"/>
                <w:color w:val="auto"/>
              </w:rPr>
            </w:pPr>
            <w:r>
              <w:rPr>
                <w:rFonts w:ascii="Arial" w:cs="Arial" w:eastAsia="Arial" w:hAnsi="Arial"/>
                <w:sz w:val="12"/>
                <w:szCs w:val="12"/>
                <w:color w:val="auto"/>
              </w:rPr>
              <w:t>Property, plant and equipment:</w:t>
            </w:r>
          </w:p>
        </w:tc>
        <w:tc>
          <w:tcPr>
            <w:tcW w:w="1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20" w:type="dxa"/>
            <w:vAlign w:val="bottom"/>
          </w:tcPr>
          <w:p>
            <w:pPr>
              <w:spacing w:after="0" w:line="134" w:lineRule="exact"/>
              <w:rPr>
                <w:sz w:val="20"/>
                <w:szCs w:val="20"/>
                <w:color w:val="auto"/>
              </w:rPr>
            </w:pPr>
            <w:r>
              <w:rPr>
                <w:rFonts w:ascii="Arial" w:cs="Arial" w:eastAsia="Arial" w:hAnsi="Arial"/>
                <w:sz w:val="12"/>
                <w:szCs w:val="12"/>
                <w:color w:val="auto"/>
              </w:rPr>
              <w:t>Property, plant and equipment</w:t>
            </w:r>
          </w:p>
        </w:tc>
        <w:tc>
          <w:tcPr>
            <w:tcW w:w="1180" w:type="dxa"/>
            <w:vAlign w:val="bottom"/>
          </w:tcPr>
          <w:p>
            <w:pPr>
              <w:spacing w:after="0"/>
              <w:rPr>
                <w:sz w:val="11"/>
                <w:szCs w:val="11"/>
                <w:color w:val="auto"/>
              </w:rPr>
            </w:pPr>
          </w:p>
        </w:tc>
        <w:tc>
          <w:tcPr>
            <w:tcW w:w="460" w:type="dxa"/>
            <w:vAlign w:val="bottom"/>
          </w:tcPr>
          <w:p>
            <w:pPr>
              <w:jc w:val="right"/>
              <w:spacing w:after="0" w:line="134" w:lineRule="exact"/>
              <w:rPr>
                <w:sz w:val="20"/>
                <w:szCs w:val="20"/>
                <w:color w:val="auto"/>
              </w:rPr>
            </w:pPr>
            <w:r>
              <w:rPr>
                <w:rFonts w:ascii="Arial" w:cs="Arial" w:eastAsia="Arial" w:hAnsi="Arial"/>
                <w:sz w:val="12"/>
                <w:szCs w:val="12"/>
                <w:color w:val="auto"/>
              </w:rPr>
              <w:t>9,944</w:t>
            </w:r>
          </w:p>
        </w:tc>
        <w:tc>
          <w:tcPr>
            <w:tcW w:w="280" w:type="dxa"/>
            <w:vAlign w:val="bottom"/>
          </w:tcPr>
          <w:p>
            <w:pPr>
              <w:spacing w:after="0"/>
              <w:rPr>
                <w:sz w:val="11"/>
                <w:szCs w:val="11"/>
                <w:color w:val="auto"/>
              </w:rPr>
            </w:pPr>
          </w:p>
        </w:tc>
        <w:tc>
          <w:tcPr>
            <w:tcW w:w="1380" w:type="dxa"/>
            <w:vAlign w:val="bottom"/>
          </w:tcPr>
          <w:p>
            <w:pPr>
              <w:jc w:val="right"/>
              <w:spacing w:after="0" w:line="134" w:lineRule="exact"/>
              <w:rPr>
                <w:sz w:val="20"/>
                <w:szCs w:val="20"/>
                <w:color w:val="auto"/>
              </w:rPr>
            </w:pPr>
            <w:r>
              <w:rPr>
                <w:rFonts w:ascii="Arial" w:cs="Arial" w:eastAsia="Arial" w:hAnsi="Arial"/>
                <w:sz w:val="12"/>
                <w:szCs w:val="12"/>
                <w:color w:val="auto"/>
              </w:rPr>
              <w:t>9,826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20" w:type="dxa"/>
            <w:vAlign w:val="bottom"/>
          </w:tcPr>
          <w:p>
            <w:pPr>
              <w:spacing w:after="0"/>
              <w:rPr>
                <w:sz w:val="20"/>
                <w:szCs w:val="20"/>
                <w:color w:val="auto"/>
              </w:rPr>
            </w:pPr>
            <w:r>
              <w:rPr>
                <w:rFonts w:ascii="Arial" w:cs="Arial" w:eastAsia="Arial" w:hAnsi="Arial"/>
                <w:sz w:val="12"/>
                <w:szCs w:val="12"/>
                <w:color w:val="auto"/>
              </w:rPr>
              <w:t>Less accumulated depreciation and amortization</w:t>
            </w:r>
          </w:p>
        </w:tc>
        <w:tc>
          <w:tcPr>
            <w:tcW w:w="1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(3,854)</w:t>
            </w: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20" w:type="dxa"/>
            <w:vAlign w:val="bottom"/>
          </w:tcPr>
          <w:p>
            <w:pPr>
              <w:ind w:left="140"/>
              <w:spacing w:after="0" w:line="134" w:lineRule="exact"/>
              <w:rPr>
                <w:sz w:val="20"/>
                <w:szCs w:val="20"/>
                <w:color w:val="auto"/>
              </w:rPr>
            </w:pPr>
            <w:r>
              <w:rPr>
                <w:rFonts w:ascii="Arial" w:cs="Arial" w:eastAsia="Arial" w:hAnsi="Arial"/>
                <w:sz w:val="12"/>
                <w:szCs w:val="12"/>
                <w:color w:val="auto"/>
              </w:rPr>
              <w:t>Property, plant and equipment, net</w:t>
            </w:r>
          </w:p>
        </w:tc>
        <w:tc>
          <w:tcPr>
            <w:tcW w:w="1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6,090</w:t>
            </w:r>
          </w:p>
        </w:tc>
        <w:tc>
          <w:tcPr>
            <w:tcW w:w="2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6,024</w:t>
            </w:r>
          </w:p>
        </w:tc>
        <w:tc>
          <w:tcPr>
            <w:tcW w:w="0" w:type="dxa"/>
            <w:vAlign w:val="bottom"/>
          </w:tcPr>
          <w:p>
            <w:pPr>
              <w:spacing w:after="0"/>
              <w:rPr>
                <w:sz w:val="1"/>
                <w:szCs w:val="1"/>
                <w:color w:val="auto"/>
              </w:rPr>
            </w:pPr>
          </w:p>
        </w:tc>
      </w:tr>
      <w:tr>
        <w:trPr>
          <w:trHeight w:val="135"/>
        </w:trPr>
        <w:tc>
          <w:tcPr>
            <w:tcW w:w="8160" w:type="dxa"/>
            <w:vAlign w:val="bottom"/>
            <w:gridSpan w:val="3"/>
          </w:tcPr>
          <w:p>
            <w:pPr>
              <w:spacing w:after="0" w:line="134" w:lineRule="exact"/>
              <w:rPr>
                <w:sz w:val="20"/>
                <w:szCs w:val="20"/>
                <w:color w:val="auto"/>
              </w:rPr>
            </w:pPr>
            <w:r>
              <w:rPr>
                <w:rFonts w:ascii="Arial" w:cs="Arial" w:eastAsia="Arial" w:hAnsi="Arial"/>
                <w:sz w:val="12"/>
                <w:szCs w:val="12"/>
                <w:color w:val="auto"/>
              </w:rPr>
              <w:t>Total assets</w:t>
            </w:r>
          </w:p>
        </w:tc>
        <w:tc>
          <w:tcPr>
            <w:tcW w:w="1180" w:type="dxa"/>
            <w:vAlign w:val="bottom"/>
          </w:tcPr>
          <w:p>
            <w:pPr>
              <w:jc w:val="right"/>
              <w:ind w:right="1066"/>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34" w:lineRule="exact"/>
              <w:rPr>
                <w:sz w:val="20"/>
                <w:szCs w:val="20"/>
                <w:color w:val="auto"/>
              </w:rPr>
            </w:pPr>
            <w:r>
              <w:rPr>
                <w:rFonts w:ascii="Arial" w:cs="Arial" w:eastAsia="Arial" w:hAnsi="Arial"/>
                <w:sz w:val="12"/>
                <w:szCs w:val="12"/>
                <w:color w:val="auto"/>
              </w:rPr>
              <w:t>8,452</w:t>
            </w:r>
          </w:p>
        </w:tc>
        <w:tc>
          <w:tcPr>
            <w:tcW w:w="280" w:type="dxa"/>
            <w:vAlign w:val="bottom"/>
          </w:tcPr>
          <w:p>
            <w:pPr>
              <w:jc w:val="right"/>
              <w:ind w:right="138"/>
              <w:spacing w:after="0" w:line="134" w:lineRule="exact"/>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line="134" w:lineRule="exact"/>
              <w:rPr>
                <w:sz w:val="20"/>
                <w:szCs w:val="20"/>
                <w:color w:val="auto"/>
              </w:rPr>
            </w:pPr>
            <w:r>
              <w:rPr>
                <w:rFonts w:ascii="Arial" w:cs="Arial" w:eastAsia="Arial" w:hAnsi="Arial"/>
                <w:sz w:val="12"/>
                <w:szCs w:val="12"/>
                <w:color w:val="auto"/>
              </w:rPr>
              <w:t>8,531</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20" w:type="dxa"/>
            <w:vAlign w:val="bottom"/>
            <w:tcBorders>
              <w:top w:val="single" w:sz="8" w:color="auto"/>
            </w:tcBorders>
          </w:tcPr>
          <w:p>
            <w:pPr>
              <w:spacing w:after="0" w:line="116" w:lineRule="exact"/>
              <w:rPr>
                <w:sz w:val="20"/>
                <w:szCs w:val="20"/>
                <w:color w:val="auto"/>
              </w:rPr>
            </w:pPr>
            <w:r>
              <w:rPr>
                <w:rFonts w:ascii="Arial" w:cs="Arial" w:eastAsia="Arial" w:hAnsi="Arial"/>
                <w:sz w:val="11"/>
                <w:szCs w:val="11"/>
                <w:i w:val="1"/>
                <w:iCs w:val="1"/>
                <w:color w:val="auto"/>
                <w:w w:val="74"/>
              </w:rPr>
              <w:t>(1)</w:t>
            </w:r>
          </w:p>
        </w:tc>
        <w:tc>
          <w:tcPr>
            <w:tcW w:w="8020" w:type="dxa"/>
            <w:vAlign w:val="bottom"/>
            <w:tcBorders>
              <w:top w:val="single" w:sz="8" w:color="auto"/>
            </w:tcBorders>
          </w:tcPr>
          <w:p>
            <w:pPr>
              <w:ind w:left="460"/>
              <w:spacing w:after="0" w:line="116" w:lineRule="exact"/>
              <w:rPr>
                <w:sz w:val="20"/>
                <w:szCs w:val="20"/>
                <w:color w:val="auto"/>
              </w:rPr>
            </w:pPr>
            <w:r>
              <w:rPr>
                <w:rFonts w:ascii="Arial" w:cs="Arial" w:eastAsia="Arial" w:hAnsi="Arial"/>
                <w:sz w:val="11"/>
                <w:szCs w:val="11"/>
                <w:i w:val="1"/>
                <w:iCs w:val="1"/>
                <w:color w:val="auto"/>
              </w:rPr>
              <w:t>Derived from audited financial statements.</w:t>
            </w:r>
          </w:p>
        </w:tc>
        <w:tc>
          <w:tcPr>
            <w:tcW w:w="1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160" w:type="dxa"/>
            <w:vAlign w:val="bottom"/>
            <w:gridSpan w:val="3"/>
          </w:tcPr>
          <w:p>
            <w:pPr>
              <w:spacing w:after="0"/>
              <w:rPr>
                <w:sz w:val="20"/>
                <w:szCs w:val="20"/>
                <w:color w:val="auto"/>
              </w:rPr>
            </w:pPr>
            <w:r>
              <w:rPr>
                <w:rFonts w:ascii="Arial" w:cs="Arial" w:eastAsia="Arial" w:hAnsi="Arial"/>
                <w:sz w:val="11"/>
                <w:szCs w:val="11"/>
                <w:i w:val="1"/>
                <w:iCs w:val="1"/>
                <w:color w:val="auto"/>
              </w:rPr>
              <w:t>See Notes to Condensed Consolidated Financial Statements.</w:t>
            </w: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27" w:right="21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color w:val="auto"/>
        </w:rPr>
        <w:t>PACIFIC ENTERPRISES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255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9005" cy="25590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480" w:type="dxa"/>
            <w:vAlign w:val="bottom"/>
            <w:gridSpan w:val="3"/>
          </w:tcPr>
          <w:p>
            <w:pPr>
              <w:spacing w:after="0"/>
              <w:rPr>
                <w:sz w:val="20"/>
                <w:szCs w:val="20"/>
                <w:color w:val="auto"/>
              </w:rPr>
            </w:pPr>
            <w:r>
              <w:rPr>
                <w:rFonts w:ascii="Arial" w:cs="Arial" w:eastAsia="Arial" w:hAnsi="Arial"/>
                <w:sz w:val="11"/>
                <w:szCs w:val="11"/>
                <w:i w:val="1"/>
                <w:iCs w:val="1"/>
                <w:color w:val="auto"/>
              </w:rPr>
              <w:t>(Dollars in millions)</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40" w:type="dxa"/>
            <w:vAlign w:val="bottom"/>
          </w:tcPr>
          <w:p>
            <w:pPr>
              <w:jc w:val="center"/>
              <w:ind w:left="343"/>
              <w:spacing w:after="0"/>
              <w:rPr>
                <w:sz w:val="20"/>
                <w:szCs w:val="20"/>
                <w:color w:val="auto"/>
              </w:rPr>
            </w:pPr>
            <w:r>
              <w:rPr>
                <w:rFonts w:ascii="Arial" w:cs="Arial" w:eastAsia="Arial" w:hAnsi="Arial"/>
                <w:sz w:val="11"/>
                <w:szCs w:val="11"/>
                <w:color w:val="auto"/>
                <w:w w:val="98"/>
              </w:rPr>
              <w:t>March 31,</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right"/>
              <w:ind w:right="298"/>
              <w:spacing w:after="0"/>
              <w:rPr>
                <w:sz w:val="20"/>
                <w:szCs w:val="20"/>
                <w:color w:val="auto"/>
              </w:rPr>
            </w:pPr>
            <w:r>
              <w:rPr>
                <w:rFonts w:ascii="Arial" w:cs="Arial" w:eastAsia="Arial" w:hAnsi="Arial"/>
                <w:sz w:val="11"/>
                <w:szCs w:val="11"/>
                <w:color w:val="auto"/>
              </w:rPr>
              <w:t>December 31,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34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gridSpan w:val="2"/>
          </w:tcPr>
          <w:p>
            <w:pPr>
              <w:jc w:val="center"/>
              <w:ind w:left="2421"/>
              <w:spacing w:after="0" w:line="123" w:lineRule="exact"/>
              <w:rPr>
                <w:sz w:val="20"/>
                <w:szCs w:val="20"/>
                <w:color w:val="auto"/>
              </w:rPr>
            </w:pPr>
            <w:r>
              <w:rPr>
                <w:rFonts w:ascii="Arial" w:cs="Arial" w:eastAsia="Arial" w:hAnsi="Arial"/>
                <w:sz w:val="11"/>
                <w:szCs w:val="11"/>
                <w:color w:val="auto"/>
                <w:w w:val="97"/>
              </w:rPr>
              <w:t>2011</w:t>
            </w:r>
          </w:p>
        </w:tc>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458"/>
              <w:spacing w:after="0" w:line="123" w:lineRule="exact"/>
              <w:rPr>
                <w:sz w:val="20"/>
                <w:szCs w:val="20"/>
                <w:color w:val="auto"/>
              </w:rPr>
            </w:pPr>
            <w:r>
              <w:rPr>
                <w:rFonts w:ascii="Arial" w:cs="Arial" w:eastAsia="Arial" w:hAnsi="Arial"/>
                <w:sz w:val="11"/>
                <w:szCs w:val="11"/>
                <w:color w:val="auto"/>
              </w:rPr>
              <w:t>2010(1)</w:t>
            </w:r>
          </w:p>
        </w:tc>
        <w:tc>
          <w:tcPr>
            <w:tcW w:w="0" w:type="dxa"/>
            <w:vAlign w:val="bottom"/>
          </w:tcPr>
          <w:p>
            <w:pPr>
              <w:spacing w:after="0"/>
              <w:rPr>
                <w:sz w:val="1"/>
                <w:szCs w:val="1"/>
                <w:color w:val="auto"/>
              </w:rPr>
            </w:pPr>
          </w:p>
        </w:tc>
      </w:tr>
      <w:tr>
        <w:trPr>
          <w:trHeight w:val="146"/>
        </w:trPr>
        <w:tc>
          <w:tcPr>
            <w:tcW w:w="6480" w:type="dxa"/>
            <w:vAlign w:val="bottom"/>
            <w:gridSpan w:val="3"/>
            <w:vMerge w:val="restart"/>
          </w:tcPr>
          <w:p>
            <w:pPr>
              <w:spacing w:after="0"/>
              <w:rPr>
                <w:sz w:val="20"/>
                <w:szCs w:val="20"/>
                <w:color w:val="auto"/>
              </w:rPr>
            </w:pPr>
            <w:r>
              <w:rPr>
                <w:rFonts w:ascii="Arial" w:cs="Arial" w:eastAsia="Arial" w:hAnsi="Arial"/>
                <w:sz w:val="12"/>
                <w:szCs w:val="12"/>
                <w:color w:val="auto"/>
              </w:rPr>
              <w:t>LIABILITIES AND EQUITY</w:t>
            </w:r>
          </w:p>
        </w:tc>
        <w:tc>
          <w:tcPr>
            <w:tcW w:w="2120" w:type="dxa"/>
            <w:vAlign w:val="bottom"/>
          </w:tcPr>
          <w:p>
            <w:pPr>
              <w:spacing w:after="0"/>
              <w:rPr>
                <w:sz w:val="12"/>
                <w:szCs w:val="12"/>
                <w:color w:val="auto"/>
              </w:rPr>
            </w:pPr>
          </w:p>
        </w:tc>
        <w:tc>
          <w:tcPr>
            <w:tcW w:w="1040" w:type="dxa"/>
            <w:vAlign w:val="bottom"/>
          </w:tcPr>
          <w:p>
            <w:pPr>
              <w:jc w:val="center"/>
              <w:ind w:left="343"/>
              <w:spacing w:after="0"/>
              <w:rPr>
                <w:sz w:val="20"/>
                <w:szCs w:val="20"/>
                <w:color w:val="auto"/>
              </w:rPr>
            </w:pPr>
            <w:r>
              <w:rPr>
                <w:rFonts w:ascii="Arial" w:cs="Arial" w:eastAsia="Arial" w:hAnsi="Arial"/>
                <w:sz w:val="11"/>
                <w:szCs w:val="11"/>
                <w:color w:val="auto"/>
              </w:rPr>
              <w:t>(unaudited)</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480" w:type="dxa"/>
            <w:vAlign w:val="bottom"/>
            <w:gridSpan w:val="3"/>
            <w:vMerge w:val="continue"/>
          </w:tcPr>
          <w:p>
            <w:pPr>
              <w:spacing w:after="0"/>
              <w:rPr>
                <w:sz w:val="9"/>
                <w:szCs w:val="9"/>
                <w:color w:val="auto"/>
              </w:rPr>
            </w:pPr>
          </w:p>
        </w:tc>
        <w:tc>
          <w:tcPr>
            <w:tcW w:w="2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6480" w:type="dxa"/>
            <w:vAlign w:val="bottom"/>
            <w:gridSpan w:val="3"/>
          </w:tcPr>
          <w:p>
            <w:pPr>
              <w:spacing w:after="0" w:line="134" w:lineRule="exact"/>
              <w:rPr>
                <w:sz w:val="20"/>
                <w:szCs w:val="20"/>
                <w:color w:val="auto"/>
              </w:rPr>
            </w:pPr>
            <w:r>
              <w:rPr>
                <w:rFonts w:ascii="Arial" w:cs="Arial" w:eastAsia="Arial" w:hAnsi="Arial"/>
                <w:sz w:val="12"/>
                <w:szCs w:val="12"/>
                <w:color w:val="auto"/>
              </w:rPr>
              <w:t>Current liabilities:</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60" w:type="dxa"/>
            <w:vAlign w:val="bottom"/>
            <w:gridSpan w:val="2"/>
          </w:tcPr>
          <w:p>
            <w:pPr>
              <w:ind w:left="120"/>
              <w:spacing w:after="0" w:line="134" w:lineRule="exact"/>
              <w:rPr>
                <w:sz w:val="20"/>
                <w:szCs w:val="20"/>
                <w:color w:val="auto"/>
              </w:rPr>
            </w:pPr>
            <w:r>
              <w:rPr>
                <w:rFonts w:ascii="Arial" w:cs="Arial" w:eastAsia="Arial" w:hAnsi="Arial"/>
                <w:sz w:val="12"/>
                <w:szCs w:val="12"/>
                <w:color w:val="auto"/>
              </w:rPr>
              <w:t>Accounts payable - trade</w:t>
            </w:r>
          </w:p>
        </w:tc>
        <w:tc>
          <w:tcPr>
            <w:tcW w:w="3160" w:type="dxa"/>
            <w:vAlign w:val="bottom"/>
            <w:gridSpan w:val="2"/>
          </w:tcPr>
          <w:p>
            <w:pPr>
              <w:jc w:val="right"/>
              <w:ind w:right="903"/>
              <w:spacing w:after="0" w:line="134" w:lineRule="exact"/>
              <w:rPr>
                <w:sz w:val="20"/>
                <w:szCs w:val="20"/>
                <w:color w:val="auto"/>
              </w:rPr>
            </w:pPr>
            <w:r>
              <w:rPr>
                <w:rFonts w:ascii="Arial" w:cs="Arial" w:eastAsia="Arial" w:hAnsi="Arial"/>
                <w:sz w:val="12"/>
                <w:szCs w:val="12"/>
                <w:color w:val="auto"/>
              </w:rPr>
              <w:t>$</w:t>
            </w: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234</w:t>
            </w:r>
          </w:p>
        </w:tc>
        <w:tc>
          <w:tcPr>
            <w:tcW w:w="220" w:type="dxa"/>
            <w:vAlign w:val="bottom"/>
          </w:tcPr>
          <w:p>
            <w:pPr>
              <w:jc w:val="right"/>
              <w:ind w:right="78"/>
              <w:spacing w:after="0" w:line="134" w:lineRule="exact"/>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327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60" w:type="dxa"/>
            <w:vAlign w:val="bottom"/>
            <w:gridSpan w:val="2"/>
          </w:tcPr>
          <w:p>
            <w:pPr>
              <w:ind w:left="120"/>
              <w:spacing w:after="0" w:line="134" w:lineRule="exact"/>
              <w:rPr>
                <w:sz w:val="20"/>
                <w:szCs w:val="20"/>
                <w:color w:val="auto"/>
              </w:rPr>
            </w:pPr>
            <w:r>
              <w:rPr>
                <w:rFonts w:ascii="Arial" w:cs="Arial" w:eastAsia="Arial" w:hAnsi="Arial"/>
                <w:sz w:val="12"/>
                <w:szCs w:val="12"/>
                <w:color w:val="auto"/>
              </w:rPr>
              <w:t>Accounts payable - other</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71</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Due to unconsolidated affiliates</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85</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96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Deferred income taxes</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27</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60" w:type="dxa"/>
            <w:vAlign w:val="bottom"/>
            <w:gridSpan w:val="2"/>
          </w:tcPr>
          <w:p>
            <w:pPr>
              <w:ind w:left="120"/>
              <w:spacing w:after="0" w:line="134" w:lineRule="exact"/>
              <w:rPr>
                <w:sz w:val="20"/>
                <w:szCs w:val="20"/>
                <w:color w:val="auto"/>
              </w:rPr>
            </w:pPr>
            <w:r>
              <w:rPr>
                <w:rFonts w:ascii="Arial" w:cs="Arial" w:eastAsia="Arial" w:hAnsi="Arial"/>
                <w:sz w:val="12"/>
                <w:szCs w:val="12"/>
                <w:color w:val="auto"/>
              </w:rPr>
              <w:t>Accrued compensation and benefits</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76</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Regulatory balancing accounts, net</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307</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180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Current portion of long-term debt</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9</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262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Customer deposits</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73</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73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Temporary LIFO liquidation</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66</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340" w:type="dxa"/>
            <w:vAlign w:val="bottom"/>
          </w:tcPr>
          <w:p>
            <w:pPr>
              <w:spacing w:after="0"/>
              <w:rPr>
                <w:sz w:val="20"/>
                <w:szCs w:val="20"/>
                <w:color w:val="auto"/>
              </w:rPr>
            </w:pPr>
            <w:r>
              <w:rPr>
                <w:rFonts w:ascii="Arial" w:cs="Arial" w:eastAsia="Arial" w:hAnsi="Arial"/>
                <w:sz w:val="12"/>
                <w:szCs w:val="12"/>
                <w:color w:val="auto"/>
              </w:rPr>
              <w:t>Other</w:t>
            </w:r>
          </w:p>
        </w:tc>
        <w:tc>
          <w:tcPr>
            <w:tcW w:w="21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187</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ind w:left="140"/>
              <w:spacing w:after="0" w:line="134" w:lineRule="exact"/>
              <w:rPr>
                <w:sz w:val="20"/>
                <w:szCs w:val="20"/>
                <w:color w:val="auto"/>
              </w:rPr>
            </w:pPr>
            <w:r>
              <w:rPr>
                <w:rFonts w:ascii="Arial" w:cs="Arial" w:eastAsia="Arial" w:hAnsi="Arial"/>
                <w:sz w:val="12"/>
                <w:szCs w:val="12"/>
                <w:color w:val="auto"/>
              </w:rPr>
              <w:t>Total current liabilities</w:t>
            </w:r>
          </w:p>
        </w:tc>
        <w:tc>
          <w:tcPr>
            <w:tcW w:w="212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1,135</w:t>
            </w: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1,294</w:t>
            </w:r>
          </w:p>
        </w:tc>
        <w:tc>
          <w:tcPr>
            <w:tcW w:w="0" w:type="dxa"/>
            <w:vAlign w:val="bottom"/>
          </w:tcPr>
          <w:p>
            <w:pPr>
              <w:spacing w:after="0"/>
              <w:rPr>
                <w:sz w:val="1"/>
                <w:szCs w:val="1"/>
                <w:color w:val="auto"/>
              </w:rPr>
            </w:pPr>
          </w:p>
        </w:tc>
      </w:tr>
      <w:tr>
        <w:trPr>
          <w:trHeight w:val="135"/>
        </w:trPr>
        <w:tc>
          <w:tcPr>
            <w:tcW w:w="6480" w:type="dxa"/>
            <w:vAlign w:val="bottom"/>
            <w:gridSpan w:val="3"/>
          </w:tcPr>
          <w:p>
            <w:pPr>
              <w:spacing w:after="0" w:line="134" w:lineRule="exact"/>
              <w:rPr>
                <w:sz w:val="20"/>
                <w:szCs w:val="20"/>
                <w:color w:val="auto"/>
              </w:rPr>
            </w:pPr>
            <w:r>
              <w:rPr>
                <w:rFonts w:ascii="Arial" w:cs="Arial" w:eastAsia="Arial" w:hAnsi="Arial"/>
                <w:sz w:val="12"/>
                <w:szCs w:val="12"/>
                <w:color w:val="auto"/>
              </w:rPr>
              <w:t>Long-term debt</w:t>
            </w:r>
          </w:p>
        </w:tc>
        <w:tc>
          <w:tcPr>
            <w:tcW w:w="212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1,318</w:t>
            </w: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1,320</w:t>
            </w:r>
          </w:p>
        </w:tc>
        <w:tc>
          <w:tcPr>
            <w:tcW w:w="0" w:type="dxa"/>
            <w:vAlign w:val="bottom"/>
          </w:tcPr>
          <w:p>
            <w:pPr>
              <w:spacing w:after="0"/>
              <w:rPr>
                <w:sz w:val="1"/>
                <w:szCs w:val="1"/>
                <w:color w:val="auto"/>
              </w:rPr>
            </w:pPr>
          </w:p>
        </w:tc>
      </w:tr>
      <w:tr>
        <w:trPr>
          <w:trHeight w:val="125"/>
        </w:trPr>
        <w:tc>
          <w:tcPr>
            <w:tcW w:w="6480" w:type="dxa"/>
            <w:vAlign w:val="bottom"/>
            <w:gridSpan w:val="3"/>
          </w:tcPr>
          <w:p>
            <w:pPr>
              <w:spacing w:after="0" w:line="126" w:lineRule="exact"/>
              <w:rPr>
                <w:sz w:val="20"/>
                <w:szCs w:val="20"/>
                <w:color w:val="auto"/>
              </w:rPr>
            </w:pPr>
            <w:r>
              <w:rPr>
                <w:rFonts w:ascii="Arial" w:cs="Arial" w:eastAsia="Arial" w:hAnsi="Arial"/>
                <w:sz w:val="12"/>
                <w:szCs w:val="12"/>
                <w:color w:val="auto"/>
              </w:rPr>
              <w:t>Deferred credits and other liabilities:</w:t>
            </w:r>
          </w:p>
        </w:tc>
        <w:tc>
          <w:tcPr>
            <w:tcW w:w="2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Customer advances for construction</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111</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133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Pension and other postretirement benefit obligations, net of plan assets</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625</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613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Deferred income taxes</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462</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416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Deferred investment tax credits</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25</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Regulatory liabilities arising from removal obligations</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1,216</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1,208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60" w:type="dxa"/>
            <w:vAlign w:val="bottom"/>
            <w:gridSpan w:val="2"/>
          </w:tcPr>
          <w:p>
            <w:pPr>
              <w:ind w:left="120"/>
              <w:spacing w:after="0" w:line="134" w:lineRule="exact"/>
              <w:rPr>
                <w:sz w:val="20"/>
                <w:szCs w:val="20"/>
                <w:color w:val="auto"/>
              </w:rPr>
            </w:pPr>
            <w:r>
              <w:rPr>
                <w:rFonts w:ascii="Arial" w:cs="Arial" w:eastAsia="Arial" w:hAnsi="Arial"/>
                <w:sz w:val="12"/>
                <w:szCs w:val="12"/>
                <w:color w:val="auto"/>
              </w:rPr>
              <w:t>Asset retirement obligations</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798</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788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Deferred taxes refundable in rates</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130</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138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340" w:type="dxa"/>
            <w:vAlign w:val="bottom"/>
          </w:tcPr>
          <w:p>
            <w:pPr>
              <w:spacing w:after="0"/>
              <w:rPr>
                <w:sz w:val="20"/>
                <w:szCs w:val="20"/>
                <w:color w:val="auto"/>
              </w:rPr>
            </w:pPr>
            <w:r>
              <w:rPr>
                <w:rFonts w:ascii="Arial" w:cs="Arial" w:eastAsia="Arial" w:hAnsi="Arial"/>
                <w:sz w:val="12"/>
                <w:szCs w:val="12"/>
                <w:color w:val="auto"/>
              </w:rPr>
              <w:t>Deferred credits and other</w:t>
            </w:r>
          </w:p>
        </w:tc>
        <w:tc>
          <w:tcPr>
            <w:tcW w:w="21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199</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ind w:left="140"/>
              <w:spacing w:after="0" w:line="134" w:lineRule="exact"/>
              <w:rPr>
                <w:sz w:val="20"/>
                <w:szCs w:val="20"/>
                <w:color w:val="auto"/>
              </w:rPr>
            </w:pPr>
            <w:r>
              <w:rPr>
                <w:rFonts w:ascii="Arial" w:cs="Arial" w:eastAsia="Arial" w:hAnsi="Arial"/>
                <w:sz w:val="12"/>
                <w:szCs w:val="12"/>
                <w:color w:val="auto"/>
              </w:rPr>
              <w:t>Total deferred credits and other liabilities</w:t>
            </w:r>
          </w:p>
        </w:tc>
        <w:tc>
          <w:tcPr>
            <w:tcW w:w="212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3,566</w:t>
            </w: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3,501</w:t>
            </w:r>
          </w:p>
        </w:tc>
        <w:tc>
          <w:tcPr>
            <w:tcW w:w="0" w:type="dxa"/>
            <w:vAlign w:val="bottom"/>
          </w:tcPr>
          <w:p>
            <w:pPr>
              <w:spacing w:after="0"/>
              <w:rPr>
                <w:sz w:val="1"/>
                <w:szCs w:val="1"/>
                <w:color w:val="auto"/>
              </w:rPr>
            </w:pPr>
          </w:p>
        </w:tc>
      </w:tr>
      <w:tr>
        <w:trPr>
          <w:trHeight w:val="274"/>
        </w:trPr>
        <w:tc>
          <w:tcPr>
            <w:tcW w:w="6480" w:type="dxa"/>
            <w:vAlign w:val="bottom"/>
            <w:gridSpan w:val="3"/>
          </w:tcPr>
          <w:p>
            <w:pPr>
              <w:spacing w:after="0"/>
              <w:rPr>
                <w:sz w:val="20"/>
                <w:szCs w:val="20"/>
                <w:color w:val="auto"/>
              </w:rPr>
            </w:pPr>
            <w:r>
              <w:rPr>
                <w:rFonts w:ascii="Arial" w:cs="Arial" w:eastAsia="Arial" w:hAnsi="Arial"/>
                <w:sz w:val="12"/>
                <w:szCs w:val="12"/>
                <w:color w:val="auto"/>
              </w:rPr>
              <w:t>Commitments and contingencies (Note 10)</w:t>
            </w:r>
          </w:p>
        </w:tc>
        <w:tc>
          <w:tcPr>
            <w:tcW w:w="2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6480" w:type="dxa"/>
            <w:vAlign w:val="bottom"/>
            <w:gridSpan w:val="3"/>
          </w:tcPr>
          <w:p>
            <w:pPr>
              <w:spacing w:after="0"/>
              <w:rPr>
                <w:sz w:val="20"/>
                <w:szCs w:val="20"/>
                <w:color w:val="auto"/>
              </w:rPr>
            </w:pPr>
            <w:r>
              <w:rPr>
                <w:rFonts w:ascii="Arial" w:cs="Arial" w:eastAsia="Arial" w:hAnsi="Arial"/>
                <w:sz w:val="12"/>
                <w:szCs w:val="12"/>
                <w:color w:val="auto"/>
              </w:rPr>
              <w:t>Equity:</w:t>
            </w:r>
          </w:p>
        </w:tc>
        <w:tc>
          <w:tcPr>
            <w:tcW w:w="2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Preferred stock</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80</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Common stock (600 million shares authorized; 84 million shares outstanding;</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ind w:left="140"/>
              <w:spacing w:after="0" w:line="134" w:lineRule="exact"/>
              <w:rPr>
                <w:sz w:val="20"/>
                <w:szCs w:val="20"/>
                <w:color w:val="auto"/>
              </w:rPr>
            </w:pPr>
            <w:r>
              <w:rPr>
                <w:rFonts w:ascii="Arial" w:cs="Arial" w:eastAsia="Arial" w:hAnsi="Arial"/>
                <w:sz w:val="12"/>
                <w:szCs w:val="12"/>
                <w:color w:val="auto"/>
              </w:rPr>
              <w:t>no par value)</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1,462</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1,462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Retained earnings</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893</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876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60" w:type="dxa"/>
            <w:vAlign w:val="bottom"/>
            <w:gridSpan w:val="2"/>
          </w:tcPr>
          <w:p>
            <w:pPr>
              <w:ind w:left="120"/>
              <w:spacing w:after="0"/>
              <w:rPr>
                <w:sz w:val="20"/>
                <w:szCs w:val="20"/>
                <w:color w:val="auto"/>
              </w:rPr>
            </w:pPr>
            <w:r>
              <w:rPr>
                <w:rFonts w:ascii="Arial" w:cs="Arial" w:eastAsia="Arial" w:hAnsi="Arial"/>
                <w:sz w:val="12"/>
                <w:szCs w:val="12"/>
                <w:color w:val="auto"/>
              </w:rPr>
              <w:t>Accumulated other comprehensive income (loss)</w:t>
            </w:r>
          </w:p>
        </w:tc>
        <w:tc>
          <w:tcPr>
            <w:tcW w:w="21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340" w:type="dxa"/>
            <w:vAlign w:val="bottom"/>
          </w:tcPr>
          <w:p>
            <w:pPr>
              <w:ind w:left="140"/>
              <w:spacing w:after="0" w:line="126" w:lineRule="exact"/>
              <w:rPr>
                <w:sz w:val="20"/>
                <w:szCs w:val="20"/>
                <w:color w:val="auto"/>
              </w:rPr>
            </w:pPr>
            <w:r>
              <w:rPr>
                <w:rFonts w:ascii="Arial" w:cs="Arial" w:eastAsia="Arial" w:hAnsi="Arial"/>
                <w:sz w:val="12"/>
                <w:szCs w:val="12"/>
                <w:color w:val="auto"/>
              </w:rPr>
              <w:t>Total Pacific Enterprises shareholders' equity</w:t>
            </w:r>
          </w:p>
        </w:tc>
        <w:tc>
          <w:tcPr>
            <w:tcW w:w="2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80" w:type="dxa"/>
            <w:vAlign w:val="bottom"/>
          </w:tcPr>
          <w:p>
            <w:pPr>
              <w:jc w:val="right"/>
              <w:spacing w:after="0" w:line="126" w:lineRule="exact"/>
              <w:rPr>
                <w:sz w:val="20"/>
                <w:szCs w:val="20"/>
                <w:color w:val="auto"/>
              </w:rPr>
            </w:pPr>
            <w:r>
              <w:rPr>
                <w:rFonts w:ascii="Arial" w:cs="Arial" w:eastAsia="Arial" w:hAnsi="Arial"/>
                <w:sz w:val="12"/>
                <w:szCs w:val="12"/>
                <w:color w:val="auto"/>
              </w:rPr>
              <w:t>2,413</w:t>
            </w:r>
          </w:p>
        </w:tc>
        <w:tc>
          <w:tcPr>
            <w:tcW w:w="220" w:type="dxa"/>
            <w:vAlign w:val="bottom"/>
          </w:tcPr>
          <w:p>
            <w:pPr>
              <w:spacing w:after="0"/>
              <w:rPr>
                <w:sz w:val="10"/>
                <w:szCs w:val="10"/>
                <w:color w:val="auto"/>
              </w:rPr>
            </w:pPr>
          </w:p>
        </w:tc>
        <w:tc>
          <w:tcPr>
            <w:tcW w:w="1220" w:type="dxa"/>
            <w:vAlign w:val="bottom"/>
          </w:tcPr>
          <w:p>
            <w:pPr>
              <w:jc w:val="right"/>
              <w:spacing w:after="0" w:line="126" w:lineRule="exact"/>
              <w:rPr>
                <w:sz w:val="20"/>
                <w:szCs w:val="20"/>
                <w:color w:val="auto"/>
              </w:rPr>
            </w:pPr>
            <w:r>
              <w:rPr>
                <w:rFonts w:ascii="Arial" w:cs="Arial" w:eastAsia="Arial" w:hAnsi="Arial"/>
                <w:sz w:val="12"/>
                <w:szCs w:val="12"/>
                <w:color w:val="auto"/>
              </w:rPr>
              <w:t>2,396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340" w:type="dxa"/>
            <w:vAlign w:val="bottom"/>
          </w:tcPr>
          <w:p>
            <w:pPr>
              <w:spacing w:after="0"/>
              <w:rPr>
                <w:sz w:val="20"/>
                <w:szCs w:val="20"/>
                <w:color w:val="auto"/>
              </w:rPr>
            </w:pPr>
            <w:r>
              <w:rPr>
                <w:rFonts w:ascii="Arial" w:cs="Arial" w:eastAsia="Arial" w:hAnsi="Arial"/>
                <w:sz w:val="12"/>
                <w:szCs w:val="12"/>
                <w:color w:val="auto"/>
              </w:rPr>
              <w:t>Preferred stock of subsidiary</w:t>
            </w:r>
          </w:p>
        </w:tc>
        <w:tc>
          <w:tcPr>
            <w:tcW w:w="21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ind w:left="140"/>
              <w:spacing w:after="0" w:line="134" w:lineRule="exact"/>
              <w:rPr>
                <w:sz w:val="20"/>
                <w:szCs w:val="20"/>
                <w:color w:val="auto"/>
              </w:rPr>
            </w:pPr>
            <w:r>
              <w:rPr>
                <w:rFonts w:ascii="Arial" w:cs="Arial" w:eastAsia="Arial" w:hAnsi="Arial"/>
                <w:sz w:val="12"/>
                <w:szCs w:val="12"/>
                <w:color w:val="auto"/>
              </w:rPr>
              <w:t>Total equity</w:t>
            </w:r>
          </w:p>
        </w:tc>
        <w:tc>
          <w:tcPr>
            <w:tcW w:w="212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2,433</w:t>
            </w: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2,416</w:t>
            </w:r>
          </w:p>
        </w:tc>
        <w:tc>
          <w:tcPr>
            <w:tcW w:w="0" w:type="dxa"/>
            <w:vAlign w:val="bottom"/>
          </w:tcPr>
          <w:p>
            <w:pPr>
              <w:spacing w:after="0"/>
              <w:rPr>
                <w:sz w:val="1"/>
                <w:szCs w:val="1"/>
                <w:color w:val="auto"/>
              </w:rPr>
            </w:pPr>
          </w:p>
        </w:tc>
      </w:tr>
      <w:tr>
        <w:trPr>
          <w:trHeight w:val="135"/>
        </w:trPr>
        <w:tc>
          <w:tcPr>
            <w:tcW w:w="6480" w:type="dxa"/>
            <w:vAlign w:val="bottom"/>
            <w:gridSpan w:val="3"/>
          </w:tcPr>
          <w:p>
            <w:pPr>
              <w:spacing w:after="0" w:line="134" w:lineRule="exact"/>
              <w:rPr>
                <w:sz w:val="20"/>
                <w:szCs w:val="20"/>
                <w:color w:val="auto"/>
              </w:rPr>
            </w:pPr>
            <w:r>
              <w:rPr>
                <w:rFonts w:ascii="Arial" w:cs="Arial" w:eastAsia="Arial" w:hAnsi="Arial"/>
                <w:sz w:val="12"/>
                <w:szCs w:val="12"/>
                <w:color w:val="auto"/>
              </w:rPr>
              <w:t>Total liabilities and equity</w:t>
            </w:r>
          </w:p>
        </w:tc>
        <w:tc>
          <w:tcPr>
            <w:tcW w:w="2120" w:type="dxa"/>
            <w:vAlign w:val="bottom"/>
          </w:tcPr>
          <w:p>
            <w:pPr>
              <w:spacing w:after="0"/>
              <w:rPr>
                <w:sz w:val="11"/>
                <w:szCs w:val="11"/>
                <w:color w:val="auto"/>
              </w:rPr>
            </w:pPr>
          </w:p>
        </w:tc>
        <w:tc>
          <w:tcPr>
            <w:tcW w:w="1040" w:type="dxa"/>
            <w:vAlign w:val="bottom"/>
          </w:tcPr>
          <w:p>
            <w:pPr>
              <w:jc w:val="right"/>
              <w:ind w:right="903"/>
              <w:spacing w:after="0" w:line="134" w:lineRule="exact"/>
              <w:rPr>
                <w:sz w:val="20"/>
                <w:szCs w:val="20"/>
                <w:color w:val="auto"/>
              </w:rPr>
            </w:pPr>
            <w:r>
              <w:rPr>
                <w:rFonts w:ascii="Arial" w:cs="Arial" w:eastAsia="Arial" w:hAnsi="Arial"/>
                <w:sz w:val="12"/>
                <w:szCs w:val="12"/>
                <w:color w:val="auto"/>
                <w:w w:val="89"/>
              </w:rPr>
              <w:t>$</w:t>
            </w: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8,452</w:t>
            </w:r>
          </w:p>
        </w:tc>
        <w:tc>
          <w:tcPr>
            <w:tcW w:w="220" w:type="dxa"/>
            <w:vAlign w:val="bottom"/>
          </w:tcPr>
          <w:p>
            <w:pPr>
              <w:jc w:val="right"/>
              <w:ind w:right="78"/>
              <w:spacing w:after="0" w:line="134" w:lineRule="exact"/>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8,531</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20" w:type="dxa"/>
            <w:vAlign w:val="bottom"/>
            <w:tcBorders>
              <w:top w:val="single" w:sz="8" w:color="auto"/>
            </w:tcBorders>
          </w:tcPr>
          <w:p>
            <w:pPr>
              <w:spacing w:after="0" w:line="116" w:lineRule="exact"/>
              <w:rPr>
                <w:sz w:val="20"/>
                <w:szCs w:val="20"/>
                <w:color w:val="auto"/>
              </w:rPr>
            </w:pPr>
            <w:r>
              <w:rPr>
                <w:rFonts w:ascii="Arial" w:cs="Arial" w:eastAsia="Arial" w:hAnsi="Arial"/>
                <w:sz w:val="11"/>
                <w:szCs w:val="11"/>
                <w:i w:val="1"/>
                <w:iCs w:val="1"/>
                <w:color w:val="auto"/>
                <w:w w:val="74"/>
              </w:rPr>
              <w:t>(1)</w:t>
            </w:r>
          </w:p>
        </w:tc>
        <w:tc>
          <w:tcPr>
            <w:tcW w:w="6340" w:type="dxa"/>
            <w:vAlign w:val="bottom"/>
            <w:tcBorders>
              <w:top w:val="single" w:sz="8" w:color="auto"/>
            </w:tcBorders>
          </w:tcPr>
          <w:p>
            <w:pPr>
              <w:ind w:left="380"/>
              <w:spacing w:after="0" w:line="116" w:lineRule="exact"/>
              <w:rPr>
                <w:sz w:val="20"/>
                <w:szCs w:val="20"/>
                <w:color w:val="auto"/>
              </w:rPr>
            </w:pPr>
            <w:r>
              <w:rPr>
                <w:rFonts w:ascii="Arial" w:cs="Arial" w:eastAsia="Arial" w:hAnsi="Arial"/>
                <w:sz w:val="11"/>
                <w:szCs w:val="11"/>
                <w:i w:val="1"/>
                <w:iCs w:val="1"/>
                <w:color w:val="auto"/>
              </w:rPr>
              <w:t>Derived from audited financial statements.</w:t>
            </w:r>
          </w:p>
        </w:tc>
        <w:tc>
          <w:tcPr>
            <w:tcW w:w="2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480" w:type="dxa"/>
            <w:vAlign w:val="bottom"/>
            <w:gridSpan w:val="3"/>
          </w:tcPr>
          <w:p>
            <w:pPr>
              <w:spacing w:after="0"/>
              <w:rPr>
                <w:sz w:val="20"/>
                <w:szCs w:val="20"/>
                <w:color w:val="auto"/>
              </w:rPr>
            </w:pPr>
            <w:r>
              <w:rPr>
                <w:rFonts w:ascii="Arial" w:cs="Arial" w:eastAsia="Arial" w:hAnsi="Arial"/>
                <w:sz w:val="11"/>
                <w:szCs w:val="11"/>
                <w:i w:val="1"/>
                <w:iCs w:val="1"/>
                <w:color w:val="auto"/>
              </w:rPr>
              <w:t>See Notes to Condensed Consolidated Financial Statements.</w:t>
            </w:r>
          </w:p>
        </w:tc>
        <w:tc>
          <w:tcPr>
            <w:tcW w:w="2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27" w:right="21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color w:val="auto"/>
        </w:rPr>
        <w:t>PACIFIC ENTERPRISES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255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9005" cy="25590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(Dollars in millions)</w:t>
      </w:r>
    </w:p>
    <w:tbl>
      <w:tblPr>
        <w:tblLayout w:type="fixed"/>
        <w:tblInd w:w="0" w:type="dxa"/>
        <w:tblCellMar>
          <w:top w:w="0" w:type="dxa"/>
          <w:left w:w="0" w:type="dxa"/>
          <w:bottom w:w="0" w:type="dxa"/>
          <w:right w:w="0" w:type="dxa"/>
        </w:tblCellMar>
      </w:tblPr>
      <w:tr>
        <w:trPr>
          <w:trHeight w:val="121"/>
        </w:trPr>
        <w:tc>
          <w:tcPr>
            <w:tcW w:w="64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000" w:type="dxa"/>
            <w:vAlign w:val="bottom"/>
            <w:tcBorders>
              <w:bottom w:val="single" w:sz="8" w:color="auto"/>
            </w:tcBorders>
            <w:gridSpan w:val="3"/>
          </w:tcPr>
          <w:p>
            <w:pPr>
              <w:jc w:val="right"/>
              <w:spacing w:after="0" w:line="121" w:lineRule="exact"/>
              <w:rPr>
                <w:sz w:val="20"/>
                <w:szCs w:val="20"/>
                <w:color w:val="auto"/>
              </w:rPr>
            </w:pPr>
            <w:r>
              <w:rPr>
                <w:rFonts w:ascii="Arial" w:cs="Arial" w:eastAsia="Arial" w:hAnsi="Arial"/>
                <w:sz w:val="11"/>
                <w:szCs w:val="11"/>
                <w:color w:val="auto"/>
              </w:rPr>
              <w:t>Three months ended March 31,</w:t>
            </w:r>
          </w:p>
        </w:tc>
        <w:tc>
          <w:tcPr>
            <w:tcW w:w="3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400" w:type="dxa"/>
            <w:vAlign w:val="bottom"/>
            <w:tcBorders>
              <w:bottom w:val="single" w:sz="8" w:color="auto"/>
            </w:tcBorders>
          </w:tcPr>
          <w:p>
            <w:pPr>
              <w:spacing w:after="0"/>
              <w:rPr>
                <w:sz w:val="11"/>
                <w:szCs w:val="11"/>
                <w:color w:val="auto"/>
              </w:rPr>
            </w:pPr>
          </w:p>
        </w:tc>
        <w:tc>
          <w:tcPr>
            <w:tcW w:w="350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1"/>
                <w:szCs w:val="11"/>
                <w:color w:val="auto"/>
              </w:rPr>
              <w:t>2011</w:t>
            </w: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color w:val="auto"/>
              </w:rPr>
              <w:t>2010</w:t>
            </w:r>
          </w:p>
        </w:tc>
        <w:tc>
          <w:tcPr>
            <w:tcW w:w="3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400" w:type="dxa"/>
            <w:vAlign w:val="bottom"/>
            <w:vMerge w:val="restart"/>
          </w:tcPr>
          <w:p>
            <w:pPr>
              <w:spacing w:after="0"/>
              <w:rPr>
                <w:sz w:val="20"/>
                <w:szCs w:val="20"/>
                <w:color w:val="auto"/>
              </w:rPr>
            </w:pPr>
            <w:r>
              <w:rPr>
                <w:rFonts w:ascii="Arial" w:cs="Arial" w:eastAsia="Arial" w:hAnsi="Arial"/>
                <w:sz w:val="12"/>
                <w:szCs w:val="12"/>
                <w:color w:val="auto"/>
              </w:rPr>
              <w:t>CASH FLOWS FROM OPERATING ACTIVITIES</w:t>
            </w:r>
          </w:p>
        </w:tc>
        <w:tc>
          <w:tcPr>
            <w:tcW w:w="2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20" w:type="dxa"/>
            <w:vAlign w:val="bottom"/>
            <w:gridSpan w:val="2"/>
          </w:tcPr>
          <w:p>
            <w:pPr>
              <w:jc w:val="right"/>
              <w:ind w:right="479"/>
              <w:spacing w:after="0"/>
              <w:rPr>
                <w:sz w:val="20"/>
                <w:szCs w:val="20"/>
                <w:color w:val="auto"/>
              </w:rPr>
            </w:pPr>
            <w:r>
              <w:rPr>
                <w:rFonts w:ascii="Arial" w:cs="Arial" w:eastAsia="Arial" w:hAnsi="Arial"/>
                <w:sz w:val="11"/>
                <w:szCs w:val="11"/>
                <w:color w:val="auto"/>
              </w:rPr>
              <w:t>(unaudited)</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400" w:type="dxa"/>
            <w:vAlign w:val="bottom"/>
            <w:vMerge w:val="continue"/>
          </w:tcPr>
          <w:p>
            <w:pPr>
              <w:spacing w:after="0"/>
              <w:rPr>
                <w:sz w:val="9"/>
                <w:szCs w:val="9"/>
                <w:color w:val="auto"/>
              </w:rPr>
            </w:pPr>
          </w:p>
        </w:tc>
        <w:tc>
          <w:tcPr>
            <w:tcW w:w="2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6400" w:type="dxa"/>
            <w:vAlign w:val="bottom"/>
          </w:tcPr>
          <w:p>
            <w:pPr>
              <w:ind w:left="140"/>
              <w:spacing w:after="0" w:line="134" w:lineRule="exact"/>
              <w:rPr>
                <w:sz w:val="20"/>
                <w:szCs w:val="20"/>
                <w:color w:val="auto"/>
              </w:rPr>
            </w:pPr>
            <w:r>
              <w:rPr>
                <w:rFonts w:ascii="Arial" w:cs="Arial" w:eastAsia="Arial" w:hAnsi="Arial"/>
                <w:sz w:val="12"/>
                <w:szCs w:val="12"/>
                <w:color w:val="auto"/>
              </w:rPr>
              <w:t>Net income</w:t>
            </w:r>
          </w:p>
        </w:tc>
        <w:tc>
          <w:tcPr>
            <w:tcW w:w="3500" w:type="dxa"/>
            <w:vAlign w:val="bottom"/>
            <w:gridSpan w:val="2"/>
          </w:tcPr>
          <w:p>
            <w:pPr>
              <w:jc w:val="right"/>
              <w:ind w:right="667"/>
              <w:spacing w:after="0" w:line="134" w:lineRule="exact"/>
              <w:rPr>
                <w:sz w:val="20"/>
                <w:szCs w:val="20"/>
                <w:color w:val="auto"/>
              </w:rPr>
            </w:pPr>
            <w:r>
              <w:rPr>
                <w:rFonts w:ascii="Arial" w:cs="Arial" w:eastAsia="Arial" w:hAnsi="Arial"/>
                <w:sz w:val="12"/>
                <w:szCs w:val="12"/>
                <w:color w:val="auto"/>
              </w:rPr>
              <w:t>$</w:t>
            </w: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68</w:t>
            </w:r>
          </w:p>
        </w:tc>
        <w:tc>
          <w:tcPr>
            <w:tcW w:w="840" w:type="dxa"/>
            <w:vAlign w:val="bottom"/>
          </w:tcPr>
          <w:p>
            <w:pPr>
              <w:jc w:val="right"/>
              <w:ind w:right="699"/>
              <w:spacing w:after="0" w:line="134" w:lineRule="exact"/>
              <w:rPr>
                <w:sz w:val="20"/>
                <w:szCs w:val="20"/>
                <w:color w:val="auto"/>
              </w:rPr>
            </w:pPr>
            <w:r>
              <w:rPr>
                <w:rFonts w:ascii="Arial" w:cs="Arial" w:eastAsia="Arial" w:hAnsi="Arial"/>
                <w:sz w:val="12"/>
                <w:szCs w:val="12"/>
                <w:color w:val="auto"/>
                <w:w w:val="89"/>
              </w:rPr>
              <w:t>$</w:t>
            </w:r>
          </w:p>
        </w:tc>
        <w:tc>
          <w:tcPr>
            <w:tcW w:w="340" w:type="dxa"/>
            <w:vAlign w:val="bottom"/>
          </w:tcPr>
          <w:p>
            <w:pPr>
              <w:jc w:val="right"/>
              <w:spacing w:after="0" w:line="134" w:lineRule="exact"/>
              <w:rPr>
                <w:sz w:val="20"/>
                <w:szCs w:val="20"/>
                <w:color w:val="auto"/>
              </w:rPr>
            </w:pPr>
            <w:r>
              <w:rPr>
                <w:rFonts w:ascii="Arial" w:cs="Arial" w:eastAsia="Arial" w:hAnsi="Arial"/>
                <w:sz w:val="12"/>
                <w:szCs w:val="12"/>
                <w:color w:val="auto"/>
              </w:rPr>
              <w:t>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400" w:type="dxa"/>
            <w:vAlign w:val="bottom"/>
          </w:tcPr>
          <w:p>
            <w:pPr>
              <w:ind w:left="140"/>
              <w:spacing w:after="0" w:line="134" w:lineRule="exact"/>
              <w:rPr>
                <w:sz w:val="20"/>
                <w:szCs w:val="20"/>
                <w:color w:val="auto"/>
              </w:rPr>
            </w:pPr>
            <w:r>
              <w:rPr>
                <w:rFonts w:ascii="Arial" w:cs="Arial" w:eastAsia="Arial" w:hAnsi="Arial"/>
                <w:sz w:val="12"/>
                <w:szCs w:val="12"/>
                <w:color w:val="auto"/>
              </w:rPr>
              <w:t>Adjustments to reconcile net income to net cash provided by</w:t>
            </w:r>
          </w:p>
        </w:tc>
        <w:tc>
          <w:tcPr>
            <w:tcW w:w="2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400" w:type="dxa"/>
            <w:vAlign w:val="bottom"/>
          </w:tcPr>
          <w:p>
            <w:pPr>
              <w:ind w:left="280"/>
              <w:spacing w:after="0" w:line="134" w:lineRule="exact"/>
              <w:rPr>
                <w:sz w:val="20"/>
                <w:szCs w:val="20"/>
                <w:color w:val="auto"/>
              </w:rPr>
            </w:pPr>
            <w:r>
              <w:rPr>
                <w:rFonts w:ascii="Arial" w:cs="Arial" w:eastAsia="Arial" w:hAnsi="Arial"/>
                <w:sz w:val="12"/>
                <w:szCs w:val="12"/>
                <w:color w:val="auto"/>
              </w:rPr>
              <w:t>operating activities:</w:t>
            </w:r>
          </w:p>
        </w:tc>
        <w:tc>
          <w:tcPr>
            <w:tcW w:w="2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400" w:type="dxa"/>
            <w:vAlign w:val="bottom"/>
          </w:tcPr>
          <w:p>
            <w:pPr>
              <w:ind w:left="420"/>
              <w:spacing w:after="0" w:line="134" w:lineRule="exact"/>
              <w:rPr>
                <w:sz w:val="20"/>
                <w:szCs w:val="20"/>
                <w:color w:val="auto"/>
              </w:rPr>
            </w:pPr>
            <w:r>
              <w:rPr>
                <w:rFonts w:ascii="Arial" w:cs="Arial" w:eastAsia="Arial" w:hAnsi="Arial"/>
                <w:sz w:val="12"/>
                <w:szCs w:val="12"/>
                <w:color w:val="auto"/>
              </w:rPr>
              <w:t>Depreciation</w:t>
            </w:r>
          </w:p>
        </w:tc>
        <w:tc>
          <w:tcPr>
            <w:tcW w:w="2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81</w:t>
            </w:r>
          </w:p>
        </w:tc>
        <w:tc>
          <w:tcPr>
            <w:tcW w:w="840" w:type="dxa"/>
            <w:vAlign w:val="bottom"/>
          </w:tcPr>
          <w:p>
            <w:pPr>
              <w:spacing w:after="0"/>
              <w:rPr>
                <w:sz w:val="11"/>
                <w:szCs w:val="11"/>
                <w:color w:val="auto"/>
              </w:rPr>
            </w:pPr>
          </w:p>
        </w:tc>
        <w:tc>
          <w:tcPr>
            <w:tcW w:w="340" w:type="dxa"/>
            <w:vAlign w:val="bottom"/>
          </w:tcPr>
          <w:p>
            <w:pPr>
              <w:jc w:val="right"/>
              <w:spacing w:after="0" w:line="134" w:lineRule="exact"/>
              <w:rPr>
                <w:sz w:val="20"/>
                <w:szCs w:val="20"/>
                <w:color w:val="auto"/>
              </w:rPr>
            </w:pPr>
            <w:r>
              <w:rPr>
                <w:rFonts w:ascii="Arial" w:cs="Arial" w:eastAsia="Arial" w:hAnsi="Arial"/>
                <w:sz w:val="12"/>
                <w:szCs w:val="12"/>
                <w:color w:val="auto"/>
              </w:rPr>
              <w:t>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400" w:type="dxa"/>
            <w:vAlign w:val="bottom"/>
          </w:tcPr>
          <w:p>
            <w:pPr>
              <w:ind w:left="420"/>
              <w:spacing w:after="0" w:line="134" w:lineRule="exact"/>
              <w:rPr>
                <w:sz w:val="20"/>
                <w:szCs w:val="20"/>
                <w:color w:val="auto"/>
              </w:rPr>
            </w:pPr>
            <w:r>
              <w:rPr>
                <w:rFonts w:ascii="Arial" w:cs="Arial" w:eastAsia="Arial" w:hAnsi="Arial"/>
                <w:sz w:val="12"/>
                <w:szCs w:val="12"/>
                <w:color w:val="auto"/>
              </w:rPr>
              <w:t>Deferred income taxes and investment tax credits</w:t>
            </w:r>
          </w:p>
        </w:tc>
        <w:tc>
          <w:tcPr>
            <w:tcW w:w="2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48</w:t>
            </w:r>
          </w:p>
        </w:tc>
        <w:tc>
          <w:tcPr>
            <w:tcW w:w="840" w:type="dxa"/>
            <w:vAlign w:val="bottom"/>
          </w:tcPr>
          <w:p>
            <w:pPr>
              <w:spacing w:after="0"/>
              <w:rPr>
                <w:sz w:val="11"/>
                <w:szCs w:val="11"/>
                <w:color w:val="auto"/>
              </w:rPr>
            </w:pPr>
          </w:p>
        </w:tc>
        <w:tc>
          <w:tcPr>
            <w:tcW w:w="340" w:type="dxa"/>
            <w:vAlign w:val="bottom"/>
          </w:tcPr>
          <w:p>
            <w:pPr>
              <w:jc w:val="right"/>
              <w:spacing w:after="0" w:line="134" w:lineRule="exact"/>
              <w:rPr>
                <w:sz w:val="20"/>
                <w:szCs w:val="20"/>
                <w:color w:val="auto"/>
              </w:rPr>
            </w:pPr>
            <w:r>
              <w:rPr>
                <w:rFonts w:ascii="Arial" w:cs="Arial" w:eastAsia="Arial" w:hAnsi="Arial"/>
                <w:sz w:val="12"/>
                <w:szCs w:val="12"/>
                <w:color w:val="auto"/>
              </w:rPr>
              <w:t>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400" w:type="dxa"/>
            <w:vAlign w:val="bottom"/>
          </w:tcPr>
          <w:p>
            <w:pPr>
              <w:ind w:left="420"/>
              <w:spacing w:after="0" w:line="134" w:lineRule="exact"/>
              <w:rPr>
                <w:sz w:val="20"/>
                <w:szCs w:val="20"/>
                <w:color w:val="auto"/>
              </w:rPr>
            </w:pPr>
            <w:r>
              <w:rPr>
                <w:rFonts w:ascii="Arial" w:cs="Arial" w:eastAsia="Arial" w:hAnsi="Arial"/>
                <w:sz w:val="12"/>
                <w:szCs w:val="12"/>
                <w:color w:val="auto"/>
              </w:rPr>
              <w:t>Other</w:t>
            </w:r>
          </w:p>
        </w:tc>
        <w:tc>
          <w:tcPr>
            <w:tcW w:w="2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c>
          <w:tcPr>
            <w:tcW w:w="840" w:type="dxa"/>
            <w:vAlign w:val="bottom"/>
          </w:tcPr>
          <w:p>
            <w:pPr>
              <w:spacing w:after="0"/>
              <w:rPr>
                <w:sz w:val="11"/>
                <w:szCs w:val="11"/>
                <w:color w:val="auto"/>
              </w:rPr>
            </w:pPr>
          </w:p>
        </w:tc>
        <w:tc>
          <w:tcPr>
            <w:tcW w:w="36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4"/>
        </w:trPr>
        <w:tc>
          <w:tcPr>
            <w:tcW w:w="6400" w:type="dxa"/>
            <w:vAlign w:val="bottom"/>
          </w:tcPr>
          <w:p>
            <w:pPr>
              <w:ind w:left="140"/>
              <w:spacing w:after="0" w:line="134" w:lineRule="exact"/>
              <w:rPr>
                <w:sz w:val="20"/>
                <w:szCs w:val="20"/>
                <w:color w:val="auto"/>
              </w:rPr>
            </w:pPr>
            <w:r>
              <w:rPr>
                <w:rFonts w:ascii="Arial" w:cs="Arial" w:eastAsia="Arial" w:hAnsi="Arial"/>
                <w:sz w:val="12"/>
                <w:szCs w:val="12"/>
                <w:color w:val="auto"/>
              </w:rPr>
              <w:t>Net change in other working capital components</w:t>
            </w:r>
          </w:p>
        </w:tc>
        <w:tc>
          <w:tcPr>
            <w:tcW w:w="2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177</w:t>
            </w:r>
          </w:p>
        </w:tc>
        <w:tc>
          <w:tcPr>
            <w:tcW w:w="840" w:type="dxa"/>
            <w:vAlign w:val="bottom"/>
          </w:tcPr>
          <w:p>
            <w:pPr>
              <w:spacing w:after="0"/>
              <w:rPr>
                <w:sz w:val="11"/>
                <w:szCs w:val="11"/>
                <w:color w:val="auto"/>
              </w:rPr>
            </w:pPr>
          </w:p>
        </w:tc>
        <w:tc>
          <w:tcPr>
            <w:tcW w:w="340" w:type="dxa"/>
            <w:vAlign w:val="bottom"/>
          </w:tcPr>
          <w:p>
            <w:pPr>
              <w:jc w:val="right"/>
              <w:spacing w:after="0" w:line="134" w:lineRule="exact"/>
              <w:rPr>
                <w:sz w:val="20"/>
                <w:szCs w:val="20"/>
                <w:color w:val="auto"/>
              </w:rPr>
            </w:pPr>
            <w:r>
              <w:rPr>
                <w:rFonts w:ascii="Arial" w:cs="Arial" w:eastAsia="Arial" w:hAnsi="Arial"/>
                <w:sz w:val="12"/>
                <w:szCs w:val="12"/>
                <w:color w:val="auto"/>
              </w:rPr>
              <w:t>339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400" w:type="dxa"/>
            <w:vAlign w:val="bottom"/>
          </w:tcPr>
          <w:p>
            <w:pPr>
              <w:ind w:left="140"/>
              <w:spacing w:after="0" w:line="134" w:lineRule="exact"/>
              <w:rPr>
                <w:sz w:val="20"/>
                <w:szCs w:val="20"/>
                <w:color w:val="auto"/>
              </w:rPr>
            </w:pPr>
            <w:r>
              <w:rPr>
                <w:rFonts w:ascii="Arial" w:cs="Arial" w:eastAsia="Arial" w:hAnsi="Arial"/>
                <w:sz w:val="12"/>
                <w:szCs w:val="12"/>
                <w:color w:val="auto"/>
              </w:rPr>
              <w:t>Changes in other assets</w:t>
            </w:r>
          </w:p>
        </w:tc>
        <w:tc>
          <w:tcPr>
            <w:tcW w:w="2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12</w:t>
            </w:r>
          </w:p>
        </w:tc>
        <w:tc>
          <w:tcPr>
            <w:tcW w:w="840" w:type="dxa"/>
            <w:vAlign w:val="bottom"/>
          </w:tcPr>
          <w:p>
            <w:pPr>
              <w:spacing w:after="0"/>
              <w:rPr>
                <w:sz w:val="11"/>
                <w:szCs w:val="11"/>
                <w:color w:val="auto"/>
              </w:rPr>
            </w:pPr>
          </w:p>
        </w:tc>
        <w:tc>
          <w:tcPr>
            <w:tcW w:w="34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400" w:type="dxa"/>
            <w:vAlign w:val="bottom"/>
          </w:tcPr>
          <w:p>
            <w:pPr>
              <w:ind w:left="140"/>
              <w:spacing w:after="0"/>
              <w:rPr>
                <w:sz w:val="20"/>
                <w:szCs w:val="20"/>
                <w:color w:val="auto"/>
              </w:rPr>
            </w:pPr>
            <w:r>
              <w:rPr>
                <w:rFonts w:ascii="Arial" w:cs="Arial" w:eastAsia="Arial" w:hAnsi="Arial"/>
                <w:sz w:val="12"/>
                <w:szCs w:val="12"/>
                <w:color w:val="auto"/>
              </w:rPr>
              <w:t>Changes in other liabilities</w:t>
            </w:r>
          </w:p>
        </w:tc>
        <w:tc>
          <w:tcPr>
            <w:tcW w:w="2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w:t>
            </w:r>
          </w:p>
        </w:tc>
        <w:tc>
          <w:tcPr>
            <w:tcW w:w="840" w:type="dxa"/>
            <w:vAlign w:val="bottom"/>
          </w:tcPr>
          <w:p>
            <w:pPr>
              <w:spacing w:after="0"/>
              <w:rPr>
                <w:sz w:val="12"/>
                <w:szCs w:val="12"/>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5"/>
        </w:trPr>
        <w:tc>
          <w:tcPr>
            <w:tcW w:w="6400" w:type="dxa"/>
            <w:vAlign w:val="bottom"/>
          </w:tcPr>
          <w:p>
            <w:pPr>
              <w:ind w:left="280"/>
              <w:spacing w:after="0" w:line="134" w:lineRule="exact"/>
              <w:rPr>
                <w:sz w:val="20"/>
                <w:szCs w:val="20"/>
                <w:color w:val="auto"/>
              </w:rPr>
            </w:pPr>
            <w:r>
              <w:rPr>
                <w:rFonts w:ascii="Arial" w:cs="Arial" w:eastAsia="Arial" w:hAnsi="Arial"/>
                <w:sz w:val="12"/>
                <w:szCs w:val="12"/>
                <w:color w:val="auto"/>
              </w:rPr>
              <w:t>Net cash provided by operating activities</w:t>
            </w:r>
          </w:p>
        </w:tc>
        <w:tc>
          <w:tcPr>
            <w:tcW w:w="2720" w:type="dxa"/>
            <w:vAlign w:val="bottom"/>
          </w:tcPr>
          <w:p>
            <w:pPr>
              <w:spacing w:after="0"/>
              <w:rPr>
                <w:sz w:val="11"/>
                <w:szCs w:val="11"/>
                <w:color w:val="auto"/>
              </w:rPr>
            </w:pPr>
          </w:p>
        </w:tc>
        <w:tc>
          <w:tcPr>
            <w:tcW w:w="7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380</w:t>
            </w:r>
          </w:p>
        </w:tc>
        <w:tc>
          <w:tcPr>
            <w:tcW w:w="84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492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0"/>
        </w:trPr>
        <w:tc>
          <w:tcPr>
            <w:tcW w:w="640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2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6400" w:type="dxa"/>
            <w:vAlign w:val="bottom"/>
          </w:tcPr>
          <w:p>
            <w:pPr>
              <w:ind w:left="140"/>
              <w:spacing w:after="0" w:line="134" w:lineRule="exact"/>
              <w:rPr>
                <w:sz w:val="20"/>
                <w:szCs w:val="20"/>
                <w:color w:val="auto"/>
              </w:rPr>
            </w:pPr>
            <w:r>
              <w:rPr>
                <w:rFonts w:ascii="Arial" w:cs="Arial" w:eastAsia="Arial" w:hAnsi="Arial"/>
                <w:sz w:val="12"/>
                <w:szCs w:val="12"/>
                <w:color w:val="auto"/>
              </w:rPr>
              <w:t>Expenditures for property, plant and equipment</w:t>
            </w:r>
          </w:p>
        </w:tc>
        <w:tc>
          <w:tcPr>
            <w:tcW w:w="2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(168)</w:t>
            </w:r>
          </w:p>
        </w:tc>
        <w:tc>
          <w:tcPr>
            <w:tcW w:w="840" w:type="dxa"/>
            <w:vAlign w:val="bottom"/>
          </w:tcPr>
          <w:p>
            <w:pPr>
              <w:spacing w:after="0"/>
              <w:rPr>
                <w:sz w:val="11"/>
                <w:szCs w:val="11"/>
                <w:color w:val="auto"/>
              </w:rPr>
            </w:pPr>
          </w:p>
        </w:tc>
        <w:tc>
          <w:tcPr>
            <w:tcW w:w="36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(114)</w:t>
            </w:r>
          </w:p>
        </w:tc>
        <w:tc>
          <w:tcPr>
            <w:tcW w:w="0" w:type="dxa"/>
            <w:vAlign w:val="bottom"/>
          </w:tcPr>
          <w:p>
            <w:pPr>
              <w:spacing w:after="0"/>
              <w:rPr>
                <w:sz w:val="1"/>
                <w:szCs w:val="1"/>
                <w:color w:val="auto"/>
              </w:rPr>
            </w:pPr>
          </w:p>
        </w:tc>
      </w:tr>
      <w:tr>
        <w:trPr>
          <w:trHeight w:val="144"/>
        </w:trPr>
        <w:tc>
          <w:tcPr>
            <w:tcW w:w="6400" w:type="dxa"/>
            <w:vAlign w:val="bottom"/>
          </w:tcPr>
          <w:p>
            <w:pPr>
              <w:ind w:left="140"/>
              <w:spacing w:after="0"/>
              <w:rPr>
                <w:sz w:val="20"/>
                <w:szCs w:val="20"/>
                <w:color w:val="auto"/>
              </w:rPr>
            </w:pPr>
            <w:r>
              <w:rPr>
                <w:rFonts w:ascii="Arial" w:cs="Arial" w:eastAsia="Arial" w:hAnsi="Arial"/>
                <w:sz w:val="12"/>
                <w:szCs w:val="12"/>
                <w:color w:val="auto"/>
              </w:rPr>
              <w:t>Increase in loans to affiliates, net</w:t>
            </w:r>
          </w:p>
        </w:tc>
        <w:tc>
          <w:tcPr>
            <w:tcW w:w="27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(295)</w:t>
            </w:r>
          </w:p>
        </w:tc>
        <w:tc>
          <w:tcPr>
            <w:tcW w:w="8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(146)</w:t>
            </w:r>
          </w:p>
        </w:tc>
        <w:tc>
          <w:tcPr>
            <w:tcW w:w="0" w:type="dxa"/>
            <w:vAlign w:val="bottom"/>
          </w:tcPr>
          <w:p>
            <w:pPr>
              <w:spacing w:after="0"/>
              <w:rPr>
                <w:sz w:val="1"/>
                <w:szCs w:val="1"/>
                <w:color w:val="auto"/>
              </w:rPr>
            </w:pPr>
          </w:p>
        </w:tc>
      </w:tr>
      <w:tr>
        <w:trPr>
          <w:trHeight w:val="135"/>
        </w:trPr>
        <w:tc>
          <w:tcPr>
            <w:tcW w:w="6400" w:type="dxa"/>
            <w:vAlign w:val="bottom"/>
          </w:tcPr>
          <w:p>
            <w:pPr>
              <w:ind w:left="280"/>
              <w:spacing w:after="0" w:line="134" w:lineRule="exact"/>
              <w:rPr>
                <w:sz w:val="20"/>
                <w:szCs w:val="20"/>
                <w:color w:val="auto"/>
              </w:rPr>
            </w:pPr>
            <w:r>
              <w:rPr>
                <w:rFonts w:ascii="Arial" w:cs="Arial" w:eastAsia="Arial" w:hAnsi="Arial"/>
                <w:sz w:val="12"/>
                <w:szCs w:val="12"/>
                <w:color w:val="auto"/>
              </w:rPr>
              <w:t>Net cash used in investing activities</w:t>
            </w:r>
          </w:p>
        </w:tc>
        <w:tc>
          <w:tcPr>
            <w:tcW w:w="2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(463)</w:t>
            </w:r>
          </w:p>
        </w:tc>
        <w:tc>
          <w:tcPr>
            <w:tcW w:w="840" w:type="dxa"/>
            <w:vAlign w:val="bottom"/>
          </w:tcPr>
          <w:p>
            <w:pPr>
              <w:spacing w:after="0"/>
              <w:rPr>
                <w:sz w:val="11"/>
                <w:szCs w:val="11"/>
                <w:color w:val="auto"/>
              </w:rPr>
            </w:pPr>
          </w:p>
        </w:tc>
        <w:tc>
          <w:tcPr>
            <w:tcW w:w="36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(260)</w:t>
            </w:r>
          </w:p>
        </w:tc>
        <w:tc>
          <w:tcPr>
            <w:tcW w:w="0" w:type="dxa"/>
            <w:vAlign w:val="bottom"/>
          </w:tcPr>
          <w:p>
            <w:pPr>
              <w:spacing w:after="0"/>
              <w:rPr>
                <w:sz w:val="1"/>
                <w:szCs w:val="1"/>
                <w:color w:val="auto"/>
              </w:rPr>
            </w:pPr>
          </w:p>
        </w:tc>
      </w:tr>
      <w:tr>
        <w:trPr>
          <w:trHeight w:val="260"/>
        </w:trPr>
        <w:tc>
          <w:tcPr>
            <w:tcW w:w="6400" w:type="dxa"/>
            <w:vAlign w:val="bottom"/>
          </w:tcPr>
          <w:p>
            <w:pPr>
              <w:spacing w:after="0"/>
              <w:rPr>
                <w:sz w:val="20"/>
                <w:szCs w:val="20"/>
                <w:color w:val="auto"/>
              </w:rPr>
            </w:pPr>
            <w:r>
              <w:rPr>
                <w:rFonts w:ascii="Arial" w:cs="Arial" w:eastAsia="Arial" w:hAnsi="Arial"/>
                <w:sz w:val="12"/>
                <w:szCs w:val="12"/>
                <w:color w:val="auto"/>
              </w:rPr>
              <w:t>CASH FLOWS FROM FINANCING ACTIVITIES</w:t>
            </w:r>
          </w:p>
        </w:tc>
        <w:tc>
          <w:tcPr>
            <w:tcW w:w="272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6400" w:type="dxa"/>
            <w:vAlign w:val="bottom"/>
          </w:tcPr>
          <w:p>
            <w:pPr>
              <w:ind w:left="140"/>
              <w:spacing w:after="0" w:line="134" w:lineRule="exact"/>
              <w:rPr>
                <w:sz w:val="20"/>
                <w:szCs w:val="20"/>
                <w:color w:val="auto"/>
              </w:rPr>
            </w:pPr>
            <w:r>
              <w:rPr>
                <w:rFonts w:ascii="Arial" w:cs="Arial" w:eastAsia="Arial" w:hAnsi="Arial"/>
                <w:sz w:val="12"/>
                <w:szCs w:val="12"/>
                <w:color w:val="auto"/>
              </w:rPr>
              <w:t>Common dividends paid</w:t>
            </w:r>
          </w:p>
        </w:tc>
        <w:tc>
          <w:tcPr>
            <w:tcW w:w="2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(50)</w:t>
            </w:r>
          </w:p>
        </w:tc>
        <w:tc>
          <w:tcPr>
            <w:tcW w:w="840" w:type="dxa"/>
            <w:vAlign w:val="bottom"/>
          </w:tcPr>
          <w:p>
            <w:pPr>
              <w:spacing w:after="0"/>
              <w:rPr>
                <w:sz w:val="11"/>
                <w:szCs w:val="11"/>
                <w:color w:val="auto"/>
              </w:rPr>
            </w:pPr>
          </w:p>
        </w:tc>
        <w:tc>
          <w:tcPr>
            <w:tcW w:w="36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34"/>
        </w:trPr>
        <w:tc>
          <w:tcPr>
            <w:tcW w:w="6400" w:type="dxa"/>
            <w:vAlign w:val="bottom"/>
          </w:tcPr>
          <w:p>
            <w:pPr>
              <w:ind w:left="140"/>
              <w:spacing w:after="0" w:line="134" w:lineRule="exact"/>
              <w:rPr>
                <w:sz w:val="20"/>
                <w:szCs w:val="20"/>
                <w:color w:val="auto"/>
              </w:rPr>
            </w:pPr>
            <w:r>
              <w:rPr>
                <w:rFonts w:ascii="Arial" w:cs="Arial" w:eastAsia="Arial" w:hAnsi="Arial"/>
                <w:sz w:val="12"/>
                <w:szCs w:val="12"/>
                <w:color w:val="auto"/>
              </w:rPr>
              <w:t>Preferred dividends paid</w:t>
            </w:r>
          </w:p>
        </w:tc>
        <w:tc>
          <w:tcPr>
            <w:tcW w:w="2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c>
          <w:tcPr>
            <w:tcW w:w="840" w:type="dxa"/>
            <w:vAlign w:val="bottom"/>
          </w:tcPr>
          <w:p>
            <w:pPr>
              <w:spacing w:after="0"/>
              <w:rPr>
                <w:sz w:val="11"/>
                <w:szCs w:val="11"/>
                <w:color w:val="auto"/>
              </w:rPr>
            </w:pPr>
          </w:p>
        </w:tc>
        <w:tc>
          <w:tcPr>
            <w:tcW w:w="36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4"/>
        </w:trPr>
        <w:tc>
          <w:tcPr>
            <w:tcW w:w="6400" w:type="dxa"/>
            <w:vAlign w:val="bottom"/>
          </w:tcPr>
          <w:p>
            <w:pPr>
              <w:ind w:left="140"/>
              <w:spacing w:after="0"/>
              <w:rPr>
                <w:sz w:val="20"/>
                <w:szCs w:val="20"/>
                <w:color w:val="auto"/>
              </w:rPr>
            </w:pPr>
            <w:r>
              <w:rPr>
                <w:rFonts w:ascii="Arial" w:cs="Arial" w:eastAsia="Arial" w:hAnsi="Arial"/>
                <w:sz w:val="12"/>
                <w:szCs w:val="12"/>
                <w:color w:val="auto"/>
              </w:rPr>
              <w:t>Payment of long-term debt</w:t>
            </w:r>
          </w:p>
        </w:tc>
        <w:tc>
          <w:tcPr>
            <w:tcW w:w="2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(250)</w:t>
            </w:r>
          </w:p>
        </w:tc>
        <w:tc>
          <w:tcPr>
            <w:tcW w:w="840" w:type="dxa"/>
            <w:vAlign w:val="bottom"/>
          </w:tcPr>
          <w:p>
            <w:pPr>
              <w:spacing w:after="0"/>
              <w:rPr>
                <w:sz w:val="12"/>
                <w:szCs w:val="12"/>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6400" w:type="dxa"/>
            <w:vAlign w:val="bottom"/>
          </w:tcPr>
          <w:p>
            <w:pPr>
              <w:ind w:left="280"/>
              <w:spacing w:after="0" w:line="134" w:lineRule="exact"/>
              <w:rPr>
                <w:sz w:val="20"/>
                <w:szCs w:val="20"/>
                <w:color w:val="auto"/>
              </w:rPr>
            </w:pPr>
            <w:r>
              <w:rPr>
                <w:rFonts w:ascii="Arial" w:cs="Arial" w:eastAsia="Arial" w:hAnsi="Arial"/>
                <w:sz w:val="12"/>
                <w:szCs w:val="12"/>
                <w:color w:val="auto"/>
              </w:rPr>
              <w:t>Net cash used in financing activities</w:t>
            </w:r>
          </w:p>
        </w:tc>
        <w:tc>
          <w:tcPr>
            <w:tcW w:w="2720" w:type="dxa"/>
            <w:vAlign w:val="bottom"/>
          </w:tcPr>
          <w:p>
            <w:pPr>
              <w:spacing w:after="0"/>
              <w:rPr>
                <w:sz w:val="11"/>
                <w:szCs w:val="11"/>
                <w:color w:val="auto"/>
              </w:rPr>
            </w:pPr>
          </w:p>
        </w:tc>
        <w:tc>
          <w:tcPr>
            <w:tcW w:w="7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(301)</w:t>
            </w:r>
          </w:p>
        </w:tc>
        <w:tc>
          <w:tcPr>
            <w:tcW w:w="84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0"/>
        </w:trPr>
        <w:tc>
          <w:tcPr>
            <w:tcW w:w="6400" w:type="dxa"/>
            <w:vAlign w:val="bottom"/>
          </w:tcPr>
          <w:p>
            <w:pPr>
              <w:spacing w:after="0"/>
              <w:rPr>
                <w:sz w:val="20"/>
                <w:szCs w:val="20"/>
                <w:color w:val="auto"/>
              </w:rPr>
            </w:pPr>
            <w:r>
              <w:rPr>
                <w:rFonts w:ascii="Arial" w:cs="Arial" w:eastAsia="Arial" w:hAnsi="Arial"/>
                <w:sz w:val="12"/>
                <w:szCs w:val="12"/>
                <w:color w:val="auto"/>
              </w:rPr>
              <w:t>(Decrease) increase in cash and cash equivalents</w:t>
            </w:r>
          </w:p>
        </w:tc>
        <w:tc>
          <w:tcPr>
            <w:tcW w:w="2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(384)</w:t>
            </w:r>
          </w:p>
        </w:tc>
        <w:tc>
          <w:tcPr>
            <w:tcW w:w="8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6400" w:type="dxa"/>
            <w:vAlign w:val="bottom"/>
          </w:tcPr>
          <w:p>
            <w:pPr>
              <w:spacing w:after="0"/>
              <w:rPr>
                <w:sz w:val="20"/>
                <w:szCs w:val="20"/>
                <w:color w:val="auto"/>
              </w:rPr>
            </w:pPr>
            <w:r>
              <w:rPr>
                <w:rFonts w:ascii="Arial" w:cs="Arial" w:eastAsia="Arial" w:hAnsi="Arial"/>
                <w:sz w:val="12"/>
                <w:szCs w:val="12"/>
                <w:color w:val="auto"/>
              </w:rPr>
              <w:t>Cash and cash equivalents, January 1</w:t>
            </w:r>
          </w:p>
        </w:tc>
        <w:tc>
          <w:tcPr>
            <w:tcW w:w="27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417</w:t>
            </w:r>
          </w:p>
        </w:tc>
        <w:tc>
          <w:tcPr>
            <w:tcW w:w="8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0" w:type="dxa"/>
            <w:vAlign w:val="bottom"/>
          </w:tcPr>
          <w:p>
            <w:pPr>
              <w:spacing w:after="0" w:line="134" w:lineRule="exact"/>
              <w:rPr>
                <w:sz w:val="20"/>
                <w:szCs w:val="20"/>
                <w:color w:val="auto"/>
              </w:rPr>
            </w:pPr>
            <w:r>
              <w:rPr>
                <w:rFonts w:ascii="Arial" w:cs="Arial" w:eastAsia="Arial" w:hAnsi="Arial"/>
                <w:sz w:val="12"/>
                <w:szCs w:val="12"/>
                <w:color w:val="auto"/>
              </w:rPr>
              <w:t>Cash and cash equivalents, March 31</w:t>
            </w:r>
          </w:p>
        </w:tc>
        <w:tc>
          <w:tcPr>
            <w:tcW w:w="2720" w:type="dxa"/>
            <w:vAlign w:val="bottom"/>
          </w:tcPr>
          <w:p>
            <w:pPr>
              <w:spacing w:after="0"/>
              <w:rPr>
                <w:sz w:val="11"/>
                <w:szCs w:val="11"/>
                <w:color w:val="auto"/>
              </w:rPr>
            </w:pPr>
          </w:p>
        </w:tc>
        <w:tc>
          <w:tcPr>
            <w:tcW w:w="780" w:type="dxa"/>
            <w:vAlign w:val="bottom"/>
            <w:tcBorders>
              <w:bottom w:val="single" w:sz="8" w:color="auto"/>
            </w:tcBorders>
          </w:tcPr>
          <w:p>
            <w:pPr>
              <w:jc w:val="right"/>
              <w:ind w:right="667"/>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33</w:t>
            </w:r>
          </w:p>
        </w:tc>
        <w:tc>
          <w:tcPr>
            <w:tcW w:w="840" w:type="dxa"/>
            <w:vAlign w:val="bottom"/>
            <w:tcBorders>
              <w:bottom w:val="single" w:sz="8" w:color="auto"/>
            </w:tcBorders>
          </w:tcPr>
          <w:p>
            <w:pPr>
              <w:jc w:val="right"/>
              <w:ind w:right="699"/>
              <w:spacing w:after="0" w:line="134" w:lineRule="exact"/>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0"/>
        </w:trPr>
        <w:tc>
          <w:tcPr>
            <w:tcW w:w="6400" w:type="dxa"/>
            <w:vAlign w:val="bottom"/>
          </w:tcPr>
          <w:p>
            <w:pPr>
              <w:spacing w:after="0"/>
              <w:rPr>
                <w:sz w:val="20"/>
                <w:szCs w:val="20"/>
                <w:color w:val="auto"/>
              </w:rPr>
            </w:pPr>
            <w:r>
              <w:rPr>
                <w:rFonts w:ascii="Arial" w:cs="Arial" w:eastAsia="Arial" w:hAnsi="Arial"/>
                <w:sz w:val="12"/>
                <w:szCs w:val="12"/>
                <w:color w:val="auto"/>
              </w:rPr>
              <w:t>SUPPLEMENTAL DISCLOSURE OF CASH FLOW INFORMATION</w:t>
            </w:r>
          </w:p>
        </w:tc>
        <w:tc>
          <w:tcPr>
            <w:tcW w:w="2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6400" w:type="dxa"/>
            <w:vAlign w:val="bottom"/>
          </w:tcPr>
          <w:p>
            <w:pPr>
              <w:ind w:left="140"/>
              <w:spacing w:after="0" w:line="134" w:lineRule="exact"/>
              <w:rPr>
                <w:sz w:val="20"/>
                <w:szCs w:val="20"/>
                <w:color w:val="auto"/>
              </w:rPr>
            </w:pPr>
            <w:r>
              <w:rPr>
                <w:rFonts w:ascii="Arial" w:cs="Arial" w:eastAsia="Arial" w:hAnsi="Arial"/>
                <w:sz w:val="12"/>
                <w:szCs w:val="12"/>
                <w:color w:val="auto"/>
              </w:rPr>
              <w:t>Interest payments, net of amounts capitalized</w:t>
            </w:r>
          </w:p>
        </w:tc>
        <w:tc>
          <w:tcPr>
            <w:tcW w:w="3500" w:type="dxa"/>
            <w:vAlign w:val="bottom"/>
            <w:gridSpan w:val="2"/>
          </w:tcPr>
          <w:p>
            <w:pPr>
              <w:jc w:val="right"/>
              <w:ind w:right="667"/>
              <w:spacing w:after="0" w:line="134" w:lineRule="exact"/>
              <w:rPr>
                <w:sz w:val="20"/>
                <w:szCs w:val="20"/>
                <w:color w:val="auto"/>
              </w:rPr>
            </w:pPr>
            <w:r>
              <w:rPr>
                <w:rFonts w:ascii="Arial" w:cs="Arial" w:eastAsia="Arial" w:hAnsi="Arial"/>
                <w:sz w:val="12"/>
                <w:szCs w:val="12"/>
                <w:color w:val="auto"/>
              </w:rPr>
              <w:t>$</w:t>
            </w: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8</w:t>
            </w:r>
          </w:p>
        </w:tc>
        <w:tc>
          <w:tcPr>
            <w:tcW w:w="840" w:type="dxa"/>
            <w:vAlign w:val="bottom"/>
          </w:tcPr>
          <w:p>
            <w:pPr>
              <w:jc w:val="right"/>
              <w:ind w:right="699"/>
              <w:spacing w:after="0" w:line="134" w:lineRule="exact"/>
              <w:rPr>
                <w:sz w:val="20"/>
                <w:szCs w:val="20"/>
                <w:color w:val="auto"/>
              </w:rPr>
            </w:pPr>
            <w:r>
              <w:rPr>
                <w:rFonts w:ascii="Arial" w:cs="Arial" w:eastAsia="Arial" w:hAnsi="Arial"/>
                <w:sz w:val="12"/>
                <w:szCs w:val="12"/>
                <w:color w:val="auto"/>
                <w:w w:val="89"/>
              </w:rPr>
              <w:t>$</w:t>
            </w:r>
          </w:p>
        </w:tc>
        <w:tc>
          <w:tcPr>
            <w:tcW w:w="340" w:type="dxa"/>
            <w:vAlign w:val="bottom"/>
          </w:tcPr>
          <w:p>
            <w:pPr>
              <w:jc w:val="right"/>
              <w:spacing w:after="0" w:line="134" w:lineRule="exact"/>
              <w:rPr>
                <w:sz w:val="20"/>
                <w:szCs w:val="20"/>
                <w:color w:val="auto"/>
              </w:rPr>
            </w:pPr>
            <w:r>
              <w:rPr>
                <w:rFonts w:ascii="Arial" w:cs="Arial" w:eastAsia="Arial" w:hAnsi="Arial"/>
                <w:sz w:val="12"/>
                <w:szCs w:val="12"/>
                <w:color w:val="auto"/>
              </w:rPr>
              <w:t>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140"/>
              <w:spacing w:after="0"/>
              <w:rPr>
                <w:sz w:val="20"/>
                <w:szCs w:val="20"/>
                <w:color w:val="auto"/>
              </w:rPr>
            </w:pPr>
            <w:r>
              <w:rPr>
                <w:rFonts w:ascii="Arial" w:cs="Arial" w:eastAsia="Arial" w:hAnsi="Arial"/>
                <w:sz w:val="12"/>
                <w:szCs w:val="12"/>
                <w:color w:val="auto"/>
              </w:rPr>
              <w:t>Income tax refunds, net</w:t>
            </w:r>
          </w:p>
        </w:tc>
        <w:tc>
          <w:tcPr>
            <w:tcW w:w="2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14</w:t>
            </w:r>
          </w:p>
        </w:tc>
        <w:tc>
          <w:tcPr>
            <w:tcW w:w="8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6400" w:type="dxa"/>
            <w:vAlign w:val="bottom"/>
          </w:tcPr>
          <w:p>
            <w:pPr>
              <w:spacing w:after="0"/>
              <w:rPr>
                <w:sz w:val="20"/>
                <w:szCs w:val="20"/>
                <w:color w:val="auto"/>
              </w:rPr>
            </w:pPr>
            <w:r>
              <w:rPr>
                <w:rFonts w:ascii="Arial" w:cs="Arial" w:eastAsia="Arial" w:hAnsi="Arial"/>
                <w:sz w:val="12"/>
                <w:szCs w:val="12"/>
                <w:color w:val="auto"/>
              </w:rPr>
              <w:t>SUPPLEMENTAL DISCLOSURE OF NONCASH ACTIVITIES</w:t>
            </w:r>
          </w:p>
        </w:tc>
        <w:tc>
          <w:tcPr>
            <w:tcW w:w="2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6400" w:type="dxa"/>
            <w:vAlign w:val="bottom"/>
          </w:tcPr>
          <w:p>
            <w:pPr>
              <w:ind w:left="140"/>
              <w:spacing w:after="0" w:line="134" w:lineRule="exact"/>
              <w:rPr>
                <w:sz w:val="20"/>
                <w:szCs w:val="20"/>
                <w:color w:val="auto"/>
              </w:rPr>
            </w:pPr>
            <w:r>
              <w:rPr>
                <w:rFonts w:ascii="Arial" w:cs="Arial" w:eastAsia="Arial" w:hAnsi="Arial"/>
                <w:sz w:val="12"/>
                <w:szCs w:val="12"/>
                <w:color w:val="auto"/>
              </w:rPr>
              <w:t>Dividends declared but not paid</w:t>
            </w:r>
          </w:p>
        </w:tc>
        <w:tc>
          <w:tcPr>
            <w:tcW w:w="3500" w:type="dxa"/>
            <w:vAlign w:val="bottom"/>
            <w:gridSpan w:val="2"/>
          </w:tcPr>
          <w:p>
            <w:pPr>
              <w:jc w:val="right"/>
              <w:ind w:right="667"/>
              <w:spacing w:after="0" w:line="134" w:lineRule="exact"/>
              <w:rPr>
                <w:sz w:val="20"/>
                <w:szCs w:val="20"/>
                <w:color w:val="auto"/>
              </w:rPr>
            </w:pPr>
            <w:r>
              <w:rPr>
                <w:rFonts w:ascii="Arial" w:cs="Arial" w:eastAsia="Arial" w:hAnsi="Arial"/>
                <w:sz w:val="12"/>
                <w:szCs w:val="12"/>
                <w:color w:val="auto"/>
              </w:rPr>
              <w:t>$</w:t>
            </w: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c>
          <w:tcPr>
            <w:tcW w:w="840" w:type="dxa"/>
            <w:vAlign w:val="bottom"/>
          </w:tcPr>
          <w:p>
            <w:pPr>
              <w:jc w:val="right"/>
              <w:ind w:right="699"/>
              <w:spacing w:after="0" w:line="134" w:lineRule="exact"/>
              <w:rPr>
                <w:sz w:val="20"/>
                <w:szCs w:val="20"/>
                <w:color w:val="auto"/>
              </w:rPr>
            </w:pPr>
            <w:r>
              <w:rPr>
                <w:rFonts w:ascii="Arial" w:cs="Arial" w:eastAsia="Arial" w:hAnsi="Arial"/>
                <w:sz w:val="12"/>
                <w:szCs w:val="12"/>
                <w:color w:val="auto"/>
                <w:w w:val="89"/>
              </w:rPr>
              <w:t>$</w:t>
            </w:r>
          </w:p>
        </w:tc>
        <w:tc>
          <w:tcPr>
            <w:tcW w:w="34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140"/>
              <w:spacing w:after="0"/>
              <w:rPr>
                <w:sz w:val="20"/>
                <w:szCs w:val="20"/>
                <w:color w:val="auto"/>
              </w:rPr>
            </w:pPr>
            <w:r>
              <w:rPr>
                <w:rFonts w:ascii="Arial" w:cs="Arial" w:eastAsia="Arial" w:hAnsi="Arial"/>
                <w:sz w:val="12"/>
                <w:szCs w:val="12"/>
                <w:color w:val="auto"/>
              </w:rPr>
              <w:t>Accrued capital expenditures</w:t>
            </w:r>
          </w:p>
        </w:tc>
        <w:tc>
          <w:tcPr>
            <w:tcW w:w="2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76</w:t>
            </w:r>
          </w:p>
        </w:tc>
        <w:tc>
          <w:tcPr>
            <w:tcW w:w="8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279005"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See Notes to Condensed Consolidated Financial Statements.</w:t>
      </w:r>
    </w:p>
    <w:p>
      <w:pPr>
        <w:sectPr>
          <w:pgSz w:w="11900" w:h="16838" w:orient="portrait"/>
          <w:cols w:equalWidth="0" w:num="1">
            <w:col w:w="11460"/>
          </w:cols>
          <w:pgMar w:left="220" w:top="427" w:right="219" w:bottom="1440" w:gutter="0" w:footer="0" w:header="0"/>
        </w:sectPr>
      </w:pPr>
    </w:p>
    <w:bookmarkStart w:id="19" w:name="page20"/>
    <w:bookmarkEnd w:id="19"/>
    <w:p>
      <w:pPr>
        <w:spacing w:after="0"/>
        <w:rPr>
          <w:sz w:val="20"/>
          <w:szCs w:val="20"/>
          <w:color w:val="auto"/>
        </w:rPr>
      </w:pPr>
      <w:r>
        <w:rPr>
          <w:rFonts w:ascii="Arial" w:cs="Arial" w:eastAsia="Arial" w:hAnsi="Arial"/>
          <w:sz w:val="12"/>
          <w:szCs w:val="12"/>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255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9005" cy="25590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(Dollars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66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Three months ended March 31,</w:t>
            </w:r>
          </w:p>
        </w:tc>
        <w:tc>
          <w:tcPr>
            <w:tcW w:w="1120" w:type="dxa"/>
            <w:vAlign w:val="bottom"/>
            <w:tcBorders>
              <w:bottom w:val="single" w:sz="8" w:color="auto"/>
            </w:tcBorders>
          </w:tcPr>
          <w:p>
            <w:pPr>
              <w:spacing w:after="0"/>
              <w:rPr>
                <w:sz w:val="11"/>
                <w:szCs w:val="11"/>
                <w:color w:val="auto"/>
              </w:rPr>
            </w:pPr>
          </w:p>
        </w:tc>
      </w:tr>
      <w:tr>
        <w:trPr>
          <w:trHeight w:val="135"/>
        </w:trPr>
        <w:tc>
          <w:tcPr>
            <w:tcW w:w="76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2011</w:t>
            </w:r>
          </w:p>
        </w:tc>
        <w:tc>
          <w:tcPr>
            <w:tcW w:w="8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779"/>
              <w:spacing w:after="0"/>
              <w:rPr>
                <w:sz w:val="20"/>
                <w:szCs w:val="20"/>
                <w:color w:val="auto"/>
              </w:rPr>
            </w:pPr>
            <w:r>
              <w:rPr>
                <w:rFonts w:ascii="Arial" w:cs="Arial" w:eastAsia="Arial" w:hAnsi="Arial"/>
                <w:sz w:val="11"/>
                <w:szCs w:val="11"/>
                <w:color w:val="auto"/>
              </w:rPr>
              <w:t>2010</w:t>
            </w:r>
          </w:p>
        </w:tc>
      </w:tr>
      <w:tr>
        <w:trPr>
          <w:trHeight w:val="146"/>
        </w:trPr>
        <w:tc>
          <w:tcPr>
            <w:tcW w:w="7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0" w:type="dxa"/>
            <w:vAlign w:val="bottom"/>
            <w:gridSpan w:val="2"/>
          </w:tcPr>
          <w:p>
            <w:pPr>
              <w:jc w:val="right"/>
              <w:ind w:right="448"/>
              <w:spacing w:after="0"/>
              <w:rPr>
                <w:sz w:val="20"/>
                <w:szCs w:val="20"/>
                <w:color w:val="auto"/>
              </w:rPr>
            </w:pPr>
            <w:r>
              <w:rPr>
                <w:rFonts w:ascii="Arial" w:cs="Arial" w:eastAsia="Arial" w:hAnsi="Arial"/>
                <w:sz w:val="11"/>
                <w:szCs w:val="11"/>
                <w:color w:val="auto"/>
              </w:rPr>
              <w:t>(unaudited)</w:t>
            </w:r>
          </w:p>
        </w:tc>
        <w:tc>
          <w:tcPr>
            <w:tcW w:w="1120" w:type="dxa"/>
            <w:vAlign w:val="bottom"/>
          </w:tcPr>
          <w:p>
            <w:pPr>
              <w:spacing w:after="0"/>
              <w:rPr>
                <w:sz w:val="12"/>
                <w:szCs w:val="12"/>
                <w:color w:val="auto"/>
              </w:rPr>
            </w:pPr>
          </w:p>
        </w:tc>
      </w:tr>
      <w:tr>
        <w:trPr>
          <w:trHeight w:val="258"/>
        </w:trPr>
        <w:tc>
          <w:tcPr>
            <w:tcW w:w="7660" w:type="dxa"/>
            <w:vAlign w:val="bottom"/>
          </w:tcPr>
          <w:p>
            <w:pPr>
              <w:spacing w:after="0"/>
              <w:rPr>
                <w:sz w:val="20"/>
                <w:szCs w:val="20"/>
                <w:color w:val="auto"/>
              </w:rPr>
            </w:pPr>
            <w:r>
              <w:rPr>
                <w:rFonts w:ascii="Arial" w:cs="Arial" w:eastAsia="Arial" w:hAnsi="Arial"/>
                <w:sz w:val="12"/>
                <w:szCs w:val="12"/>
                <w:color w:val="auto"/>
              </w:rPr>
              <w:t>Operating revenues</w:t>
            </w:r>
          </w:p>
        </w:tc>
        <w:tc>
          <w:tcPr>
            <w:tcW w:w="1080" w:type="dxa"/>
            <w:vAlign w:val="bottom"/>
            <w:tcBorders>
              <w:bottom w:val="single" w:sz="8" w:color="auto"/>
            </w:tcBorders>
          </w:tcPr>
          <w:p>
            <w:pPr>
              <w:jc w:val="right"/>
              <w:ind w:right="967"/>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1,056</w:t>
            </w:r>
          </w:p>
        </w:tc>
        <w:tc>
          <w:tcPr>
            <w:tcW w:w="78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1,182</w:t>
            </w:r>
          </w:p>
        </w:tc>
      </w:tr>
      <w:tr>
        <w:trPr>
          <w:trHeight w:val="125"/>
        </w:trPr>
        <w:tc>
          <w:tcPr>
            <w:tcW w:w="7660" w:type="dxa"/>
            <w:vAlign w:val="bottom"/>
          </w:tcPr>
          <w:p>
            <w:pPr>
              <w:spacing w:after="0" w:line="126" w:lineRule="exact"/>
              <w:rPr>
                <w:sz w:val="20"/>
                <w:szCs w:val="20"/>
                <w:color w:val="auto"/>
              </w:rPr>
            </w:pPr>
            <w:r>
              <w:rPr>
                <w:rFonts w:ascii="Arial" w:cs="Arial" w:eastAsia="Arial" w:hAnsi="Arial"/>
                <w:sz w:val="12"/>
                <w:szCs w:val="12"/>
                <w:color w:val="auto"/>
              </w:rPr>
              <w:t>Operating expenses</w:t>
            </w:r>
          </w:p>
        </w:tc>
        <w:tc>
          <w:tcPr>
            <w:tcW w:w="10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34"/>
        </w:trPr>
        <w:tc>
          <w:tcPr>
            <w:tcW w:w="7660" w:type="dxa"/>
            <w:vAlign w:val="bottom"/>
          </w:tcPr>
          <w:p>
            <w:pPr>
              <w:ind w:left="140"/>
              <w:spacing w:after="0" w:line="134" w:lineRule="exact"/>
              <w:rPr>
                <w:sz w:val="20"/>
                <w:szCs w:val="20"/>
                <w:color w:val="auto"/>
              </w:rPr>
            </w:pPr>
            <w:r>
              <w:rPr>
                <w:rFonts w:ascii="Arial" w:cs="Arial" w:eastAsia="Arial" w:hAnsi="Arial"/>
                <w:sz w:val="12"/>
                <w:szCs w:val="12"/>
                <w:color w:val="auto"/>
              </w:rPr>
              <w:t>Cost of natural gas</w:t>
            </w:r>
          </w:p>
        </w:tc>
        <w:tc>
          <w:tcPr>
            <w:tcW w:w="108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Arial" w:cs="Arial" w:eastAsia="Arial" w:hAnsi="Arial"/>
                <w:sz w:val="12"/>
                <w:szCs w:val="12"/>
                <w:color w:val="auto"/>
              </w:rPr>
              <w:t>531</w:t>
            </w:r>
          </w:p>
        </w:tc>
        <w:tc>
          <w:tcPr>
            <w:tcW w:w="78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Arial" w:cs="Arial" w:eastAsia="Arial" w:hAnsi="Arial"/>
                <w:sz w:val="12"/>
                <w:szCs w:val="12"/>
                <w:color w:val="auto"/>
              </w:rPr>
              <w:t>674</w:t>
            </w:r>
          </w:p>
        </w:tc>
      </w:tr>
      <w:tr>
        <w:trPr>
          <w:trHeight w:val="134"/>
        </w:trPr>
        <w:tc>
          <w:tcPr>
            <w:tcW w:w="7660" w:type="dxa"/>
            <w:vAlign w:val="bottom"/>
          </w:tcPr>
          <w:p>
            <w:pPr>
              <w:ind w:left="140"/>
              <w:spacing w:after="0" w:line="134" w:lineRule="exact"/>
              <w:rPr>
                <w:sz w:val="20"/>
                <w:szCs w:val="20"/>
                <w:color w:val="auto"/>
              </w:rPr>
            </w:pPr>
            <w:r>
              <w:rPr>
                <w:rFonts w:ascii="Arial" w:cs="Arial" w:eastAsia="Arial" w:hAnsi="Arial"/>
                <w:sz w:val="12"/>
                <w:szCs w:val="12"/>
                <w:color w:val="auto"/>
              </w:rPr>
              <w:t>Operation and maintenance</w:t>
            </w:r>
          </w:p>
        </w:tc>
        <w:tc>
          <w:tcPr>
            <w:tcW w:w="108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Arial" w:cs="Arial" w:eastAsia="Arial" w:hAnsi="Arial"/>
                <w:sz w:val="12"/>
                <w:szCs w:val="12"/>
                <w:color w:val="auto"/>
              </w:rPr>
              <w:t>288</w:t>
            </w:r>
          </w:p>
        </w:tc>
        <w:tc>
          <w:tcPr>
            <w:tcW w:w="78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Arial" w:cs="Arial" w:eastAsia="Arial" w:hAnsi="Arial"/>
                <w:sz w:val="12"/>
                <w:szCs w:val="12"/>
                <w:color w:val="auto"/>
              </w:rPr>
              <w:t>262</w:t>
            </w:r>
          </w:p>
        </w:tc>
      </w:tr>
      <w:tr>
        <w:trPr>
          <w:trHeight w:val="134"/>
        </w:trPr>
        <w:tc>
          <w:tcPr>
            <w:tcW w:w="7660" w:type="dxa"/>
            <w:vAlign w:val="bottom"/>
          </w:tcPr>
          <w:p>
            <w:pPr>
              <w:ind w:left="140"/>
              <w:spacing w:after="0" w:line="134" w:lineRule="exact"/>
              <w:rPr>
                <w:sz w:val="20"/>
                <w:szCs w:val="20"/>
                <w:color w:val="auto"/>
              </w:rPr>
            </w:pPr>
            <w:r>
              <w:rPr>
                <w:rFonts w:ascii="Arial" w:cs="Arial" w:eastAsia="Arial" w:hAnsi="Arial"/>
                <w:sz w:val="12"/>
                <w:szCs w:val="12"/>
                <w:color w:val="auto"/>
              </w:rPr>
              <w:t>Depreciation</w:t>
            </w:r>
          </w:p>
        </w:tc>
        <w:tc>
          <w:tcPr>
            <w:tcW w:w="108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Arial" w:cs="Arial" w:eastAsia="Arial" w:hAnsi="Arial"/>
                <w:sz w:val="12"/>
                <w:szCs w:val="12"/>
                <w:color w:val="auto"/>
              </w:rPr>
              <w:t>81</w:t>
            </w:r>
          </w:p>
        </w:tc>
        <w:tc>
          <w:tcPr>
            <w:tcW w:w="78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Arial" w:cs="Arial" w:eastAsia="Arial" w:hAnsi="Arial"/>
                <w:sz w:val="12"/>
                <w:szCs w:val="12"/>
                <w:color w:val="auto"/>
              </w:rPr>
              <w:t>75</w:t>
            </w:r>
          </w:p>
        </w:tc>
      </w:tr>
      <w:tr>
        <w:trPr>
          <w:trHeight w:val="144"/>
        </w:trPr>
        <w:tc>
          <w:tcPr>
            <w:tcW w:w="7660" w:type="dxa"/>
            <w:vAlign w:val="bottom"/>
          </w:tcPr>
          <w:p>
            <w:pPr>
              <w:ind w:left="140"/>
              <w:spacing w:after="0"/>
              <w:rPr>
                <w:sz w:val="20"/>
                <w:szCs w:val="20"/>
                <w:color w:val="auto"/>
              </w:rPr>
            </w:pPr>
            <w:r>
              <w:rPr>
                <w:rFonts w:ascii="Arial" w:cs="Arial" w:eastAsia="Arial" w:hAnsi="Arial"/>
                <w:sz w:val="12"/>
                <w:szCs w:val="12"/>
                <w:color w:val="auto"/>
              </w:rPr>
              <w:t>Franchise fees and other taxes</w:t>
            </w:r>
          </w:p>
        </w:tc>
        <w:tc>
          <w:tcPr>
            <w:tcW w:w="10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w:t>
            </w:r>
          </w:p>
        </w:tc>
        <w:tc>
          <w:tcPr>
            <w:tcW w:w="7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w:t>
            </w:r>
          </w:p>
        </w:tc>
      </w:tr>
      <w:tr>
        <w:trPr>
          <w:trHeight w:val="135"/>
        </w:trPr>
        <w:tc>
          <w:tcPr>
            <w:tcW w:w="7660" w:type="dxa"/>
            <w:vAlign w:val="bottom"/>
          </w:tcPr>
          <w:p>
            <w:pPr>
              <w:ind w:left="280"/>
              <w:spacing w:after="0" w:line="134" w:lineRule="exact"/>
              <w:rPr>
                <w:sz w:val="20"/>
                <w:szCs w:val="20"/>
                <w:color w:val="auto"/>
              </w:rPr>
            </w:pPr>
            <w:r>
              <w:rPr>
                <w:rFonts w:ascii="Arial" w:cs="Arial" w:eastAsia="Arial" w:hAnsi="Arial"/>
                <w:sz w:val="12"/>
                <w:szCs w:val="12"/>
                <w:color w:val="auto"/>
              </w:rPr>
              <w:t>Total operating expenses</w:t>
            </w:r>
          </w:p>
        </w:tc>
        <w:tc>
          <w:tcPr>
            <w:tcW w:w="10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937</w:t>
            </w:r>
          </w:p>
        </w:tc>
        <w:tc>
          <w:tcPr>
            <w:tcW w:w="7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1,048</w:t>
            </w:r>
          </w:p>
        </w:tc>
      </w:tr>
      <w:tr>
        <w:trPr>
          <w:trHeight w:val="125"/>
        </w:trPr>
        <w:tc>
          <w:tcPr>
            <w:tcW w:w="7660" w:type="dxa"/>
            <w:vAlign w:val="bottom"/>
          </w:tcPr>
          <w:p>
            <w:pPr>
              <w:spacing w:after="0" w:line="126" w:lineRule="exact"/>
              <w:rPr>
                <w:sz w:val="20"/>
                <w:szCs w:val="20"/>
                <w:color w:val="auto"/>
              </w:rPr>
            </w:pPr>
            <w:r>
              <w:rPr>
                <w:rFonts w:ascii="Arial" w:cs="Arial" w:eastAsia="Arial" w:hAnsi="Arial"/>
                <w:sz w:val="12"/>
                <w:szCs w:val="12"/>
                <w:color w:val="auto"/>
              </w:rPr>
              <w:t>Operating income</w:t>
            </w:r>
          </w:p>
        </w:tc>
        <w:tc>
          <w:tcPr>
            <w:tcW w:w="108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119</w:t>
            </w:r>
          </w:p>
        </w:tc>
        <w:tc>
          <w:tcPr>
            <w:tcW w:w="780" w:type="dxa"/>
            <w:vAlign w:val="bottom"/>
          </w:tcPr>
          <w:p>
            <w:pPr>
              <w:spacing w:after="0"/>
              <w:rPr>
                <w:sz w:val="10"/>
                <w:szCs w:val="10"/>
                <w:color w:val="auto"/>
              </w:rPr>
            </w:pPr>
          </w:p>
        </w:tc>
        <w:tc>
          <w:tcPr>
            <w:tcW w:w="1120" w:type="dxa"/>
            <w:vAlign w:val="bottom"/>
          </w:tcPr>
          <w:p>
            <w:pPr>
              <w:jc w:val="right"/>
              <w:spacing w:after="0" w:line="126" w:lineRule="exact"/>
              <w:rPr>
                <w:sz w:val="20"/>
                <w:szCs w:val="20"/>
                <w:color w:val="auto"/>
              </w:rPr>
            </w:pPr>
            <w:r>
              <w:rPr>
                <w:rFonts w:ascii="Arial" w:cs="Arial" w:eastAsia="Arial" w:hAnsi="Arial"/>
                <w:sz w:val="12"/>
                <w:szCs w:val="12"/>
                <w:color w:val="auto"/>
              </w:rPr>
              <w:t>134</w:t>
            </w:r>
          </w:p>
        </w:tc>
      </w:tr>
      <w:tr>
        <w:trPr>
          <w:trHeight w:val="134"/>
        </w:trPr>
        <w:tc>
          <w:tcPr>
            <w:tcW w:w="7660" w:type="dxa"/>
            <w:vAlign w:val="bottom"/>
          </w:tcPr>
          <w:p>
            <w:pPr>
              <w:spacing w:after="0" w:line="134" w:lineRule="exact"/>
              <w:rPr>
                <w:sz w:val="20"/>
                <w:szCs w:val="20"/>
                <w:color w:val="auto"/>
              </w:rPr>
            </w:pPr>
            <w:r>
              <w:rPr>
                <w:rFonts w:ascii="Arial" w:cs="Arial" w:eastAsia="Arial" w:hAnsi="Arial"/>
                <w:sz w:val="12"/>
                <w:szCs w:val="12"/>
                <w:color w:val="auto"/>
              </w:rPr>
              <w:t>Other income, net</w:t>
            </w:r>
          </w:p>
        </w:tc>
        <w:tc>
          <w:tcPr>
            <w:tcW w:w="108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Arial" w:cs="Arial" w:eastAsia="Arial" w:hAnsi="Arial"/>
                <w:sz w:val="12"/>
                <w:szCs w:val="12"/>
                <w:color w:val="auto"/>
              </w:rPr>
              <w:t>3</w:t>
            </w:r>
          </w:p>
        </w:tc>
        <w:tc>
          <w:tcPr>
            <w:tcW w:w="78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Arial" w:cs="Arial" w:eastAsia="Arial" w:hAnsi="Arial"/>
                <w:sz w:val="12"/>
                <w:szCs w:val="12"/>
                <w:color w:val="auto"/>
              </w:rPr>
              <w:t>4</w:t>
            </w:r>
          </w:p>
        </w:tc>
      </w:tr>
      <w:tr>
        <w:trPr>
          <w:trHeight w:val="144"/>
        </w:trPr>
        <w:tc>
          <w:tcPr>
            <w:tcW w:w="7660" w:type="dxa"/>
            <w:vAlign w:val="bottom"/>
          </w:tcPr>
          <w:p>
            <w:pPr>
              <w:spacing w:after="0"/>
              <w:rPr>
                <w:sz w:val="20"/>
                <w:szCs w:val="20"/>
                <w:color w:val="auto"/>
              </w:rPr>
            </w:pPr>
            <w:r>
              <w:rPr>
                <w:rFonts w:ascii="Arial" w:cs="Arial" w:eastAsia="Arial" w:hAnsi="Arial"/>
                <w:sz w:val="12"/>
                <w:szCs w:val="12"/>
                <w:color w:val="auto"/>
              </w:rPr>
              <w:t>Interest expense</w:t>
            </w:r>
          </w:p>
        </w:tc>
        <w:tc>
          <w:tcPr>
            <w:tcW w:w="10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7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r>
      <w:tr>
        <w:trPr>
          <w:trHeight w:val="125"/>
        </w:trPr>
        <w:tc>
          <w:tcPr>
            <w:tcW w:w="7660" w:type="dxa"/>
            <w:vAlign w:val="bottom"/>
          </w:tcPr>
          <w:p>
            <w:pPr>
              <w:spacing w:after="0" w:line="126" w:lineRule="exact"/>
              <w:rPr>
                <w:sz w:val="20"/>
                <w:szCs w:val="20"/>
                <w:color w:val="auto"/>
              </w:rPr>
            </w:pPr>
            <w:r>
              <w:rPr>
                <w:rFonts w:ascii="Arial" w:cs="Arial" w:eastAsia="Arial" w:hAnsi="Arial"/>
                <w:sz w:val="12"/>
                <w:szCs w:val="12"/>
                <w:color w:val="auto"/>
              </w:rPr>
              <w:t>Income before income taxes</w:t>
            </w:r>
          </w:p>
        </w:tc>
        <w:tc>
          <w:tcPr>
            <w:tcW w:w="108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105</w:t>
            </w:r>
          </w:p>
        </w:tc>
        <w:tc>
          <w:tcPr>
            <w:tcW w:w="780" w:type="dxa"/>
            <w:vAlign w:val="bottom"/>
          </w:tcPr>
          <w:p>
            <w:pPr>
              <w:spacing w:after="0"/>
              <w:rPr>
                <w:sz w:val="10"/>
                <w:szCs w:val="10"/>
                <w:color w:val="auto"/>
              </w:rPr>
            </w:pPr>
          </w:p>
        </w:tc>
        <w:tc>
          <w:tcPr>
            <w:tcW w:w="1120" w:type="dxa"/>
            <w:vAlign w:val="bottom"/>
          </w:tcPr>
          <w:p>
            <w:pPr>
              <w:jc w:val="right"/>
              <w:spacing w:after="0" w:line="126" w:lineRule="exact"/>
              <w:rPr>
                <w:sz w:val="20"/>
                <w:szCs w:val="20"/>
                <w:color w:val="auto"/>
              </w:rPr>
            </w:pPr>
            <w:r>
              <w:rPr>
                <w:rFonts w:ascii="Arial" w:cs="Arial" w:eastAsia="Arial" w:hAnsi="Arial"/>
                <w:sz w:val="12"/>
                <w:szCs w:val="12"/>
                <w:color w:val="auto"/>
              </w:rPr>
              <w:t>121</w:t>
            </w:r>
          </w:p>
        </w:tc>
      </w:tr>
      <w:tr>
        <w:trPr>
          <w:trHeight w:val="144"/>
        </w:trPr>
        <w:tc>
          <w:tcPr>
            <w:tcW w:w="7660" w:type="dxa"/>
            <w:vAlign w:val="bottom"/>
          </w:tcPr>
          <w:p>
            <w:pPr>
              <w:spacing w:after="0"/>
              <w:rPr>
                <w:sz w:val="20"/>
                <w:szCs w:val="20"/>
                <w:color w:val="auto"/>
              </w:rPr>
            </w:pPr>
            <w:r>
              <w:rPr>
                <w:rFonts w:ascii="Arial" w:cs="Arial" w:eastAsia="Arial" w:hAnsi="Arial"/>
                <w:sz w:val="12"/>
                <w:szCs w:val="12"/>
                <w:color w:val="auto"/>
              </w:rPr>
              <w:t>Income tax expense</w:t>
            </w:r>
          </w:p>
        </w:tc>
        <w:tc>
          <w:tcPr>
            <w:tcW w:w="10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w:t>
            </w:r>
          </w:p>
        </w:tc>
        <w:tc>
          <w:tcPr>
            <w:tcW w:w="7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w:t>
            </w:r>
          </w:p>
        </w:tc>
      </w:tr>
      <w:tr>
        <w:trPr>
          <w:trHeight w:val="148"/>
        </w:trPr>
        <w:tc>
          <w:tcPr>
            <w:tcW w:w="7660" w:type="dxa"/>
            <w:vAlign w:val="bottom"/>
          </w:tcPr>
          <w:p>
            <w:pPr>
              <w:spacing w:after="0"/>
              <w:rPr>
                <w:sz w:val="20"/>
                <w:szCs w:val="20"/>
                <w:color w:val="auto"/>
              </w:rPr>
            </w:pPr>
            <w:r>
              <w:rPr>
                <w:rFonts w:ascii="Arial" w:cs="Arial" w:eastAsia="Arial" w:hAnsi="Arial"/>
                <w:sz w:val="12"/>
                <w:szCs w:val="12"/>
                <w:color w:val="auto"/>
              </w:rPr>
              <w:t>Net income/Earnings attributable to common shares</w:t>
            </w:r>
          </w:p>
        </w:tc>
        <w:tc>
          <w:tcPr>
            <w:tcW w:w="1080" w:type="dxa"/>
            <w:vAlign w:val="bottom"/>
          </w:tcPr>
          <w:p>
            <w:pPr>
              <w:jc w:val="right"/>
              <w:ind w:right="967"/>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68</w:t>
            </w:r>
          </w:p>
        </w:tc>
        <w:tc>
          <w:tcPr>
            <w:tcW w:w="780" w:type="dxa"/>
            <w:vAlign w:val="bottom"/>
          </w:tcPr>
          <w:p>
            <w:pPr>
              <w:jc w:val="right"/>
              <w:ind w:right="668"/>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279005" cy="13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See Notes to Condensed Consolidated Financial Statements.</w:t>
      </w:r>
    </w:p>
    <w:p>
      <w:pPr>
        <w:sectPr>
          <w:pgSz w:w="11900" w:h="16838" w:orient="portrait"/>
          <w:cols w:equalWidth="0" w:num="1">
            <w:col w:w="11460"/>
          </w:cols>
          <w:pgMar w:left="220" w:top="427" w:right="219" w:bottom="1440" w:gutter="0" w:footer="0" w:header="0"/>
        </w:sectPr>
      </w:pPr>
    </w:p>
    <w:bookmarkStart w:id="20" w:name="page21"/>
    <w:bookmarkEnd w:id="20"/>
    <w:p>
      <w:pPr>
        <w:spacing w:after="0"/>
        <w:rPr>
          <w:sz w:val="20"/>
          <w:szCs w:val="20"/>
          <w:color w:val="auto"/>
        </w:rPr>
      </w:pPr>
      <w:r>
        <w:rPr>
          <w:rFonts w:ascii="Arial" w:cs="Arial" w:eastAsia="Arial" w:hAnsi="Arial"/>
          <w:sz w:val="12"/>
          <w:szCs w:val="12"/>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255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9005" cy="25590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(Dollars in millions)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20" w:type="dxa"/>
            <w:vAlign w:val="bottom"/>
          </w:tcPr>
          <w:p>
            <w:pPr>
              <w:jc w:val="center"/>
              <w:ind w:left="363"/>
              <w:spacing w:after="0"/>
              <w:rPr>
                <w:sz w:val="20"/>
                <w:szCs w:val="20"/>
                <w:color w:val="auto"/>
              </w:rPr>
            </w:pPr>
            <w:r>
              <w:rPr>
                <w:rFonts w:ascii="Arial" w:cs="Arial" w:eastAsia="Arial" w:hAnsi="Arial"/>
                <w:sz w:val="11"/>
                <w:szCs w:val="11"/>
                <w:color w:val="auto"/>
                <w:w w:val="98"/>
              </w:rPr>
              <w:t>March 31,</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right"/>
              <w:ind w:right="299"/>
              <w:spacing w:after="0"/>
              <w:rPr>
                <w:sz w:val="20"/>
                <w:szCs w:val="20"/>
                <w:color w:val="auto"/>
              </w:rPr>
            </w:pPr>
            <w:r>
              <w:rPr>
                <w:rFonts w:ascii="Arial" w:cs="Arial" w:eastAsia="Arial" w:hAnsi="Arial"/>
                <w:sz w:val="11"/>
                <w:szCs w:val="11"/>
                <w:color w:val="auto"/>
              </w:rPr>
              <w:t>December 31,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0" w:type="dxa"/>
            <w:vAlign w:val="bottom"/>
            <w:tcBorders>
              <w:bottom w:val="single" w:sz="8" w:color="auto"/>
            </w:tcBorders>
          </w:tcPr>
          <w:p>
            <w:pPr>
              <w:spacing w:after="0"/>
              <w:rPr>
                <w:sz w:val="10"/>
                <w:szCs w:val="10"/>
                <w:color w:val="auto"/>
              </w:rPr>
            </w:pPr>
          </w:p>
        </w:tc>
        <w:tc>
          <w:tcPr>
            <w:tcW w:w="3480" w:type="dxa"/>
            <w:vAlign w:val="bottom"/>
            <w:tcBorders>
              <w:bottom w:val="single" w:sz="8" w:color="auto"/>
            </w:tcBorders>
            <w:gridSpan w:val="2"/>
          </w:tcPr>
          <w:p>
            <w:pPr>
              <w:jc w:val="center"/>
              <w:ind w:left="2781"/>
              <w:spacing w:after="0" w:line="123" w:lineRule="exact"/>
              <w:rPr>
                <w:sz w:val="20"/>
                <w:szCs w:val="20"/>
                <w:color w:val="auto"/>
              </w:rPr>
            </w:pPr>
            <w:r>
              <w:rPr>
                <w:rFonts w:ascii="Arial" w:cs="Arial" w:eastAsia="Arial" w:hAnsi="Arial"/>
                <w:sz w:val="11"/>
                <w:szCs w:val="11"/>
                <w:color w:val="auto"/>
                <w:w w:val="97"/>
              </w:rPr>
              <w:t>2011</w:t>
            </w:r>
          </w:p>
        </w:tc>
        <w:tc>
          <w:tcPr>
            <w:tcW w:w="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459"/>
              <w:spacing w:after="0" w:line="123" w:lineRule="exact"/>
              <w:rPr>
                <w:sz w:val="20"/>
                <w:szCs w:val="20"/>
                <w:color w:val="auto"/>
              </w:rPr>
            </w:pPr>
            <w:r>
              <w:rPr>
                <w:rFonts w:ascii="Arial" w:cs="Arial" w:eastAsia="Arial" w:hAnsi="Arial"/>
                <w:sz w:val="11"/>
                <w:szCs w:val="11"/>
                <w:color w:val="auto"/>
              </w:rPr>
              <w:t>2010(1)</w:t>
            </w:r>
          </w:p>
        </w:tc>
        <w:tc>
          <w:tcPr>
            <w:tcW w:w="0" w:type="dxa"/>
            <w:vAlign w:val="bottom"/>
          </w:tcPr>
          <w:p>
            <w:pPr>
              <w:spacing w:after="0"/>
              <w:rPr>
                <w:sz w:val="1"/>
                <w:szCs w:val="1"/>
                <w:color w:val="auto"/>
              </w:rPr>
            </w:pPr>
          </w:p>
        </w:tc>
      </w:tr>
      <w:tr>
        <w:trPr>
          <w:trHeight w:val="146"/>
        </w:trPr>
        <w:tc>
          <w:tcPr>
            <w:tcW w:w="6140" w:type="dxa"/>
            <w:vAlign w:val="bottom"/>
            <w:gridSpan w:val="3"/>
            <w:vMerge w:val="restart"/>
          </w:tcPr>
          <w:p>
            <w:pPr>
              <w:spacing w:after="0"/>
              <w:rPr>
                <w:sz w:val="20"/>
                <w:szCs w:val="20"/>
                <w:color w:val="auto"/>
              </w:rPr>
            </w:pPr>
            <w:r>
              <w:rPr>
                <w:rFonts w:ascii="Arial" w:cs="Arial" w:eastAsia="Arial" w:hAnsi="Arial"/>
                <w:sz w:val="12"/>
                <w:szCs w:val="12"/>
                <w:color w:val="auto"/>
              </w:rPr>
              <w:t>ASSETS</w:t>
            </w:r>
          </w:p>
        </w:tc>
        <w:tc>
          <w:tcPr>
            <w:tcW w:w="2460" w:type="dxa"/>
            <w:vAlign w:val="bottom"/>
          </w:tcPr>
          <w:p>
            <w:pPr>
              <w:spacing w:after="0"/>
              <w:rPr>
                <w:sz w:val="12"/>
                <w:szCs w:val="12"/>
                <w:color w:val="auto"/>
              </w:rPr>
            </w:pPr>
          </w:p>
        </w:tc>
        <w:tc>
          <w:tcPr>
            <w:tcW w:w="1020" w:type="dxa"/>
            <w:vAlign w:val="bottom"/>
          </w:tcPr>
          <w:p>
            <w:pPr>
              <w:jc w:val="center"/>
              <w:ind w:left="363"/>
              <w:spacing w:after="0"/>
              <w:rPr>
                <w:sz w:val="20"/>
                <w:szCs w:val="20"/>
                <w:color w:val="auto"/>
              </w:rPr>
            </w:pPr>
            <w:r>
              <w:rPr>
                <w:rFonts w:ascii="Arial" w:cs="Arial" w:eastAsia="Arial" w:hAnsi="Arial"/>
                <w:sz w:val="11"/>
                <w:szCs w:val="11"/>
                <w:color w:val="auto"/>
              </w:rPr>
              <w:t>(unaudited)</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140" w:type="dxa"/>
            <w:vAlign w:val="bottom"/>
            <w:gridSpan w:val="3"/>
            <w:vMerge w:val="continue"/>
          </w:tcPr>
          <w:p>
            <w:pPr>
              <w:spacing w:after="0"/>
              <w:rPr>
                <w:sz w:val="9"/>
                <w:szCs w:val="9"/>
                <w:color w:val="auto"/>
              </w:rPr>
            </w:pPr>
          </w:p>
        </w:tc>
        <w:tc>
          <w:tcPr>
            <w:tcW w:w="24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6140" w:type="dxa"/>
            <w:vAlign w:val="bottom"/>
            <w:gridSpan w:val="3"/>
          </w:tcPr>
          <w:p>
            <w:pPr>
              <w:spacing w:after="0" w:line="134" w:lineRule="exact"/>
              <w:rPr>
                <w:sz w:val="20"/>
                <w:szCs w:val="20"/>
                <w:color w:val="auto"/>
              </w:rPr>
            </w:pPr>
            <w:r>
              <w:rPr>
                <w:rFonts w:ascii="Arial" w:cs="Arial" w:eastAsia="Arial" w:hAnsi="Arial"/>
                <w:sz w:val="12"/>
                <w:szCs w:val="12"/>
                <w:color w:val="auto"/>
              </w:rPr>
              <w:t>Current assets:</w:t>
            </w:r>
          </w:p>
        </w:tc>
        <w:tc>
          <w:tcPr>
            <w:tcW w:w="2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0" w:type="dxa"/>
            <w:vAlign w:val="bottom"/>
          </w:tcPr>
          <w:p>
            <w:pPr>
              <w:spacing w:after="0" w:line="134" w:lineRule="exact"/>
              <w:rPr>
                <w:sz w:val="20"/>
                <w:szCs w:val="20"/>
                <w:color w:val="auto"/>
              </w:rPr>
            </w:pPr>
            <w:r>
              <w:rPr>
                <w:rFonts w:ascii="Arial" w:cs="Arial" w:eastAsia="Arial" w:hAnsi="Arial"/>
                <w:sz w:val="12"/>
                <w:szCs w:val="12"/>
                <w:color w:val="auto"/>
              </w:rPr>
              <w:t>Cash and cash equivalents</w:t>
            </w:r>
          </w:p>
        </w:tc>
        <w:tc>
          <w:tcPr>
            <w:tcW w:w="3480" w:type="dxa"/>
            <w:vAlign w:val="bottom"/>
            <w:gridSpan w:val="2"/>
          </w:tcPr>
          <w:p>
            <w:pPr>
              <w:jc w:val="right"/>
              <w:ind w:right="883"/>
              <w:spacing w:after="0" w:line="134" w:lineRule="exact"/>
              <w:rPr>
                <w:sz w:val="20"/>
                <w:szCs w:val="20"/>
                <w:color w:val="auto"/>
              </w:rPr>
            </w:pPr>
            <w:r>
              <w:rPr>
                <w:rFonts w:ascii="Arial" w:cs="Arial" w:eastAsia="Arial" w:hAnsi="Arial"/>
                <w:sz w:val="12"/>
                <w:szCs w:val="12"/>
                <w:color w:val="auto"/>
              </w:rPr>
              <w:t>$</w:t>
            </w:r>
          </w:p>
        </w:tc>
        <w:tc>
          <w:tcPr>
            <w:tcW w:w="400" w:type="dxa"/>
            <w:vAlign w:val="bottom"/>
          </w:tcPr>
          <w:p>
            <w:pPr>
              <w:jc w:val="right"/>
              <w:spacing w:after="0" w:line="134" w:lineRule="exact"/>
              <w:rPr>
                <w:sz w:val="20"/>
                <w:szCs w:val="20"/>
                <w:color w:val="auto"/>
              </w:rPr>
            </w:pPr>
            <w:r>
              <w:rPr>
                <w:rFonts w:ascii="Arial" w:cs="Arial" w:eastAsia="Arial" w:hAnsi="Arial"/>
                <w:sz w:val="12"/>
                <w:szCs w:val="12"/>
                <w:color w:val="auto"/>
              </w:rPr>
              <w:t>33</w:t>
            </w:r>
          </w:p>
        </w:tc>
        <w:tc>
          <w:tcPr>
            <w:tcW w:w="220" w:type="dxa"/>
            <w:vAlign w:val="bottom"/>
          </w:tcPr>
          <w:p>
            <w:pPr>
              <w:jc w:val="right"/>
              <w:ind w:right="78"/>
              <w:spacing w:after="0" w:line="134" w:lineRule="exact"/>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417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120" w:type="dxa"/>
            <w:vAlign w:val="bottom"/>
            <w:gridSpan w:val="2"/>
          </w:tcPr>
          <w:p>
            <w:pPr>
              <w:ind w:left="120"/>
              <w:spacing w:after="0" w:line="134" w:lineRule="exact"/>
              <w:rPr>
                <w:sz w:val="20"/>
                <w:szCs w:val="20"/>
                <w:color w:val="auto"/>
              </w:rPr>
            </w:pPr>
            <w:r>
              <w:rPr>
                <w:rFonts w:ascii="Arial" w:cs="Arial" w:eastAsia="Arial" w:hAnsi="Arial"/>
                <w:sz w:val="12"/>
                <w:szCs w:val="12"/>
                <w:color w:val="auto"/>
              </w:rPr>
              <w:t>Accounts receivable - trade</w:t>
            </w:r>
          </w:p>
        </w:tc>
        <w:tc>
          <w:tcPr>
            <w:tcW w:w="2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jc w:val="right"/>
              <w:spacing w:after="0" w:line="134" w:lineRule="exact"/>
              <w:rPr>
                <w:sz w:val="20"/>
                <w:szCs w:val="20"/>
                <w:color w:val="auto"/>
              </w:rPr>
            </w:pPr>
            <w:r>
              <w:rPr>
                <w:rFonts w:ascii="Arial" w:cs="Arial" w:eastAsia="Arial" w:hAnsi="Arial"/>
                <w:sz w:val="12"/>
                <w:szCs w:val="12"/>
                <w:color w:val="auto"/>
              </w:rPr>
              <w:t>521</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534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120" w:type="dxa"/>
            <w:vAlign w:val="bottom"/>
            <w:gridSpan w:val="2"/>
          </w:tcPr>
          <w:p>
            <w:pPr>
              <w:ind w:left="120"/>
              <w:spacing w:after="0" w:line="134" w:lineRule="exact"/>
              <w:rPr>
                <w:sz w:val="20"/>
                <w:szCs w:val="20"/>
                <w:color w:val="auto"/>
              </w:rPr>
            </w:pPr>
            <w:r>
              <w:rPr>
                <w:rFonts w:ascii="Arial" w:cs="Arial" w:eastAsia="Arial" w:hAnsi="Arial"/>
                <w:sz w:val="12"/>
                <w:szCs w:val="12"/>
                <w:color w:val="auto"/>
              </w:rPr>
              <w:t>Accounts receivable - other</w:t>
            </w:r>
          </w:p>
        </w:tc>
        <w:tc>
          <w:tcPr>
            <w:tcW w:w="2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jc w:val="right"/>
              <w:spacing w:after="0" w:line="134" w:lineRule="exact"/>
              <w:rPr>
                <w:sz w:val="20"/>
                <w:szCs w:val="20"/>
                <w:color w:val="auto"/>
              </w:rPr>
            </w:pPr>
            <w:r>
              <w:rPr>
                <w:rFonts w:ascii="Arial" w:cs="Arial" w:eastAsia="Arial" w:hAnsi="Arial"/>
                <w:sz w:val="12"/>
                <w:szCs w:val="12"/>
                <w:color w:val="auto"/>
              </w:rPr>
              <w:t>63</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0" w:type="dxa"/>
            <w:vAlign w:val="bottom"/>
          </w:tcPr>
          <w:p>
            <w:pPr>
              <w:spacing w:after="0" w:line="134" w:lineRule="exact"/>
              <w:rPr>
                <w:sz w:val="20"/>
                <w:szCs w:val="20"/>
                <w:color w:val="auto"/>
              </w:rPr>
            </w:pPr>
            <w:r>
              <w:rPr>
                <w:rFonts w:ascii="Arial" w:cs="Arial" w:eastAsia="Arial" w:hAnsi="Arial"/>
                <w:sz w:val="12"/>
                <w:szCs w:val="12"/>
                <w:color w:val="auto"/>
              </w:rPr>
              <w:t>Due from unconsolidated affiliates</w:t>
            </w:r>
          </w:p>
        </w:tc>
        <w:tc>
          <w:tcPr>
            <w:tcW w:w="2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jc w:val="right"/>
              <w:spacing w:after="0" w:line="134" w:lineRule="exact"/>
              <w:rPr>
                <w:sz w:val="20"/>
                <w:szCs w:val="20"/>
                <w:color w:val="auto"/>
              </w:rPr>
            </w:pPr>
            <w:r>
              <w:rPr>
                <w:rFonts w:ascii="Arial" w:cs="Arial" w:eastAsia="Arial" w:hAnsi="Arial"/>
                <w:sz w:val="12"/>
                <w:szCs w:val="12"/>
                <w:color w:val="auto"/>
              </w:rPr>
              <w:t>378</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0" w:type="dxa"/>
            <w:vAlign w:val="bottom"/>
          </w:tcPr>
          <w:p>
            <w:pPr>
              <w:spacing w:after="0" w:line="134" w:lineRule="exact"/>
              <w:rPr>
                <w:sz w:val="20"/>
                <w:szCs w:val="20"/>
                <w:color w:val="auto"/>
              </w:rPr>
            </w:pPr>
            <w:r>
              <w:rPr>
                <w:rFonts w:ascii="Arial" w:cs="Arial" w:eastAsia="Arial" w:hAnsi="Arial"/>
                <w:sz w:val="12"/>
                <w:szCs w:val="12"/>
                <w:color w:val="auto"/>
              </w:rPr>
              <w:t>Income taxes receivable</w:t>
            </w:r>
          </w:p>
        </w:tc>
        <w:tc>
          <w:tcPr>
            <w:tcW w:w="2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jc w:val="right"/>
              <w:spacing w:after="0" w:line="134" w:lineRule="exact"/>
              <w:rPr>
                <w:sz w:val="20"/>
                <w:szCs w:val="20"/>
                <w:color w:val="auto"/>
              </w:rPr>
            </w:pPr>
            <w:r>
              <w:rPr>
                <w:rFonts w:ascii="Arial" w:cs="Arial" w:eastAsia="Arial" w:hAnsi="Arial"/>
                <w:sz w:val="12"/>
                <w:szCs w:val="12"/>
                <w:color w:val="auto"/>
              </w:rPr>
              <w:t>9</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0" w:type="dxa"/>
            <w:vAlign w:val="bottom"/>
          </w:tcPr>
          <w:p>
            <w:pPr>
              <w:spacing w:after="0" w:line="134" w:lineRule="exact"/>
              <w:rPr>
                <w:sz w:val="20"/>
                <w:szCs w:val="20"/>
                <w:color w:val="auto"/>
              </w:rPr>
            </w:pPr>
            <w:r>
              <w:rPr>
                <w:rFonts w:ascii="Arial" w:cs="Arial" w:eastAsia="Arial" w:hAnsi="Arial"/>
                <w:sz w:val="12"/>
                <w:szCs w:val="12"/>
                <w:color w:val="auto"/>
              </w:rPr>
              <w:t>Inventories</w:t>
            </w:r>
          </w:p>
        </w:tc>
        <w:tc>
          <w:tcPr>
            <w:tcW w:w="2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jc w:val="right"/>
              <w:spacing w:after="0" w:line="134" w:lineRule="exact"/>
              <w:rPr>
                <w:sz w:val="20"/>
                <w:szCs w:val="20"/>
                <w:color w:val="auto"/>
              </w:rPr>
            </w:pPr>
            <w:r>
              <w:rPr>
                <w:rFonts w:ascii="Arial" w:cs="Arial" w:eastAsia="Arial" w:hAnsi="Arial"/>
                <w:sz w:val="12"/>
                <w:szCs w:val="12"/>
                <w:color w:val="auto"/>
              </w:rPr>
              <w:t>28</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0" w:type="dxa"/>
            <w:vAlign w:val="bottom"/>
          </w:tcPr>
          <w:p>
            <w:pPr>
              <w:spacing w:after="0" w:line="134" w:lineRule="exact"/>
              <w:rPr>
                <w:sz w:val="20"/>
                <w:szCs w:val="20"/>
                <w:color w:val="auto"/>
              </w:rPr>
            </w:pPr>
            <w:r>
              <w:rPr>
                <w:rFonts w:ascii="Arial" w:cs="Arial" w:eastAsia="Arial" w:hAnsi="Arial"/>
                <w:sz w:val="12"/>
                <w:szCs w:val="12"/>
                <w:color w:val="auto"/>
              </w:rPr>
              <w:t>Regulatory assets</w:t>
            </w:r>
          </w:p>
        </w:tc>
        <w:tc>
          <w:tcPr>
            <w:tcW w:w="2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jc w:val="right"/>
              <w:spacing w:after="0" w:line="134" w:lineRule="exact"/>
              <w:rPr>
                <w:sz w:val="20"/>
                <w:szCs w:val="20"/>
                <w:color w:val="auto"/>
              </w:rPr>
            </w:pPr>
            <w:r>
              <w:rPr>
                <w:rFonts w:ascii="Arial" w:cs="Arial" w:eastAsia="Arial" w:hAnsi="Arial"/>
                <w:sz w:val="12"/>
                <w:szCs w:val="12"/>
                <w:color w:val="auto"/>
              </w:rPr>
              <w:t>10</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0" w:type="dxa"/>
            <w:vAlign w:val="bottom"/>
          </w:tcPr>
          <w:p>
            <w:pPr>
              <w:spacing w:after="0"/>
              <w:rPr>
                <w:sz w:val="20"/>
                <w:szCs w:val="20"/>
                <w:color w:val="auto"/>
              </w:rPr>
            </w:pPr>
            <w:r>
              <w:rPr>
                <w:rFonts w:ascii="Arial" w:cs="Arial" w:eastAsia="Arial" w:hAnsi="Arial"/>
                <w:sz w:val="12"/>
                <w:szCs w:val="12"/>
                <w:color w:val="auto"/>
              </w:rPr>
              <w:t>Other</w:t>
            </w:r>
          </w:p>
        </w:tc>
        <w:tc>
          <w:tcPr>
            <w:tcW w:w="24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0" w:type="dxa"/>
            <w:vAlign w:val="bottom"/>
          </w:tcPr>
          <w:p>
            <w:pPr>
              <w:ind w:left="140"/>
              <w:spacing w:after="0" w:line="134" w:lineRule="exact"/>
              <w:rPr>
                <w:sz w:val="20"/>
                <w:szCs w:val="20"/>
                <w:color w:val="auto"/>
              </w:rPr>
            </w:pPr>
            <w:r>
              <w:rPr>
                <w:rFonts w:ascii="Arial" w:cs="Arial" w:eastAsia="Arial" w:hAnsi="Arial"/>
                <w:sz w:val="12"/>
                <w:szCs w:val="12"/>
                <w:color w:val="auto"/>
              </w:rPr>
              <w:t>Total current assets</w:t>
            </w:r>
          </w:p>
        </w:tc>
        <w:tc>
          <w:tcPr>
            <w:tcW w:w="246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1,078</w:t>
            </w: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1,247</w:t>
            </w:r>
          </w:p>
        </w:tc>
        <w:tc>
          <w:tcPr>
            <w:tcW w:w="0" w:type="dxa"/>
            <w:vAlign w:val="bottom"/>
          </w:tcPr>
          <w:p>
            <w:pPr>
              <w:spacing w:after="0"/>
              <w:rPr>
                <w:sz w:val="1"/>
                <w:szCs w:val="1"/>
                <w:color w:val="auto"/>
              </w:rPr>
            </w:pPr>
          </w:p>
        </w:tc>
      </w:tr>
      <w:tr>
        <w:trPr>
          <w:trHeight w:val="274"/>
        </w:trPr>
        <w:tc>
          <w:tcPr>
            <w:tcW w:w="6140" w:type="dxa"/>
            <w:vAlign w:val="bottom"/>
            <w:gridSpan w:val="3"/>
          </w:tcPr>
          <w:p>
            <w:pPr>
              <w:spacing w:after="0"/>
              <w:rPr>
                <w:sz w:val="20"/>
                <w:szCs w:val="20"/>
                <w:color w:val="auto"/>
              </w:rPr>
            </w:pPr>
            <w:r>
              <w:rPr>
                <w:rFonts w:ascii="Arial" w:cs="Arial" w:eastAsia="Arial" w:hAnsi="Arial"/>
                <w:sz w:val="12"/>
                <w:szCs w:val="12"/>
                <w:color w:val="auto"/>
              </w:rPr>
              <w:t>Other assets:</w:t>
            </w:r>
          </w:p>
        </w:tc>
        <w:tc>
          <w:tcPr>
            <w:tcW w:w="2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0" w:type="dxa"/>
            <w:vAlign w:val="bottom"/>
          </w:tcPr>
          <w:p>
            <w:pPr>
              <w:spacing w:after="0"/>
              <w:rPr>
                <w:sz w:val="20"/>
                <w:szCs w:val="20"/>
                <w:color w:val="auto"/>
              </w:rPr>
            </w:pPr>
            <w:r>
              <w:rPr>
                <w:rFonts w:ascii="Arial" w:cs="Arial" w:eastAsia="Arial" w:hAnsi="Arial"/>
                <w:sz w:val="12"/>
                <w:szCs w:val="12"/>
                <w:color w:val="auto"/>
              </w:rPr>
              <w:t>Regulatory assets arising from pension and other postretirement</w:t>
            </w:r>
          </w:p>
        </w:tc>
        <w:tc>
          <w:tcPr>
            <w:tcW w:w="2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0" w:type="dxa"/>
            <w:vAlign w:val="bottom"/>
          </w:tcPr>
          <w:p>
            <w:pPr>
              <w:ind w:left="140"/>
              <w:spacing w:after="0" w:line="134" w:lineRule="exact"/>
              <w:rPr>
                <w:sz w:val="20"/>
                <w:szCs w:val="20"/>
                <w:color w:val="auto"/>
              </w:rPr>
            </w:pPr>
            <w:r>
              <w:rPr>
                <w:rFonts w:ascii="Arial" w:cs="Arial" w:eastAsia="Arial" w:hAnsi="Arial"/>
                <w:sz w:val="12"/>
                <w:szCs w:val="12"/>
                <w:color w:val="auto"/>
              </w:rPr>
              <w:t>benefit obligations</w:t>
            </w:r>
          </w:p>
        </w:tc>
        <w:tc>
          <w:tcPr>
            <w:tcW w:w="2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jc w:val="right"/>
              <w:spacing w:after="0" w:line="134" w:lineRule="exact"/>
              <w:rPr>
                <w:sz w:val="20"/>
                <w:szCs w:val="20"/>
                <w:color w:val="auto"/>
              </w:rPr>
            </w:pPr>
            <w:r>
              <w:rPr>
                <w:rFonts w:ascii="Arial" w:cs="Arial" w:eastAsia="Arial" w:hAnsi="Arial"/>
                <w:sz w:val="12"/>
                <w:szCs w:val="12"/>
                <w:color w:val="auto"/>
              </w:rPr>
              <w:t>596</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586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0" w:type="dxa"/>
            <w:vAlign w:val="bottom"/>
          </w:tcPr>
          <w:p>
            <w:pPr>
              <w:spacing w:after="0" w:line="134" w:lineRule="exact"/>
              <w:rPr>
                <w:sz w:val="20"/>
                <w:szCs w:val="20"/>
                <w:color w:val="auto"/>
              </w:rPr>
            </w:pPr>
            <w:r>
              <w:rPr>
                <w:rFonts w:ascii="Arial" w:cs="Arial" w:eastAsia="Arial" w:hAnsi="Arial"/>
                <w:sz w:val="12"/>
                <w:szCs w:val="12"/>
                <w:color w:val="auto"/>
              </w:rPr>
              <w:t>Other regulatory assets</w:t>
            </w:r>
          </w:p>
        </w:tc>
        <w:tc>
          <w:tcPr>
            <w:tcW w:w="2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jc w:val="right"/>
              <w:spacing w:after="0" w:line="134" w:lineRule="exact"/>
              <w:rPr>
                <w:sz w:val="20"/>
                <w:szCs w:val="20"/>
                <w:color w:val="auto"/>
              </w:rPr>
            </w:pPr>
            <w:r>
              <w:rPr>
                <w:rFonts w:ascii="Arial" w:cs="Arial" w:eastAsia="Arial" w:hAnsi="Arial"/>
                <w:sz w:val="12"/>
                <w:szCs w:val="12"/>
                <w:color w:val="auto"/>
              </w:rPr>
              <w:t>124</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0" w:type="dxa"/>
            <w:vAlign w:val="bottom"/>
          </w:tcPr>
          <w:p>
            <w:pPr>
              <w:spacing w:after="0"/>
              <w:rPr>
                <w:sz w:val="20"/>
                <w:szCs w:val="20"/>
                <w:color w:val="auto"/>
              </w:rPr>
            </w:pPr>
            <w:r>
              <w:rPr>
                <w:rFonts w:ascii="Arial" w:cs="Arial" w:eastAsia="Arial" w:hAnsi="Arial"/>
                <w:sz w:val="12"/>
                <w:szCs w:val="12"/>
                <w:color w:val="auto"/>
              </w:rPr>
              <w:t>Sundry</w:t>
            </w:r>
          </w:p>
        </w:tc>
        <w:tc>
          <w:tcPr>
            <w:tcW w:w="24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0" w:type="dxa"/>
            <w:vAlign w:val="bottom"/>
          </w:tcPr>
          <w:p>
            <w:pPr>
              <w:ind w:left="140"/>
              <w:spacing w:after="0" w:line="134" w:lineRule="exact"/>
              <w:rPr>
                <w:sz w:val="20"/>
                <w:szCs w:val="20"/>
                <w:color w:val="auto"/>
              </w:rPr>
            </w:pPr>
            <w:r>
              <w:rPr>
                <w:rFonts w:ascii="Arial" w:cs="Arial" w:eastAsia="Arial" w:hAnsi="Arial"/>
                <w:sz w:val="12"/>
                <w:szCs w:val="12"/>
                <w:color w:val="auto"/>
              </w:rPr>
              <w:t>Total other assets</w:t>
            </w:r>
          </w:p>
        </w:tc>
        <w:tc>
          <w:tcPr>
            <w:tcW w:w="246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742</w:t>
            </w: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717</w:t>
            </w:r>
          </w:p>
        </w:tc>
        <w:tc>
          <w:tcPr>
            <w:tcW w:w="0" w:type="dxa"/>
            <w:vAlign w:val="bottom"/>
          </w:tcPr>
          <w:p>
            <w:pPr>
              <w:spacing w:after="0"/>
              <w:rPr>
                <w:sz w:val="1"/>
                <w:szCs w:val="1"/>
                <w:color w:val="auto"/>
              </w:rPr>
            </w:pPr>
          </w:p>
        </w:tc>
      </w:tr>
      <w:tr>
        <w:trPr>
          <w:trHeight w:val="260"/>
        </w:trPr>
        <w:tc>
          <w:tcPr>
            <w:tcW w:w="6140" w:type="dxa"/>
            <w:vAlign w:val="bottom"/>
            <w:gridSpan w:val="3"/>
          </w:tcPr>
          <w:p>
            <w:pPr>
              <w:spacing w:after="0"/>
              <w:rPr>
                <w:sz w:val="20"/>
                <w:szCs w:val="20"/>
                <w:color w:val="auto"/>
              </w:rPr>
            </w:pPr>
            <w:r>
              <w:rPr>
                <w:rFonts w:ascii="Arial" w:cs="Arial" w:eastAsia="Arial" w:hAnsi="Arial"/>
                <w:sz w:val="12"/>
                <w:szCs w:val="12"/>
                <w:color w:val="auto"/>
              </w:rPr>
              <w:t>Property, plant and equipment:</w:t>
            </w:r>
          </w:p>
        </w:tc>
        <w:tc>
          <w:tcPr>
            <w:tcW w:w="2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0" w:type="dxa"/>
            <w:vAlign w:val="bottom"/>
          </w:tcPr>
          <w:p>
            <w:pPr>
              <w:spacing w:after="0" w:line="134" w:lineRule="exact"/>
              <w:rPr>
                <w:sz w:val="20"/>
                <w:szCs w:val="20"/>
                <w:color w:val="auto"/>
              </w:rPr>
            </w:pPr>
            <w:r>
              <w:rPr>
                <w:rFonts w:ascii="Arial" w:cs="Arial" w:eastAsia="Arial" w:hAnsi="Arial"/>
                <w:sz w:val="12"/>
                <w:szCs w:val="12"/>
                <w:color w:val="auto"/>
              </w:rPr>
              <w:t>Property, plant and equipment</w:t>
            </w:r>
          </w:p>
        </w:tc>
        <w:tc>
          <w:tcPr>
            <w:tcW w:w="2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jc w:val="right"/>
              <w:spacing w:after="0" w:line="134" w:lineRule="exact"/>
              <w:rPr>
                <w:sz w:val="20"/>
                <w:szCs w:val="20"/>
                <w:color w:val="auto"/>
              </w:rPr>
            </w:pPr>
            <w:r>
              <w:rPr>
                <w:rFonts w:ascii="Arial" w:cs="Arial" w:eastAsia="Arial" w:hAnsi="Arial"/>
                <w:sz w:val="12"/>
                <w:szCs w:val="12"/>
                <w:color w:val="auto"/>
              </w:rPr>
              <w:t>9,942</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9,824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0" w:type="dxa"/>
            <w:vAlign w:val="bottom"/>
          </w:tcPr>
          <w:p>
            <w:pPr>
              <w:spacing w:after="0"/>
              <w:rPr>
                <w:sz w:val="20"/>
                <w:szCs w:val="20"/>
                <w:color w:val="auto"/>
              </w:rPr>
            </w:pPr>
            <w:r>
              <w:rPr>
                <w:rFonts w:ascii="Arial" w:cs="Arial" w:eastAsia="Arial" w:hAnsi="Arial"/>
                <w:sz w:val="12"/>
                <w:szCs w:val="12"/>
                <w:color w:val="auto"/>
              </w:rPr>
              <w:t>Less accumulated depreciation and amortization</w:t>
            </w:r>
          </w:p>
        </w:tc>
        <w:tc>
          <w:tcPr>
            <w:tcW w:w="24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(3,854)</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0" w:type="dxa"/>
            <w:vAlign w:val="bottom"/>
          </w:tcPr>
          <w:p>
            <w:pPr>
              <w:ind w:left="140"/>
              <w:spacing w:after="0" w:line="134" w:lineRule="exact"/>
              <w:rPr>
                <w:sz w:val="20"/>
                <w:szCs w:val="20"/>
                <w:color w:val="auto"/>
              </w:rPr>
            </w:pPr>
            <w:r>
              <w:rPr>
                <w:rFonts w:ascii="Arial" w:cs="Arial" w:eastAsia="Arial" w:hAnsi="Arial"/>
                <w:sz w:val="12"/>
                <w:szCs w:val="12"/>
                <w:color w:val="auto"/>
              </w:rPr>
              <w:t>Property, plant and equipment, net</w:t>
            </w:r>
          </w:p>
        </w:tc>
        <w:tc>
          <w:tcPr>
            <w:tcW w:w="246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6,088</w:t>
            </w: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6,022</w:t>
            </w:r>
          </w:p>
        </w:tc>
        <w:tc>
          <w:tcPr>
            <w:tcW w:w="0" w:type="dxa"/>
            <w:vAlign w:val="bottom"/>
          </w:tcPr>
          <w:p>
            <w:pPr>
              <w:spacing w:after="0"/>
              <w:rPr>
                <w:sz w:val="1"/>
                <w:szCs w:val="1"/>
                <w:color w:val="auto"/>
              </w:rPr>
            </w:pPr>
          </w:p>
        </w:tc>
      </w:tr>
      <w:tr>
        <w:trPr>
          <w:trHeight w:val="135"/>
        </w:trPr>
        <w:tc>
          <w:tcPr>
            <w:tcW w:w="6140" w:type="dxa"/>
            <w:vAlign w:val="bottom"/>
            <w:gridSpan w:val="3"/>
          </w:tcPr>
          <w:p>
            <w:pPr>
              <w:spacing w:after="0" w:line="134" w:lineRule="exact"/>
              <w:rPr>
                <w:sz w:val="20"/>
                <w:szCs w:val="20"/>
                <w:color w:val="auto"/>
              </w:rPr>
            </w:pPr>
            <w:r>
              <w:rPr>
                <w:rFonts w:ascii="Arial" w:cs="Arial" w:eastAsia="Arial" w:hAnsi="Arial"/>
                <w:sz w:val="12"/>
                <w:szCs w:val="12"/>
                <w:color w:val="auto"/>
              </w:rPr>
              <w:t>Total assets</w:t>
            </w:r>
          </w:p>
        </w:tc>
        <w:tc>
          <w:tcPr>
            <w:tcW w:w="2460" w:type="dxa"/>
            <w:vAlign w:val="bottom"/>
          </w:tcPr>
          <w:p>
            <w:pPr>
              <w:spacing w:after="0"/>
              <w:rPr>
                <w:sz w:val="11"/>
                <w:szCs w:val="11"/>
                <w:color w:val="auto"/>
              </w:rPr>
            </w:pPr>
          </w:p>
        </w:tc>
        <w:tc>
          <w:tcPr>
            <w:tcW w:w="1020" w:type="dxa"/>
            <w:vAlign w:val="bottom"/>
          </w:tcPr>
          <w:p>
            <w:pPr>
              <w:jc w:val="right"/>
              <w:ind w:right="883"/>
              <w:spacing w:after="0" w:line="134" w:lineRule="exact"/>
              <w:rPr>
                <w:sz w:val="20"/>
                <w:szCs w:val="20"/>
                <w:color w:val="auto"/>
              </w:rPr>
            </w:pPr>
            <w:r>
              <w:rPr>
                <w:rFonts w:ascii="Arial" w:cs="Arial" w:eastAsia="Arial" w:hAnsi="Arial"/>
                <w:sz w:val="12"/>
                <w:szCs w:val="12"/>
                <w:color w:val="auto"/>
                <w:w w:val="89"/>
              </w:rPr>
              <w:t>$</w:t>
            </w:r>
          </w:p>
        </w:tc>
        <w:tc>
          <w:tcPr>
            <w:tcW w:w="400" w:type="dxa"/>
            <w:vAlign w:val="bottom"/>
          </w:tcPr>
          <w:p>
            <w:pPr>
              <w:jc w:val="right"/>
              <w:spacing w:after="0" w:line="134" w:lineRule="exact"/>
              <w:rPr>
                <w:sz w:val="20"/>
                <w:szCs w:val="20"/>
                <w:color w:val="auto"/>
              </w:rPr>
            </w:pPr>
            <w:r>
              <w:rPr>
                <w:rFonts w:ascii="Arial" w:cs="Arial" w:eastAsia="Arial" w:hAnsi="Arial"/>
                <w:sz w:val="12"/>
                <w:szCs w:val="12"/>
                <w:color w:val="auto"/>
              </w:rPr>
              <w:t>7,908</w:t>
            </w:r>
          </w:p>
        </w:tc>
        <w:tc>
          <w:tcPr>
            <w:tcW w:w="220" w:type="dxa"/>
            <w:vAlign w:val="bottom"/>
          </w:tcPr>
          <w:p>
            <w:pPr>
              <w:jc w:val="right"/>
              <w:ind w:right="78"/>
              <w:spacing w:after="0" w:line="134" w:lineRule="exact"/>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7,986</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20" w:type="dxa"/>
            <w:vAlign w:val="bottom"/>
            <w:tcBorders>
              <w:top w:val="single" w:sz="8" w:color="auto"/>
            </w:tcBorders>
          </w:tcPr>
          <w:p>
            <w:pPr>
              <w:spacing w:after="0" w:line="116" w:lineRule="exact"/>
              <w:rPr>
                <w:sz w:val="20"/>
                <w:szCs w:val="20"/>
                <w:color w:val="auto"/>
              </w:rPr>
            </w:pPr>
            <w:r>
              <w:rPr>
                <w:rFonts w:ascii="Arial" w:cs="Arial" w:eastAsia="Arial" w:hAnsi="Arial"/>
                <w:sz w:val="11"/>
                <w:szCs w:val="11"/>
                <w:i w:val="1"/>
                <w:iCs w:val="1"/>
                <w:color w:val="auto"/>
                <w:w w:val="74"/>
              </w:rPr>
              <w:t>(1)</w:t>
            </w:r>
          </w:p>
        </w:tc>
        <w:tc>
          <w:tcPr>
            <w:tcW w:w="6000" w:type="dxa"/>
            <w:vAlign w:val="bottom"/>
            <w:tcBorders>
              <w:top w:val="single" w:sz="8" w:color="auto"/>
            </w:tcBorders>
          </w:tcPr>
          <w:p>
            <w:pPr>
              <w:ind w:left="380"/>
              <w:spacing w:after="0" w:line="116" w:lineRule="exact"/>
              <w:rPr>
                <w:sz w:val="20"/>
                <w:szCs w:val="20"/>
                <w:color w:val="auto"/>
              </w:rPr>
            </w:pPr>
            <w:r>
              <w:rPr>
                <w:rFonts w:ascii="Arial" w:cs="Arial" w:eastAsia="Arial" w:hAnsi="Arial"/>
                <w:sz w:val="11"/>
                <w:szCs w:val="11"/>
                <w:i w:val="1"/>
                <w:iCs w:val="1"/>
                <w:color w:val="auto"/>
              </w:rPr>
              <w:t>Derived from audited financial statements.</w:t>
            </w:r>
          </w:p>
        </w:tc>
        <w:tc>
          <w:tcPr>
            <w:tcW w:w="24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140" w:type="dxa"/>
            <w:vAlign w:val="bottom"/>
            <w:gridSpan w:val="3"/>
          </w:tcPr>
          <w:p>
            <w:pPr>
              <w:spacing w:after="0"/>
              <w:rPr>
                <w:sz w:val="20"/>
                <w:szCs w:val="20"/>
                <w:color w:val="auto"/>
              </w:rPr>
            </w:pPr>
            <w:r>
              <w:rPr>
                <w:rFonts w:ascii="Arial" w:cs="Arial" w:eastAsia="Arial" w:hAnsi="Arial"/>
                <w:sz w:val="11"/>
                <w:szCs w:val="11"/>
                <w:i w:val="1"/>
                <w:iCs w:val="1"/>
                <w:color w:val="auto"/>
              </w:rPr>
              <w:t>See Notes to Condensed Consolidated Financial Statements.</w:t>
            </w:r>
          </w:p>
        </w:tc>
        <w:tc>
          <w:tcPr>
            <w:tcW w:w="2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27" w:right="219" w:bottom="1440" w:gutter="0" w:footer="0" w:header="0"/>
        </w:sectPr>
      </w:pPr>
    </w:p>
    <w:bookmarkStart w:id="21" w:name="page22"/>
    <w:bookmarkEnd w:id="21"/>
    <w:p>
      <w:pPr>
        <w:spacing w:after="0"/>
        <w:rPr>
          <w:sz w:val="20"/>
          <w:szCs w:val="20"/>
          <w:color w:val="auto"/>
        </w:rPr>
      </w:pPr>
      <w:r>
        <w:rPr>
          <w:rFonts w:ascii="Arial" w:cs="Arial" w:eastAsia="Arial" w:hAnsi="Arial"/>
          <w:sz w:val="12"/>
          <w:szCs w:val="12"/>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255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9005" cy="25590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480" w:type="dxa"/>
            <w:vAlign w:val="bottom"/>
            <w:gridSpan w:val="3"/>
          </w:tcPr>
          <w:p>
            <w:pPr>
              <w:spacing w:after="0"/>
              <w:rPr>
                <w:sz w:val="20"/>
                <w:szCs w:val="20"/>
                <w:color w:val="auto"/>
              </w:rPr>
            </w:pPr>
            <w:r>
              <w:rPr>
                <w:rFonts w:ascii="Arial" w:cs="Arial" w:eastAsia="Arial" w:hAnsi="Arial"/>
                <w:sz w:val="11"/>
                <w:szCs w:val="11"/>
                <w:i w:val="1"/>
                <w:iCs w:val="1"/>
                <w:color w:val="auto"/>
              </w:rPr>
              <w:t>(Dollars in millions)</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40" w:type="dxa"/>
            <w:vAlign w:val="bottom"/>
          </w:tcPr>
          <w:p>
            <w:pPr>
              <w:jc w:val="center"/>
              <w:ind w:left="343"/>
              <w:spacing w:after="0"/>
              <w:rPr>
                <w:sz w:val="20"/>
                <w:szCs w:val="20"/>
                <w:color w:val="auto"/>
              </w:rPr>
            </w:pPr>
            <w:r>
              <w:rPr>
                <w:rFonts w:ascii="Arial" w:cs="Arial" w:eastAsia="Arial" w:hAnsi="Arial"/>
                <w:sz w:val="11"/>
                <w:szCs w:val="11"/>
                <w:color w:val="auto"/>
                <w:w w:val="98"/>
              </w:rPr>
              <w:t>March 31,</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right"/>
              <w:ind w:right="298"/>
              <w:spacing w:after="0"/>
              <w:rPr>
                <w:sz w:val="20"/>
                <w:szCs w:val="20"/>
                <w:color w:val="auto"/>
              </w:rPr>
            </w:pPr>
            <w:r>
              <w:rPr>
                <w:rFonts w:ascii="Arial" w:cs="Arial" w:eastAsia="Arial" w:hAnsi="Arial"/>
                <w:sz w:val="11"/>
                <w:szCs w:val="11"/>
                <w:color w:val="auto"/>
              </w:rPr>
              <w:t>December 31,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34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gridSpan w:val="2"/>
          </w:tcPr>
          <w:p>
            <w:pPr>
              <w:jc w:val="center"/>
              <w:ind w:left="2421"/>
              <w:spacing w:after="0" w:line="123" w:lineRule="exact"/>
              <w:rPr>
                <w:sz w:val="20"/>
                <w:szCs w:val="20"/>
                <w:color w:val="auto"/>
              </w:rPr>
            </w:pPr>
            <w:r>
              <w:rPr>
                <w:rFonts w:ascii="Arial" w:cs="Arial" w:eastAsia="Arial" w:hAnsi="Arial"/>
                <w:sz w:val="11"/>
                <w:szCs w:val="11"/>
                <w:color w:val="auto"/>
                <w:w w:val="97"/>
              </w:rPr>
              <w:t>2011</w:t>
            </w:r>
          </w:p>
        </w:tc>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458"/>
              <w:spacing w:after="0" w:line="123" w:lineRule="exact"/>
              <w:rPr>
                <w:sz w:val="20"/>
                <w:szCs w:val="20"/>
                <w:color w:val="auto"/>
              </w:rPr>
            </w:pPr>
            <w:r>
              <w:rPr>
                <w:rFonts w:ascii="Arial" w:cs="Arial" w:eastAsia="Arial" w:hAnsi="Arial"/>
                <w:sz w:val="11"/>
                <w:szCs w:val="11"/>
                <w:color w:val="auto"/>
              </w:rPr>
              <w:t>2010(1)</w:t>
            </w:r>
          </w:p>
        </w:tc>
        <w:tc>
          <w:tcPr>
            <w:tcW w:w="0" w:type="dxa"/>
            <w:vAlign w:val="bottom"/>
          </w:tcPr>
          <w:p>
            <w:pPr>
              <w:spacing w:after="0"/>
              <w:rPr>
                <w:sz w:val="1"/>
                <w:szCs w:val="1"/>
                <w:color w:val="auto"/>
              </w:rPr>
            </w:pPr>
          </w:p>
        </w:tc>
      </w:tr>
      <w:tr>
        <w:trPr>
          <w:trHeight w:val="146"/>
        </w:trPr>
        <w:tc>
          <w:tcPr>
            <w:tcW w:w="6480" w:type="dxa"/>
            <w:vAlign w:val="bottom"/>
            <w:gridSpan w:val="3"/>
            <w:vMerge w:val="restart"/>
          </w:tcPr>
          <w:p>
            <w:pPr>
              <w:spacing w:after="0"/>
              <w:rPr>
                <w:sz w:val="20"/>
                <w:szCs w:val="20"/>
                <w:color w:val="auto"/>
              </w:rPr>
            </w:pPr>
            <w:r>
              <w:rPr>
                <w:rFonts w:ascii="Arial" w:cs="Arial" w:eastAsia="Arial" w:hAnsi="Arial"/>
                <w:sz w:val="12"/>
                <w:szCs w:val="12"/>
                <w:color w:val="auto"/>
              </w:rPr>
              <w:t>LIABILITIES AND SHAREHOLDERS' EQUITY</w:t>
            </w:r>
          </w:p>
        </w:tc>
        <w:tc>
          <w:tcPr>
            <w:tcW w:w="2120" w:type="dxa"/>
            <w:vAlign w:val="bottom"/>
          </w:tcPr>
          <w:p>
            <w:pPr>
              <w:spacing w:after="0"/>
              <w:rPr>
                <w:sz w:val="12"/>
                <w:szCs w:val="12"/>
                <w:color w:val="auto"/>
              </w:rPr>
            </w:pPr>
          </w:p>
        </w:tc>
        <w:tc>
          <w:tcPr>
            <w:tcW w:w="1040" w:type="dxa"/>
            <w:vAlign w:val="bottom"/>
          </w:tcPr>
          <w:p>
            <w:pPr>
              <w:jc w:val="center"/>
              <w:ind w:left="343"/>
              <w:spacing w:after="0"/>
              <w:rPr>
                <w:sz w:val="20"/>
                <w:szCs w:val="20"/>
                <w:color w:val="auto"/>
              </w:rPr>
            </w:pPr>
            <w:r>
              <w:rPr>
                <w:rFonts w:ascii="Arial" w:cs="Arial" w:eastAsia="Arial" w:hAnsi="Arial"/>
                <w:sz w:val="11"/>
                <w:szCs w:val="11"/>
                <w:color w:val="auto"/>
              </w:rPr>
              <w:t>(unaudited)</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480" w:type="dxa"/>
            <w:vAlign w:val="bottom"/>
            <w:gridSpan w:val="3"/>
            <w:vMerge w:val="continue"/>
          </w:tcPr>
          <w:p>
            <w:pPr>
              <w:spacing w:after="0"/>
              <w:rPr>
                <w:sz w:val="9"/>
                <w:szCs w:val="9"/>
                <w:color w:val="auto"/>
              </w:rPr>
            </w:pPr>
          </w:p>
        </w:tc>
        <w:tc>
          <w:tcPr>
            <w:tcW w:w="2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6480" w:type="dxa"/>
            <w:vAlign w:val="bottom"/>
            <w:gridSpan w:val="3"/>
          </w:tcPr>
          <w:p>
            <w:pPr>
              <w:spacing w:after="0" w:line="134" w:lineRule="exact"/>
              <w:rPr>
                <w:sz w:val="20"/>
                <w:szCs w:val="20"/>
                <w:color w:val="auto"/>
              </w:rPr>
            </w:pPr>
            <w:r>
              <w:rPr>
                <w:rFonts w:ascii="Arial" w:cs="Arial" w:eastAsia="Arial" w:hAnsi="Arial"/>
                <w:sz w:val="12"/>
                <w:szCs w:val="12"/>
                <w:color w:val="auto"/>
              </w:rPr>
              <w:t>Current liabilities:</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60" w:type="dxa"/>
            <w:vAlign w:val="bottom"/>
            <w:gridSpan w:val="2"/>
          </w:tcPr>
          <w:p>
            <w:pPr>
              <w:ind w:left="120"/>
              <w:spacing w:after="0" w:line="134" w:lineRule="exact"/>
              <w:rPr>
                <w:sz w:val="20"/>
                <w:szCs w:val="20"/>
                <w:color w:val="auto"/>
              </w:rPr>
            </w:pPr>
            <w:r>
              <w:rPr>
                <w:rFonts w:ascii="Arial" w:cs="Arial" w:eastAsia="Arial" w:hAnsi="Arial"/>
                <w:sz w:val="12"/>
                <w:szCs w:val="12"/>
                <w:color w:val="auto"/>
              </w:rPr>
              <w:t>Accounts payable - trade</w:t>
            </w:r>
          </w:p>
        </w:tc>
        <w:tc>
          <w:tcPr>
            <w:tcW w:w="3160" w:type="dxa"/>
            <w:vAlign w:val="bottom"/>
            <w:gridSpan w:val="2"/>
          </w:tcPr>
          <w:p>
            <w:pPr>
              <w:jc w:val="right"/>
              <w:ind w:right="903"/>
              <w:spacing w:after="0" w:line="134" w:lineRule="exact"/>
              <w:rPr>
                <w:sz w:val="20"/>
                <w:szCs w:val="20"/>
                <w:color w:val="auto"/>
              </w:rPr>
            </w:pPr>
            <w:r>
              <w:rPr>
                <w:rFonts w:ascii="Arial" w:cs="Arial" w:eastAsia="Arial" w:hAnsi="Arial"/>
                <w:sz w:val="12"/>
                <w:szCs w:val="12"/>
                <w:color w:val="auto"/>
              </w:rPr>
              <w:t>$</w:t>
            </w: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234</w:t>
            </w:r>
          </w:p>
        </w:tc>
        <w:tc>
          <w:tcPr>
            <w:tcW w:w="220" w:type="dxa"/>
            <w:vAlign w:val="bottom"/>
          </w:tcPr>
          <w:p>
            <w:pPr>
              <w:jc w:val="right"/>
              <w:ind w:right="78"/>
              <w:spacing w:after="0" w:line="134" w:lineRule="exact"/>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327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60" w:type="dxa"/>
            <w:vAlign w:val="bottom"/>
            <w:gridSpan w:val="2"/>
          </w:tcPr>
          <w:p>
            <w:pPr>
              <w:ind w:left="120"/>
              <w:spacing w:after="0" w:line="134" w:lineRule="exact"/>
              <w:rPr>
                <w:sz w:val="20"/>
                <w:szCs w:val="20"/>
                <w:color w:val="auto"/>
              </w:rPr>
            </w:pPr>
            <w:r>
              <w:rPr>
                <w:rFonts w:ascii="Arial" w:cs="Arial" w:eastAsia="Arial" w:hAnsi="Arial"/>
                <w:sz w:val="12"/>
                <w:szCs w:val="12"/>
                <w:color w:val="auto"/>
              </w:rPr>
              <w:t>Accounts payable - other</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71</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Due to unconsolidated affiliate</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Deferred income taxes</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28</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60" w:type="dxa"/>
            <w:vAlign w:val="bottom"/>
            <w:gridSpan w:val="2"/>
          </w:tcPr>
          <w:p>
            <w:pPr>
              <w:ind w:left="120"/>
              <w:spacing w:after="0" w:line="134" w:lineRule="exact"/>
              <w:rPr>
                <w:sz w:val="20"/>
                <w:szCs w:val="20"/>
                <w:color w:val="auto"/>
              </w:rPr>
            </w:pPr>
            <w:r>
              <w:rPr>
                <w:rFonts w:ascii="Arial" w:cs="Arial" w:eastAsia="Arial" w:hAnsi="Arial"/>
                <w:sz w:val="12"/>
                <w:szCs w:val="12"/>
                <w:color w:val="auto"/>
              </w:rPr>
              <w:t>Accrued compensation and benefits</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76</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Regulatory balancing accounts, net</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307</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180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Current portion of long-term debt</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9</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262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Customer deposits</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73</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73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Temporary LIFO liquidation</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66</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340" w:type="dxa"/>
            <w:vAlign w:val="bottom"/>
          </w:tcPr>
          <w:p>
            <w:pPr>
              <w:spacing w:after="0"/>
              <w:rPr>
                <w:sz w:val="20"/>
                <w:szCs w:val="20"/>
                <w:color w:val="auto"/>
              </w:rPr>
            </w:pPr>
            <w:r>
              <w:rPr>
                <w:rFonts w:ascii="Arial" w:cs="Arial" w:eastAsia="Arial" w:hAnsi="Arial"/>
                <w:sz w:val="12"/>
                <w:szCs w:val="12"/>
                <w:color w:val="auto"/>
              </w:rPr>
              <w:t>Other</w:t>
            </w:r>
          </w:p>
        </w:tc>
        <w:tc>
          <w:tcPr>
            <w:tcW w:w="21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186</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ind w:left="140"/>
              <w:spacing w:after="0" w:line="134" w:lineRule="exact"/>
              <w:rPr>
                <w:sz w:val="20"/>
                <w:szCs w:val="20"/>
                <w:color w:val="auto"/>
              </w:rPr>
            </w:pPr>
            <w:r>
              <w:rPr>
                <w:rFonts w:ascii="Arial" w:cs="Arial" w:eastAsia="Arial" w:hAnsi="Arial"/>
                <w:sz w:val="12"/>
                <w:szCs w:val="12"/>
                <w:color w:val="auto"/>
              </w:rPr>
              <w:t>Total current liabilities</w:t>
            </w:r>
          </w:p>
        </w:tc>
        <w:tc>
          <w:tcPr>
            <w:tcW w:w="212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1,050</w:t>
            </w: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1,210</w:t>
            </w:r>
          </w:p>
        </w:tc>
        <w:tc>
          <w:tcPr>
            <w:tcW w:w="0" w:type="dxa"/>
            <w:vAlign w:val="bottom"/>
          </w:tcPr>
          <w:p>
            <w:pPr>
              <w:spacing w:after="0"/>
              <w:rPr>
                <w:sz w:val="1"/>
                <w:szCs w:val="1"/>
                <w:color w:val="auto"/>
              </w:rPr>
            </w:pPr>
          </w:p>
        </w:tc>
      </w:tr>
      <w:tr>
        <w:trPr>
          <w:trHeight w:val="135"/>
        </w:trPr>
        <w:tc>
          <w:tcPr>
            <w:tcW w:w="6480" w:type="dxa"/>
            <w:vAlign w:val="bottom"/>
            <w:gridSpan w:val="3"/>
          </w:tcPr>
          <w:p>
            <w:pPr>
              <w:spacing w:after="0" w:line="134" w:lineRule="exact"/>
              <w:rPr>
                <w:sz w:val="20"/>
                <w:szCs w:val="20"/>
                <w:color w:val="auto"/>
              </w:rPr>
            </w:pPr>
            <w:r>
              <w:rPr>
                <w:rFonts w:ascii="Arial" w:cs="Arial" w:eastAsia="Arial" w:hAnsi="Arial"/>
                <w:sz w:val="12"/>
                <w:szCs w:val="12"/>
                <w:color w:val="auto"/>
              </w:rPr>
              <w:t>Long-term debt</w:t>
            </w:r>
          </w:p>
        </w:tc>
        <w:tc>
          <w:tcPr>
            <w:tcW w:w="212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1,318</w:t>
            </w: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1,320</w:t>
            </w:r>
          </w:p>
        </w:tc>
        <w:tc>
          <w:tcPr>
            <w:tcW w:w="0" w:type="dxa"/>
            <w:vAlign w:val="bottom"/>
          </w:tcPr>
          <w:p>
            <w:pPr>
              <w:spacing w:after="0"/>
              <w:rPr>
                <w:sz w:val="1"/>
                <w:szCs w:val="1"/>
                <w:color w:val="auto"/>
              </w:rPr>
            </w:pPr>
          </w:p>
        </w:tc>
      </w:tr>
      <w:tr>
        <w:trPr>
          <w:trHeight w:val="125"/>
        </w:trPr>
        <w:tc>
          <w:tcPr>
            <w:tcW w:w="6480" w:type="dxa"/>
            <w:vAlign w:val="bottom"/>
            <w:gridSpan w:val="3"/>
          </w:tcPr>
          <w:p>
            <w:pPr>
              <w:spacing w:after="0" w:line="126" w:lineRule="exact"/>
              <w:rPr>
                <w:sz w:val="20"/>
                <w:szCs w:val="20"/>
                <w:color w:val="auto"/>
              </w:rPr>
            </w:pPr>
            <w:r>
              <w:rPr>
                <w:rFonts w:ascii="Arial" w:cs="Arial" w:eastAsia="Arial" w:hAnsi="Arial"/>
                <w:sz w:val="12"/>
                <w:szCs w:val="12"/>
                <w:color w:val="auto"/>
              </w:rPr>
              <w:t>Deferred credits and other liabilities:</w:t>
            </w:r>
          </w:p>
        </w:tc>
        <w:tc>
          <w:tcPr>
            <w:tcW w:w="2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Customer advances for construction</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111</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133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Pension and other postretirement benefit obligations, net of plan assets</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625</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613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Deferred income taxes</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464</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418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Deferred investment tax credits</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25</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Regulatory liabilities arising from removal obligations</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1,216</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1,208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60" w:type="dxa"/>
            <w:vAlign w:val="bottom"/>
            <w:gridSpan w:val="2"/>
          </w:tcPr>
          <w:p>
            <w:pPr>
              <w:ind w:left="120"/>
              <w:spacing w:after="0" w:line="134" w:lineRule="exact"/>
              <w:rPr>
                <w:sz w:val="20"/>
                <w:szCs w:val="20"/>
                <w:color w:val="auto"/>
              </w:rPr>
            </w:pPr>
            <w:r>
              <w:rPr>
                <w:rFonts w:ascii="Arial" w:cs="Arial" w:eastAsia="Arial" w:hAnsi="Arial"/>
                <w:sz w:val="12"/>
                <w:szCs w:val="12"/>
                <w:color w:val="auto"/>
              </w:rPr>
              <w:t>Asset retirement obligations</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798</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788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Deferred taxes refundable in rates</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130</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138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340" w:type="dxa"/>
            <w:vAlign w:val="bottom"/>
          </w:tcPr>
          <w:p>
            <w:pPr>
              <w:spacing w:after="0"/>
              <w:rPr>
                <w:sz w:val="20"/>
                <w:szCs w:val="20"/>
                <w:color w:val="auto"/>
              </w:rPr>
            </w:pPr>
            <w:r>
              <w:rPr>
                <w:rFonts w:ascii="Arial" w:cs="Arial" w:eastAsia="Arial" w:hAnsi="Arial"/>
                <w:sz w:val="12"/>
                <w:szCs w:val="12"/>
                <w:color w:val="auto"/>
              </w:rPr>
              <w:t>Deferred credits and other</w:t>
            </w:r>
          </w:p>
        </w:tc>
        <w:tc>
          <w:tcPr>
            <w:tcW w:w="21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198</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ind w:left="140"/>
              <w:spacing w:after="0" w:line="134" w:lineRule="exact"/>
              <w:rPr>
                <w:sz w:val="20"/>
                <w:szCs w:val="20"/>
                <w:color w:val="auto"/>
              </w:rPr>
            </w:pPr>
            <w:r>
              <w:rPr>
                <w:rFonts w:ascii="Arial" w:cs="Arial" w:eastAsia="Arial" w:hAnsi="Arial"/>
                <w:sz w:val="12"/>
                <w:szCs w:val="12"/>
                <w:color w:val="auto"/>
              </w:rPr>
              <w:t>Total deferred credits and other liabilities</w:t>
            </w:r>
          </w:p>
        </w:tc>
        <w:tc>
          <w:tcPr>
            <w:tcW w:w="212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3,567</w:t>
            </w: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3,501</w:t>
            </w:r>
          </w:p>
        </w:tc>
        <w:tc>
          <w:tcPr>
            <w:tcW w:w="0" w:type="dxa"/>
            <w:vAlign w:val="bottom"/>
          </w:tcPr>
          <w:p>
            <w:pPr>
              <w:spacing w:after="0"/>
              <w:rPr>
                <w:sz w:val="1"/>
                <w:szCs w:val="1"/>
                <w:color w:val="auto"/>
              </w:rPr>
            </w:pPr>
          </w:p>
        </w:tc>
      </w:tr>
      <w:tr>
        <w:trPr>
          <w:trHeight w:val="274"/>
        </w:trPr>
        <w:tc>
          <w:tcPr>
            <w:tcW w:w="6480" w:type="dxa"/>
            <w:vAlign w:val="bottom"/>
            <w:gridSpan w:val="3"/>
          </w:tcPr>
          <w:p>
            <w:pPr>
              <w:spacing w:after="0"/>
              <w:rPr>
                <w:sz w:val="20"/>
                <w:szCs w:val="20"/>
                <w:color w:val="auto"/>
              </w:rPr>
            </w:pPr>
            <w:r>
              <w:rPr>
                <w:rFonts w:ascii="Arial" w:cs="Arial" w:eastAsia="Arial" w:hAnsi="Arial"/>
                <w:sz w:val="12"/>
                <w:szCs w:val="12"/>
                <w:color w:val="auto"/>
              </w:rPr>
              <w:t>Commitments and contingencies (Note 10)</w:t>
            </w:r>
          </w:p>
        </w:tc>
        <w:tc>
          <w:tcPr>
            <w:tcW w:w="2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6480" w:type="dxa"/>
            <w:vAlign w:val="bottom"/>
            <w:gridSpan w:val="3"/>
          </w:tcPr>
          <w:p>
            <w:pPr>
              <w:spacing w:after="0"/>
              <w:rPr>
                <w:sz w:val="20"/>
                <w:szCs w:val="20"/>
                <w:color w:val="auto"/>
              </w:rPr>
            </w:pPr>
            <w:r>
              <w:rPr>
                <w:rFonts w:ascii="Arial" w:cs="Arial" w:eastAsia="Arial" w:hAnsi="Arial"/>
                <w:sz w:val="12"/>
                <w:szCs w:val="12"/>
                <w:color w:val="auto"/>
              </w:rPr>
              <w:t>Shareholders' equity:</w:t>
            </w:r>
          </w:p>
        </w:tc>
        <w:tc>
          <w:tcPr>
            <w:tcW w:w="2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Preferred stock</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22</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Common stock (100 million shares authorized; 91 million shares outstanding;</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ind w:left="140"/>
              <w:spacing w:after="0" w:line="134" w:lineRule="exact"/>
              <w:rPr>
                <w:sz w:val="20"/>
                <w:szCs w:val="20"/>
                <w:color w:val="auto"/>
              </w:rPr>
            </w:pPr>
            <w:r>
              <w:rPr>
                <w:rFonts w:ascii="Arial" w:cs="Arial" w:eastAsia="Arial" w:hAnsi="Arial"/>
                <w:sz w:val="12"/>
                <w:szCs w:val="12"/>
                <w:color w:val="auto"/>
              </w:rPr>
              <w:t>no par value)</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866</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866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spacing w:after="0" w:line="134" w:lineRule="exact"/>
              <w:rPr>
                <w:sz w:val="20"/>
                <w:szCs w:val="20"/>
                <w:color w:val="auto"/>
              </w:rPr>
            </w:pPr>
            <w:r>
              <w:rPr>
                <w:rFonts w:ascii="Arial" w:cs="Arial" w:eastAsia="Arial" w:hAnsi="Arial"/>
                <w:sz w:val="12"/>
                <w:szCs w:val="12"/>
                <w:color w:val="auto"/>
              </w:rPr>
              <w:t>Retained earnings</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1,107</w:t>
            </w:r>
          </w:p>
        </w:tc>
        <w:tc>
          <w:tcPr>
            <w:tcW w:w="22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1,089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60" w:type="dxa"/>
            <w:vAlign w:val="bottom"/>
            <w:gridSpan w:val="2"/>
          </w:tcPr>
          <w:p>
            <w:pPr>
              <w:ind w:left="120"/>
              <w:spacing w:after="0"/>
              <w:rPr>
                <w:sz w:val="20"/>
                <w:szCs w:val="20"/>
                <w:color w:val="auto"/>
              </w:rPr>
            </w:pPr>
            <w:r>
              <w:rPr>
                <w:rFonts w:ascii="Arial" w:cs="Arial" w:eastAsia="Arial" w:hAnsi="Arial"/>
                <w:sz w:val="12"/>
                <w:szCs w:val="12"/>
                <w:color w:val="auto"/>
              </w:rPr>
              <w:t>Accumulated other comprehensive income (loss)</w:t>
            </w:r>
          </w:p>
        </w:tc>
        <w:tc>
          <w:tcPr>
            <w:tcW w:w="21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40" w:type="dxa"/>
            <w:vAlign w:val="bottom"/>
          </w:tcPr>
          <w:p>
            <w:pPr>
              <w:ind w:left="140"/>
              <w:spacing w:after="0" w:line="134" w:lineRule="exact"/>
              <w:rPr>
                <w:sz w:val="20"/>
                <w:szCs w:val="20"/>
                <w:color w:val="auto"/>
              </w:rPr>
            </w:pPr>
            <w:r>
              <w:rPr>
                <w:rFonts w:ascii="Arial" w:cs="Arial" w:eastAsia="Arial" w:hAnsi="Arial"/>
                <w:sz w:val="12"/>
                <w:szCs w:val="12"/>
                <w:color w:val="auto"/>
              </w:rPr>
              <w:t>Total shareholders' equity</w:t>
            </w:r>
          </w:p>
        </w:tc>
        <w:tc>
          <w:tcPr>
            <w:tcW w:w="212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1,973</w:t>
            </w: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1,955</w:t>
            </w:r>
          </w:p>
        </w:tc>
        <w:tc>
          <w:tcPr>
            <w:tcW w:w="0" w:type="dxa"/>
            <w:vAlign w:val="bottom"/>
          </w:tcPr>
          <w:p>
            <w:pPr>
              <w:spacing w:after="0"/>
              <w:rPr>
                <w:sz w:val="1"/>
                <w:szCs w:val="1"/>
                <w:color w:val="auto"/>
              </w:rPr>
            </w:pPr>
          </w:p>
        </w:tc>
      </w:tr>
      <w:tr>
        <w:trPr>
          <w:trHeight w:val="135"/>
        </w:trPr>
        <w:tc>
          <w:tcPr>
            <w:tcW w:w="6480" w:type="dxa"/>
            <w:vAlign w:val="bottom"/>
            <w:gridSpan w:val="3"/>
          </w:tcPr>
          <w:p>
            <w:pPr>
              <w:spacing w:after="0" w:line="134" w:lineRule="exact"/>
              <w:rPr>
                <w:sz w:val="20"/>
                <w:szCs w:val="20"/>
                <w:color w:val="auto"/>
              </w:rPr>
            </w:pPr>
            <w:r>
              <w:rPr>
                <w:rFonts w:ascii="Arial" w:cs="Arial" w:eastAsia="Arial" w:hAnsi="Arial"/>
                <w:sz w:val="12"/>
                <w:szCs w:val="12"/>
                <w:color w:val="auto"/>
              </w:rPr>
              <w:t>Total liabilities and shareholders' equity</w:t>
            </w:r>
          </w:p>
        </w:tc>
        <w:tc>
          <w:tcPr>
            <w:tcW w:w="2120" w:type="dxa"/>
            <w:vAlign w:val="bottom"/>
          </w:tcPr>
          <w:p>
            <w:pPr>
              <w:spacing w:after="0"/>
              <w:rPr>
                <w:sz w:val="11"/>
                <w:szCs w:val="11"/>
                <w:color w:val="auto"/>
              </w:rPr>
            </w:pPr>
          </w:p>
        </w:tc>
        <w:tc>
          <w:tcPr>
            <w:tcW w:w="1040" w:type="dxa"/>
            <w:vAlign w:val="bottom"/>
          </w:tcPr>
          <w:p>
            <w:pPr>
              <w:jc w:val="right"/>
              <w:ind w:right="903"/>
              <w:spacing w:after="0" w:line="134" w:lineRule="exact"/>
              <w:rPr>
                <w:sz w:val="20"/>
                <w:szCs w:val="20"/>
                <w:color w:val="auto"/>
              </w:rPr>
            </w:pPr>
            <w:r>
              <w:rPr>
                <w:rFonts w:ascii="Arial" w:cs="Arial" w:eastAsia="Arial" w:hAnsi="Arial"/>
                <w:sz w:val="12"/>
                <w:szCs w:val="12"/>
                <w:color w:val="auto"/>
                <w:w w:val="89"/>
              </w:rPr>
              <w:t>$</w:t>
            </w: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7,908</w:t>
            </w:r>
          </w:p>
        </w:tc>
        <w:tc>
          <w:tcPr>
            <w:tcW w:w="220" w:type="dxa"/>
            <w:vAlign w:val="bottom"/>
          </w:tcPr>
          <w:p>
            <w:pPr>
              <w:jc w:val="right"/>
              <w:ind w:right="78"/>
              <w:spacing w:after="0" w:line="134" w:lineRule="exact"/>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7,986</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20" w:type="dxa"/>
            <w:vAlign w:val="bottom"/>
            <w:tcBorders>
              <w:top w:val="single" w:sz="8" w:color="auto"/>
            </w:tcBorders>
          </w:tcPr>
          <w:p>
            <w:pPr>
              <w:spacing w:after="0" w:line="116" w:lineRule="exact"/>
              <w:rPr>
                <w:sz w:val="20"/>
                <w:szCs w:val="20"/>
                <w:color w:val="auto"/>
              </w:rPr>
            </w:pPr>
            <w:r>
              <w:rPr>
                <w:rFonts w:ascii="Arial" w:cs="Arial" w:eastAsia="Arial" w:hAnsi="Arial"/>
                <w:sz w:val="11"/>
                <w:szCs w:val="11"/>
                <w:i w:val="1"/>
                <w:iCs w:val="1"/>
                <w:color w:val="auto"/>
                <w:w w:val="74"/>
              </w:rPr>
              <w:t>(1)</w:t>
            </w:r>
          </w:p>
        </w:tc>
        <w:tc>
          <w:tcPr>
            <w:tcW w:w="6340" w:type="dxa"/>
            <w:vAlign w:val="bottom"/>
            <w:tcBorders>
              <w:top w:val="single" w:sz="8" w:color="auto"/>
            </w:tcBorders>
          </w:tcPr>
          <w:p>
            <w:pPr>
              <w:ind w:left="380"/>
              <w:spacing w:after="0" w:line="116" w:lineRule="exact"/>
              <w:rPr>
                <w:sz w:val="20"/>
                <w:szCs w:val="20"/>
                <w:color w:val="auto"/>
              </w:rPr>
            </w:pPr>
            <w:r>
              <w:rPr>
                <w:rFonts w:ascii="Arial" w:cs="Arial" w:eastAsia="Arial" w:hAnsi="Arial"/>
                <w:sz w:val="11"/>
                <w:szCs w:val="11"/>
                <w:i w:val="1"/>
                <w:iCs w:val="1"/>
                <w:color w:val="auto"/>
              </w:rPr>
              <w:t>Derived from audited financial statements.</w:t>
            </w:r>
          </w:p>
        </w:tc>
        <w:tc>
          <w:tcPr>
            <w:tcW w:w="2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480" w:type="dxa"/>
            <w:vAlign w:val="bottom"/>
            <w:gridSpan w:val="3"/>
          </w:tcPr>
          <w:p>
            <w:pPr>
              <w:spacing w:after="0"/>
              <w:rPr>
                <w:sz w:val="20"/>
                <w:szCs w:val="20"/>
                <w:color w:val="auto"/>
              </w:rPr>
            </w:pPr>
            <w:r>
              <w:rPr>
                <w:rFonts w:ascii="Arial" w:cs="Arial" w:eastAsia="Arial" w:hAnsi="Arial"/>
                <w:sz w:val="11"/>
                <w:szCs w:val="11"/>
                <w:i w:val="1"/>
                <w:iCs w:val="1"/>
                <w:color w:val="auto"/>
              </w:rPr>
              <w:t>See Notes to Condensed Consolidated Financial Statements.</w:t>
            </w:r>
          </w:p>
        </w:tc>
        <w:tc>
          <w:tcPr>
            <w:tcW w:w="2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27" w:right="219" w:bottom="1440" w:gutter="0" w:footer="0" w:header="0"/>
        </w:sectPr>
      </w:pPr>
    </w:p>
    <w:bookmarkStart w:id="22" w:name="page23"/>
    <w:bookmarkEnd w:id="22"/>
    <w:p>
      <w:pPr>
        <w:spacing w:after="0"/>
        <w:rPr>
          <w:sz w:val="20"/>
          <w:szCs w:val="20"/>
          <w:color w:val="auto"/>
        </w:rPr>
      </w:pPr>
      <w:r>
        <w:rPr>
          <w:rFonts w:ascii="Arial" w:cs="Arial" w:eastAsia="Arial" w:hAnsi="Arial"/>
          <w:sz w:val="12"/>
          <w:szCs w:val="12"/>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255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9005" cy="25590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(Dollars in millions)</w:t>
      </w:r>
    </w:p>
    <w:tbl>
      <w:tblPr>
        <w:tblLayout w:type="fixed"/>
        <w:tblInd w:w="0" w:type="dxa"/>
        <w:tblCellMar>
          <w:top w:w="0" w:type="dxa"/>
          <w:left w:w="0" w:type="dxa"/>
          <w:bottom w:w="0" w:type="dxa"/>
          <w:right w:w="0" w:type="dxa"/>
        </w:tblCellMar>
      </w:tblPr>
      <w:tr>
        <w:trPr>
          <w:trHeight w:val="121"/>
        </w:trPr>
        <w:tc>
          <w:tcPr>
            <w:tcW w:w="64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000" w:type="dxa"/>
            <w:vAlign w:val="bottom"/>
            <w:tcBorders>
              <w:bottom w:val="single" w:sz="8" w:color="auto"/>
            </w:tcBorders>
            <w:gridSpan w:val="3"/>
          </w:tcPr>
          <w:p>
            <w:pPr>
              <w:jc w:val="right"/>
              <w:spacing w:after="0" w:line="121" w:lineRule="exact"/>
              <w:rPr>
                <w:sz w:val="20"/>
                <w:szCs w:val="20"/>
                <w:color w:val="auto"/>
              </w:rPr>
            </w:pPr>
            <w:r>
              <w:rPr>
                <w:rFonts w:ascii="Arial" w:cs="Arial" w:eastAsia="Arial" w:hAnsi="Arial"/>
                <w:sz w:val="11"/>
                <w:szCs w:val="11"/>
                <w:color w:val="auto"/>
              </w:rPr>
              <w:t>Three months ended March 31,</w:t>
            </w:r>
          </w:p>
        </w:tc>
        <w:tc>
          <w:tcPr>
            <w:tcW w:w="3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400" w:type="dxa"/>
            <w:vAlign w:val="bottom"/>
            <w:tcBorders>
              <w:bottom w:val="single" w:sz="8" w:color="auto"/>
            </w:tcBorders>
          </w:tcPr>
          <w:p>
            <w:pPr>
              <w:spacing w:after="0"/>
              <w:rPr>
                <w:sz w:val="11"/>
                <w:szCs w:val="11"/>
                <w:color w:val="auto"/>
              </w:rPr>
            </w:pPr>
          </w:p>
        </w:tc>
        <w:tc>
          <w:tcPr>
            <w:tcW w:w="350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1"/>
                <w:szCs w:val="11"/>
                <w:color w:val="auto"/>
              </w:rPr>
              <w:t>2011</w:t>
            </w: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color w:val="auto"/>
              </w:rPr>
              <w:t>2010</w:t>
            </w:r>
          </w:p>
        </w:tc>
        <w:tc>
          <w:tcPr>
            <w:tcW w:w="3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400" w:type="dxa"/>
            <w:vAlign w:val="bottom"/>
            <w:vMerge w:val="restart"/>
          </w:tcPr>
          <w:p>
            <w:pPr>
              <w:spacing w:after="0"/>
              <w:rPr>
                <w:sz w:val="20"/>
                <w:szCs w:val="20"/>
                <w:color w:val="auto"/>
              </w:rPr>
            </w:pPr>
            <w:r>
              <w:rPr>
                <w:rFonts w:ascii="Arial" w:cs="Arial" w:eastAsia="Arial" w:hAnsi="Arial"/>
                <w:sz w:val="12"/>
                <w:szCs w:val="12"/>
                <w:color w:val="auto"/>
              </w:rPr>
              <w:t>CASH FLOWS FROM OPERATING ACTIVITIES</w:t>
            </w:r>
          </w:p>
        </w:tc>
        <w:tc>
          <w:tcPr>
            <w:tcW w:w="2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20" w:type="dxa"/>
            <w:vAlign w:val="bottom"/>
            <w:gridSpan w:val="2"/>
          </w:tcPr>
          <w:p>
            <w:pPr>
              <w:jc w:val="right"/>
              <w:ind w:right="479"/>
              <w:spacing w:after="0"/>
              <w:rPr>
                <w:sz w:val="20"/>
                <w:szCs w:val="20"/>
                <w:color w:val="auto"/>
              </w:rPr>
            </w:pPr>
            <w:r>
              <w:rPr>
                <w:rFonts w:ascii="Arial" w:cs="Arial" w:eastAsia="Arial" w:hAnsi="Arial"/>
                <w:sz w:val="11"/>
                <w:szCs w:val="11"/>
                <w:color w:val="auto"/>
              </w:rPr>
              <w:t>(unaudited)</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400" w:type="dxa"/>
            <w:vAlign w:val="bottom"/>
            <w:vMerge w:val="continue"/>
          </w:tcPr>
          <w:p>
            <w:pPr>
              <w:spacing w:after="0"/>
              <w:rPr>
                <w:sz w:val="9"/>
                <w:szCs w:val="9"/>
                <w:color w:val="auto"/>
              </w:rPr>
            </w:pPr>
          </w:p>
        </w:tc>
        <w:tc>
          <w:tcPr>
            <w:tcW w:w="2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6400" w:type="dxa"/>
            <w:vAlign w:val="bottom"/>
          </w:tcPr>
          <w:p>
            <w:pPr>
              <w:ind w:left="140"/>
              <w:spacing w:after="0" w:line="134" w:lineRule="exact"/>
              <w:rPr>
                <w:sz w:val="20"/>
                <w:szCs w:val="20"/>
                <w:color w:val="auto"/>
              </w:rPr>
            </w:pPr>
            <w:r>
              <w:rPr>
                <w:rFonts w:ascii="Arial" w:cs="Arial" w:eastAsia="Arial" w:hAnsi="Arial"/>
                <w:sz w:val="12"/>
                <w:szCs w:val="12"/>
                <w:color w:val="auto"/>
              </w:rPr>
              <w:t>Net income</w:t>
            </w:r>
          </w:p>
        </w:tc>
        <w:tc>
          <w:tcPr>
            <w:tcW w:w="3500" w:type="dxa"/>
            <w:vAlign w:val="bottom"/>
            <w:gridSpan w:val="2"/>
          </w:tcPr>
          <w:p>
            <w:pPr>
              <w:jc w:val="right"/>
              <w:ind w:right="667"/>
              <w:spacing w:after="0" w:line="134" w:lineRule="exact"/>
              <w:rPr>
                <w:sz w:val="20"/>
                <w:szCs w:val="20"/>
                <w:color w:val="auto"/>
              </w:rPr>
            </w:pPr>
            <w:r>
              <w:rPr>
                <w:rFonts w:ascii="Arial" w:cs="Arial" w:eastAsia="Arial" w:hAnsi="Arial"/>
                <w:sz w:val="12"/>
                <w:szCs w:val="12"/>
                <w:color w:val="auto"/>
              </w:rPr>
              <w:t>$</w:t>
            </w: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68</w:t>
            </w:r>
          </w:p>
        </w:tc>
        <w:tc>
          <w:tcPr>
            <w:tcW w:w="840" w:type="dxa"/>
            <w:vAlign w:val="bottom"/>
          </w:tcPr>
          <w:p>
            <w:pPr>
              <w:jc w:val="right"/>
              <w:ind w:right="699"/>
              <w:spacing w:after="0" w:line="134" w:lineRule="exact"/>
              <w:rPr>
                <w:sz w:val="20"/>
                <w:szCs w:val="20"/>
                <w:color w:val="auto"/>
              </w:rPr>
            </w:pPr>
            <w:r>
              <w:rPr>
                <w:rFonts w:ascii="Arial" w:cs="Arial" w:eastAsia="Arial" w:hAnsi="Arial"/>
                <w:sz w:val="12"/>
                <w:szCs w:val="12"/>
                <w:color w:val="auto"/>
                <w:w w:val="89"/>
              </w:rPr>
              <w:t>$</w:t>
            </w:r>
          </w:p>
        </w:tc>
        <w:tc>
          <w:tcPr>
            <w:tcW w:w="340" w:type="dxa"/>
            <w:vAlign w:val="bottom"/>
          </w:tcPr>
          <w:p>
            <w:pPr>
              <w:jc w:val="right"/>
              <w:spacing w:after="0" w:line="134" w:lineRule="exact"/>
              <w:rPr>
                <w:sz w:val="20"/>
                <w:szCs w:val="20"/>
                <w:color w:val="auto"/>
              </w:rPr>
            </w:pPr>
            <w:r>
              <w:rPr>
                <w:rFonts w:ascii="Arial" w:cs="Arial" w:eastAsia="Arial" w:hAnsi="Arial"/>
                <w:sz w:val="12"/>
                <w:szCs w:val="12"/>
                <w:color w:val="auto"/>
              </w:rPr>
              <w:t>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400" w:type="dxa"/>
            <w:vAlign w:val="bottom"/>
          </w:tcPr>
          <w:p>
            <w:pPr>
              <w:ind w:left="140"/>
              <w:spacing w:after="0" w:line="134" w:lineRule="exact"/>
              <w:rPr>
                <w:sz w:val="20"/>
                <w:szCs w:val="20"/>
                <w:color w:val="auto"/>
              </w:rPr>
            </w:pPr>
            <w:r>
              <w:rPr>
                <w:rFonts w:ascii="Arial" w:cs="Arial" w:eastAsia="Arial" w:hAnsi="Arial"/>
                <w:sz w:val="12"/>
                <w:szCs w:val="12"/>
                <w:color w:val="auto"/>
              </w:rPr>
              <w:t>Adjustments to reconcile net income to net cash provided by</w:t>
            </w:r>
          </w:p>
        </w:tc>
        <w:tc>
          <w:tcPr>
            <w:tcW w:w="2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400" w:type="dxa"/>
            <w:vAlign w:val="bottom"/>
          </w:tcPr>
          <w:p>
            <w:pPr>
              <w:ind w:left="280"/>
              <w:spacing w:after="0" w:line="134" w:lineRule="exact"/>
              <w:rPr>
                <w:sz w:val="20"/>
                <w:szCs w:val="20"/>
                <w:color w:val="auto"/>
              </w:rPr>
            </w:pPr>
            <w:r>
              <w:rPr>
                <w:rFonts w:ascii="Arial" w:cs="Arial" w:eastAsia="Arial" w:hAnsi="Arial"/>
                <w:sz w:val="12"/>
                <w:szCs w:val="12"/>
                <w:color w:val="auto"/>
              </w:rPr>
              <w:t>operating activities:</w:t>
            </w:r>
          </w:p>
        </w:tc>
        <w:tc>
          <w:tcPr>
            <w:tcW w:w="2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400" w:type="dxa"/>
            <w:vAlign w:val="bottom"/>
          </w:tcPr>
          <w:p>
            <w:pPr>
              <w:ind w:left="420"/>
              <w:spacing w:after="0" w:line="134" w:lineRule="exact"/>
              <w:rPr>
                <w:sz w:val="20"/>
                <w:szCs w:val="20"/>
                <w:color w:val="auto"/>
              </w:rPr>
            </w:pPr>
            <w:r>
              <w:rPr>
                <w:rFonts w:ascii="Arial" w:cs="Arial" w:eastAsia="Arial" w:hAnsi="Arial"/>
                <w:sz w:val="12"/>
                <w:szCs w:val="12"/>
                <w:color w:val="auto"/>
              </w:rPr>
              <w:t>Depreciation</w:t>
            </w:r>
          </w:p>
        </w:tc>
        <w:tc>
          <w:tcPr>
            <w:tcW w:w="2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81</w:t>
            </w:r>
          </w:p>
        </w:tc>
        <w:tc>
          <w:tcPr>
            <w:tcW w:w="840" w:type="dxa"/>
            <w:vAlign w:val="bottom"/>
          </w:tcPr>
          <w:p>
            <w:pPr>
              <w:spacing w:after="0"/>
              <w:rPr>
                <w:sz w:val="11"/>
                <w:szCs w:val="11"/>
                <w:color w:val="auto"/>
              </w:rPr>
            </w:pPr>
          </w:p>
        </w:tc>
        <w:tc>
          <w:tcPr>
            <w:tcW w:w="340" w:type="dxa"/>
            <w:vAlign w:val="bottom"/>
          </w:tcPr>
          <w:p>
            <w:pPr>
              <w:jc w:val="right"/>
              <w:spacing w:after="0" w:line="134" w:lineRule="exact"/>
              <w:rPr>
                <w:sz w:val="20"/>
                <w:szCs w:val="20"/>
                <w:color w:val="auto"/>
              </w:rPr>
            </w:pPr>
            <w:r>
              <w:rPr>
                <w:rFonts w:ascii="Arial" w:cs="Arial" w:eastAsia="Arial" w:hAnsi="Arial"/>
                <w:sz w:val="12"/>
                <w:szCs w:val="12"/>
                <w:color w:val="auto"/>
              </w:rPr>
              <w:t>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400" w:type="dxa"/>
            <w:vAlign w:val="bottom"/>
          </w:tcPr>
          <w:p>
            <w:pPr>
              <w:ind w:left="420"/>
              <w:spacing w:after="0" w:line="134" w:lineRule="exact"/>
              <w:rPr>
                <w:sz w:val="20"/>
                <w:szCs w:val="20"/>
                <w:color w:val="auto"/>
              </w:rPr>
            </w:pPr>
            <w:r>
              <w:rPr>
                <w:rFonts w:ascii="Arial" w:cs="Arial" w:eastAsia="Arial" w:hAnsi="Arial"/>
                <w:sz w:val="12"/>
                <w:szCs w:val="12"/>
                <w:color w:val="auto"/>
              </w:rPr>
              <w:t>Deferred income taxes and investment tax credits</w:t>
            </w:r>
          </w:p>
        </w:tc>
        <w:tc>
          <w:tcPr>
            <w:tcW w:w="2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48</w:t>
            </w:r>
          </w:p>
        </w:tc>
        <w:tc>
          <w:tcPr>
            <w:tcW w:w="840" w:type="dxa"/>
            <w:vAlign w:val="bottom"/>
          </w:tcPr>
          <w:p>
            <w:pPr>
              <w:spacing w:after="0"/>
              <w:rPr>
                <w:sz w:val="11"/>
                <w:szCs w:val="11"/>
                <w:color w:val="auto"/>
              </w:rPr>
            </w:pPr>
          </w:p>
        </w:tc>
        <w:tc>
          <w:tcPr>
            <w:tcW w:w="340" w:type="dxa"/>
            <w:vAlign w:val="bottom"/>
          </w:tcPr>
          <w:p>
            <w:pPr>
              <w:jc w:val="right"/>
              <w:spacing w:after="0" w:line="134" w:lineRule="exact"/>
              <w:rPr>
                <w:sz w:val="20"/>
                <w:szCs w:val="20"/>
                <w:color w:val="auto"/>
              </w:rPr>
            </w:pPr>
            <w:r>
              <w:rPr>
                <w:rFonts w:ascii="Arial" w:cs="Arial" w:eastAsia="Arial" w:hAnsi="Arial"/>
                <w:sz w:val="12"/>
                <w:szCs w:val="12"/>
                <w:color w:val="auto"/>
              </w:rPr>
              <w:t>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400" w:type="dxa"/>
            <w:vAlign w:val="bottom"/>
          </w:tcPr>
          <w:p>
            <w:pPr>
              <w:ind w:left="420"/>
              <w:spacing w:after="0" w:line="134" w:lineRule="exact"/>
              <w:rPr>
                <w:sz w:val="20"/>
                <w:szCs w:val="20"/>
                <w:color w:val="auto"/>
              </w:rPr>
            </w:pPr>
            <w:r>
              <w:rPr>
                <w:rFonts w:ascii="Arial" w:cs="Arial" w:eastAsia="Arial" w:hAnsi="Arial"/>
                <w:sz w:val="12"/>
                <w:szCs w:val="12"/>
                <w:color w:val="auto"/>
              </w:rPr>
              <w:t>Other</w:t>
            </w:r>
          </w:p>
        </w:tc>
        <w:tc>
          <w:tcPr>
            <w:tcW w:w="2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c>
          <w:tcPr>
            <w:tcW w:w="840" w:type="dxa"/>
            <w:vAlign w:val="bottom"/>
          </w:tcPr>
          <w:p>
            <w:pPr>
              <w:spacing w:after="0"/>
              <w:rPr>
                <w:sz w:val="11"/>
                <w:szCs w:val="11"/>
                <w:color w:val="auto"/>
              </w:rPr>
            </w:pPr>
          </w:p>
        </w:tc>
        <w:tc>
          <w:tcPr>
            <w:tcW w:w="36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4"/>
        </w:trPr>
        <w:tc>
          <w:tcPr>
            <w:tcW w:w="6400" w:type="dxa"/>
            <w:vAlign w:val="bottom"/>
          </w:tcPr>
          <w:p>
            <w:pPr>
              <w:ind w:left="140"/>
              <w:spacing w:after="0" w:line="134" w:lineRule="exact"/>
              <w:rPr>
                <w:sz w:val="20"/>
                <w:szCs w:val="20"/>
                <w:color w:val="auto"/>
              </w:rPr>
            </w:pPr>
            <w:r>
              <w:rPr>
                <w:rFonts w:ascii="Arial" w:cs="Arial" w:eastAsia="Arial" w:hAnsi="Arial"/>
                <w:sz w:val="12"/>
                <w:szCs w:val="12"/>
                <w:color w:val="auto"/>
              </w:rPr>
              <w:t>Net change in other working capital components</w:t>
            </w:r>
          </w:p>
        </w:tc>
        <w:tc>
          <w:tcPr>
            <w:tcW w:w="2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168</w:t>
            </w:r>
          </w:p>
        </w:tc>
        <w:tc>
          <w:tcPr>
            <w:tcW w:w="840" w:type="dxa"/>
            <w:vAlign w:val="bottom"/>
          </w:tcPr>
          <w:p>
            <w:pPr>
              <w:spacing w:after="0"/>
              <w:rPr>
                <w:sz w:val="11"/>
                <w:szCs w:val="11"/>
                <w:color w:val="auto"/>
              </w:rPr>
            </w:pPr>
          </w:p>
        </w:tc>
        <w:tc>
          <w:tcPr>
            <w:tcW w:w="340" w:type="dxa"/>
            <w:vAlign w:val="bottom"/>
          </w:tcPr>
          <w:p>
            <w:pPr>
              <w:jc w:val="right"/>
              <w:spacing w:after="0" w:line="134" w:lineRule="exact"/>
              <w:rPr>
                <w:sz w:val="20"/>
                <w:szCs w:val="20"/>
                <w:color w:val="auto"/>
              </w:rPr>
            </w:pPr>
            <w:r>
              <w:rPr>
                <w:rFonts w:ascii="Arial" w:cs="Arial" w:eastAsia="Arial" w:hAnsi="Arial"/>
                <w:sz w:val="12"/>
                <w:szCs w:val="12"/>
                <w:color w:val="auto"/>
              </w:rPr>
              <w:t>346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400" w:type="dxa"/>
            <w:vAlign w:val="bottom"/>
          </w:tcPr>
          <w:p>
            <w:pPr>
              <w:ind w:left="140"/>
              <w:spacing w:after="0" w:line="134" w:lineRule="exact"/>
              <w:rPr>
                <w:sz w:val="20"/>
                <w:szCs w:val="20"/>
                <w:color w:val="auto"/>
              </w:rPr>
            </w:pPr>
            <w:r>
              <w:rPr>
                <w:rFonts w:ascii="Arial" w:cs="Arial" w:eastAsia="Arial" w:hAnsi="Arial"/>
                <w:sz w:val="12"/>
                <w:szCs w:val="12"/>
                <w:color w:val="auto"/>
              </w:rPr>
              <w:t>Changes in other assets</w:t>
            </w:r>
          </w:p>
        </w:tc>
        <w:tc>
          <w:tcPr>
            <w:tcW w:w="2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12</w:t>
            </w:r>
          </w:p>
        </w:tc>
        <w:tc>
          <w:tcPr>
            <w:tcW w:w="840" w:type="dxa"/>
            <w:vAlign w:val="bottom"/>
          </w:tcPr>
          <w:p>
            <w:pPr>
              <w:spacing w:after="0"/>
              <w:rPr>
                <w:sz w:val="11"/>
                <w:szCs w:val="11"/>
                <w:color w:val="auto"/>
              </w:rPr>
            </w:pPr>
          </w:p>
        </w:tc>
        <w:tc>
          <w:tcPr>
            <w:tcW w:w="34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400" w:type="dxa"/>
            <w:vAlign w:val="bottom"/>
          </w:tcPr>
          <w:p>
            <w:pPr>
              <w:ind w:left="140"/>
              <w:spacing w:after="0"/>
              <w:rPr>
                <w:sz w:val="20"/>
                <w:szCs w:val="20"/>
                <w:color w:val="auto"/>
              </w:rPr>
            </w:pPr>
            <w:r>
              <w:rPr>
                <w:rFonts w:ascii="Arial" w:cs="Arial" w:eastAsia="Arial" w:hAnsi="Arial"/>
                <w:sz w:val="12"/>
                <w:szCs w:val="12"/>
                <w:color w:val="auto"/>
              </w:rPr>
              <w:t>Changes in other liabilities</w:t>
            </w:r>
          </w:p>
        </w:tc>
        <w:tc>
          <w:tcPr>
            <w:tcW w:w="2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w:t>
            </w:r>
          </w:p>
        </w:tc>
        <w:tc>
          <w:tcPr>
            <w:tcW w:w="840" w:type="dxa"/>
            <w:vAlign w:val="bottom"/>
          </w:tcPr>
          <w:p>
            <w:pPr>
              <w:spacing w:after="0"/>
              <w:rPr>
                <w:sz w:val="12"/>
                <w:szCs w:val="12"/>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5"/>
        </w:trPr>
        <w:tc>
          <w:tcPr>
            <w:tcW w:w="6400" w:type="dxa"/>
            <w:vAlign w:val="bottom"/>
          </w:tcPr>
          <w:p>
            <w:pPr>
              <w:ind w:left="280"/>
              <w:spacing w:after="0" w:line="134" w:lineRule="exact"/>
              <w:rPr>
                <w:sz w:val="20"/>
                <w:szCs w:val="20"/>
                <w:color w:val="auto"/>
              </w:rPr>
            </w:pPr>
            <w:r>
              <w:rPr>
                <w:rFonts w:ascii="Arial" w:cs="Arial" w:eastAsia="Arial" w:hAnsi="Arial"/>
                <w:sz w:val="12"/>
                <w:szCs w:val="12"/>
                <w:color w:val="auto"/>
              </w:rPr>
              <w:t>Net cash provided by operating activities</w:t>
            </w:r>
          </w:p>
        </w:tc>
        <w:tc>
          <w:tcPr>
            <w:tcW w:w="2720" w:type="dxa"/>
            <w:vAlign w:val="bottom"/>
          </w:tcPr>
          <w:p>
            <w:pPr>
              <w:spacing w:after="0"/>
              <w:rPr>
                <w:sz w:val="11"/>
                <w:szCs w:val="11"/>
                <w:color w:val="auto"/>
              </w:rPr>
            </w:pPr>
          </w:p>
        </w:tc>
        <w:tc>
          <w:tcPr>
            <w:tcW w:w="7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371</w:t>
            </w:r>
          </w:p>
        </w:tc>
        <w:tc>
          <w:tcPr>
            <w:tcW w:w="84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501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0"/>
        </w:trPr>
        <w:tc>
          <w:tcPr>
            <w:tcW w:w="640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2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6400" w:type="dxa"/>
            <w:vAlign w:val="bottom"/>
          </w:tcPr>
          <w:p>
            <w:pPr>
              <w:ind w:left="140"/>
              <w:spacing w:after="0" w:line="134" w:lineRule="exact"/>
              <w:rPr>
                <w:sz w:val="20"/>
                <w:szCs w:val="20"/>
                <w:color w:val="auto"/>
              </w:rPr>
            </w:pPr>
            <w:r>
              <w:rPr>
                <w:rFonts w:ascii="Arial" w:cs="Arial" w:eastAsia="Arial" w:hAnsi="Arial"/>
                <w:sz w:val="12"/>
                <w:szCs w:val="12"/>
                <w:color w:val="auto"/>
              </w:rPr>
              <w:t>Expenditures for property, plant and equipment</w:t>
            </w:r>
          </w:p>
        </w:tc>
        <w:tc>
          <w:tcPr>
            <w:tcW w:w="2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(168)</w:t>
            </w:r>
          </w:p>
        </w:tc>
        <w:tc>
          <w:tcPr>
            <w:tcW w:w="840" w:type="dxa"/>
            <w:vAlign w:val="bottom"/>
          </w:tcPr>
          <w:p>
            <w:pPr>
              <w:spacing w:after="0"/>
              <w:rPr>
                <w:sz w:val="11"/>
                <w:szCs w:val="11"/>
                <w:color w:val="auto"/>
              </w:rPr>
            </w:pPr>
          </w:p>
        </w:tc>
        <w:tc>
          <w:tcPr>
            <w:tcW w:w="36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(114)</w:t>
            </w:r>
          </w:p>
        </w:tc>
        <w:tc>
          <w:tcPr>
            <w:tcW w:w="0" w:type="dxa"/>
            <w:vAlign w:val="bottom"/>
          </w:tcPr>
          <w:p>
            <w:pPr>
              <w:spacing w:after="0"/>
              <w:rPr>
                <w:sz w:val="1"/>
                <w:szCs w:val="1"/>
                <w:color w:val="auto"/>
              </w:rPr>
            </w:pPr>
          </w:p>
        </w:tc>
      </w:tr>
      <w:tr>
        <w:trPr>
          <w:trHeight w:val="144"/>
        </w:trPr>
        <w:tc>
          <w:tcPr>
            <w:tcW w:w="6400" w:type="dxa"/>
            <w:vAlign w:val="bottom"/>
          </w:tcPr>
          <w:p>
            <w:pPr>
              <w:ind w:left="140"/>
              <w:spacing w:after="0"/>
              <w:rPr>
                <w:sz w:val="20"/>
                <w:szCs w:val="20"/>
                <w:color w:val="auto"/>
              </w:rPr>
            </w:pPr>
            <w:r>
              <w:rPr>
                <w:rFonts w:ascii="Arial" w:cs="Arial" w:eastAsia="Arial" w:hAnsi="Arial"/>
                <w:sz w:val="12"/>
                <w:szCs w:val="12"/>
                <w:color w:val="auto"/>
              </w:rPr>
              <w:t>Increase in loans to affiliates, net</w:t>
            </w:r>
          </w:p>
        </w:tc>
        <w:tc>
          <w:tcPr>
            <w:tcW w:w="27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(287)</w:t>
            </w:r>
          </w:p>
        </w:tc>
        <w:tc>
          <w:tcPr>
            <w:tcW w:w="8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(156)</w:t>
            </w:r>
          </w:p>
        </w:tc>
        <w:tc>
          <w:tcPr>
            <w:tcW w:w="0" w:type="dxa"/>
            <w:vAlign w:val="bottom"/>
          </w:tcPr>
          <w:p>
            <w:pPr>
              <w:spacing w:after="0"/>
              <w:rPr>
                <w:sz w:val="1"/>
                <w:szCs w:val="1"/>
                <w:color w:val="auto"/>
              </w:rPr>
            </w:pPr>
          </w:p>
        </w:tc>
      </w:tr>
      <w:tr>
        <w:trPr>
          <w:trHeight w:val="135"/>
        </w:trPr>
        <w:tc>
          <w:tcPr>
            <w:tcW w:w="6400" w:type="dxa"/>
            <w:vAlign w:val="bottom"/>
          </w:tcPr>
          <w:p>
            <w:pPr>
              <w:ind w:left="280"/>
              <w:spacing w:after="0" w:line="134" w:lineRule="exact"/>
              <w:rPr>
                <w:sz w:val="20"/>
                <w:szCs w:val="20"/>
                <w:color w:val="auto"/>
              </w:rPr>
            </w:pPr>
            <w:r>
              <w:rPr>
                <w:rFonts w:ascii="Arial" w:cs="Arial" w:eastAsia="Arial" w:hAnsi="Arial"/>
                <w:sz w:val="12"/>
                <w:szCs w:val="12"/>
                <w:color w:val="auto"/>
              </w:rPr>
              <w:t>Net cash used in investing activities</w:t>
            </w:r>
          </w:p>
        </w:tc>
        <w:tc>
          <w:tcPr>
            <w:tcW w:w="2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(455)</w:t>
            </w:r>
          </w:p>
        </w:tc>
        <w:tc>
          <w:tcPr>
            <w:tcW w:w="840" w:type="dxa"/>
            <w:vAlign w:val="bottom"/>
          </w:tcPr>
          <w:p>
            <w:pPr>
              <w:spacing w:after="0"/>
              <w:rPr>
                <w:sz w:val="11"/>
                <w:szCs w:val="11"/>
                <w:color w:val="auto"/>
              </w:rPr>
            </w:pPr>
          </w:p>
        </w:tc>
        <w:tc>
          <w:tcPr>
            <w:tcW w:w="36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(270)</w:t>
            </w:r>
          </w:p>
        </w:tc>
        <w:tc>
          <w:tcPr>
            <w:tcW w:w="0" w:type="dxa"/>
            <w:vAlign w:val="bottom"/>
          </w:tcPr>
          <w:p>
            <w:pPr>
              <w:spacing w:after="0"/>
              <w:rPr>
                <w:sz w:val="1"/>
                <w:szCs w:val="1"/>
                <w:color w:val="auto"/>
              </w:rPr>
            </w:pPr>
          </w:p>
        </w:tc>
      </w:tr>
      <w:tr>
        <w:trPr>
          <w:trHeight w:val="260"/>
        </w:trPr>
        <w:tc>
          <w:tcPr>
            <w:tcW w:w="6400" w:type="dxa"/>
            <w:vAlign w:val="bottom"/>
          </w:tcPr>
          <w:p>
            <w:pPr>
              <w:spacing w:after="0"/>
              <w:rPr>
                <w:sz w:val="20"/>
                <w:szCs w:val="20"/>
                <w:color w:val="auto"/>
              </w:rPr>
            </w:pPr>
            <w:r>
              <w:rPr>
                <w:rFonts w:ascii="Arial" w:cs="Arial" w:eastAsia="Arial" w:hAnsi="Arial"/>
                <w:sz w:val="12"/>
                <w:szCs w:val="12"/>
                <w:color w:val="auto"/>
              </w:rPr>
              <w:t>CASH FLOWS FROM FINANCING ACTIVITIES</w:t>
            </w:r>
          </w:p>
        </w:tc>
        <w:tc>
          <w:tcPr>
            <w:tcW w:w="272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6400" w:type="dxa"/>
            <w:vAlign w:val="bottom"/>
          </w:tcPr>
          <w:p>
            <w:pPr>
              <w:ind w:left="140"/>
              <w:spacing w:after="0" w:line="134" w:lineRule="exact"/>
              <w:rPr>
                <w:sz w:val="20"/>
                <w:szCs w:val="20"/>
                <w:color w:val="auto"/>
              </w:rPr>
            </w:pPr>
            <w:r>
              <w:rPr>
                <w:rFonts w:ascii="Arial" w:cs="Arial" w:eastAsia="Arial" w:hAnsi="Arial"/>
                <w:sz w:val="12"/>
                <w:szCs w:val="12"/>
                <w:color w:val="auto"/>
              </w:rPr>
              <w:t>Common dividends paid</w:t>
            </w:r>
          </w:p>
        </w:tc>
        <w:tc>
          <w:tcPr>
            <w:tcW w:w="2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(50)</w:t>
            </w:r>
          </w:p>
        </w:tc>
        <w:tc>
          <w:tcPr>
            <w:tcW w:w="840" w:type="dxa"/>
            <w:vAlign w:val="bottom"/>
          </w:tcPr>
          <w:p>
            <w:pPr>
              <w:spacing w:after="0"/>
              <w:rPr>
                <w:sz w:val="11"/>
                <w:szCs w:val="11"/>
                <w:color w:val="auto"/>
              </w:rPr>
            </w:pPr>
          </w:p>
        </w:tc>
        <w:tc>
          <w:tcPr>
            <w:tcW w:w="36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6400" w:type="dxa"/>
            <w:vAlign w:val="bottom"/>
          </w:tcPr>
          <w:p>
            <w:pPr>
              <w:ind w:left="140"/>
              <w:spacing w:after="0"/>
              <w:rPr>
                <w:sz w:val="20"/>
                <w:szCs w:val="20"/>
                <w:color w:val="auto"/>
              </w:rPr>
            </w:pPr>
            <w:r>
              <w:rPr>
                <w:rFonts w:ascii="Arial" w:cs="Arial" w:eastAsia="Arial" w:hAnsi="Arial"/>
                <w:sz w:val="12"/>
                <w:szCs w:val="12"/>
                <w:color w:val="auto"/>
              </w:rPr>
              <w:t>Payment of long-term debt</w:t>
            </w:r>
          </w:p>
        </w:tc>
        <w:tc>
          <w:tcPr>
            <w:tcW w:w="2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(250)</w:t>
            </w:r>
          </w:p>
        </w:tc>
        <w:tc>
          <w:tcPr>
            <w:tcW w:w="840" w:type="dxa"/>
            <w:vAlign w:val="bottom"/>
          </w:tcPr>
          <w:p>
            <w:pPr>
              <w:spacing w:after="0"/>
              <w:rPr>
                <w:sz w:val="12"/>
                <w:szCs w:val="12"/>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6400" w:type="dxa"/>
            <w:vAlign w:val="bottom"/>
          </w:tcPr>
          <w:p>
            <w:pPr>
              <w:ind w:left="280"/>
              <w:spacing w:after="0" w:line="134" w:lineRule="exact"/>
              <w:rPr>
                <w:sz w:val="20"/>
                <w:szCs w:val="20"/>
                <w:color w:val="auto"/>
              </w:rPr>
            </w:pPr>
            <w:r>
              <w:rPr>
                <w:rFonts w:ascii="Arial" w:cs="Arial" w:eastAsia="Arial" w:hAnsi="Arial"/>
                <w:sz w:val="12"/>
                <w:szCs w:val="12"/>
                <w:color w:val="auto"/>
              </w:rPr>
              <w:t>Net cash used in financing activities</w:t>
            </w:r>
          </w:p>
        </w:tc>
        <w:tc>
          <w:tcPr>
            <w:tcW w:w="2720" w:type="dxa"/>
            <w:vAlign w:val="bottom"/>
          </w:tcPr>
          <w:p>
            <w:pPr>
              <w:spacing w:after="0"/>
              <w:rPr>
                <w:sz w:val="11"/>
                <w:szCs w:val="11"/>
                <w:color w:val="auto"/>
              </w:rPr>
            </w:pPr>
          </w:p>
        </w:tc>
        <w:tc>
          <w:tcPr>
            <w:tcW w:w="7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(300)</w:t>
            </w:r>
          </w:p>
        </w:tc>
        <w:tc>
          <w:tcPr>
            <w:tcW w:w="84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0"/>
        </w:trPr>
        <w:tc>
          <w:tcPr>
            <w:tcW w:w="6400" w:type="dxa"/>
            <w:vAlign w:val="bottom"/>
          </w:tcPr>
          <w:p>
            <w:pPr>
              <w:spacing w:after="0"/>
              <w:rPr>
                <w:sz w:val="20"/>
                <w:szCs w:val="20"/>
                <w:color w:val="auto"/>
              </w:rPr>
            </w:pPr>
            <w:r>
              <w:rPr>
                <w:rFonts w:ascii="Arial" w:cs="Arial" w:eastAsia="Arial" w:hAnsi="Arial"/>
                <w:sz w:val="12"/>
                <w:szCs w:val="12"/>
                <w:color w:val="auto"/>
              </w:rPr>
              <w:t>(Decrease) increase in cash and cash equivalents</w:t>
            </w:r>
          </w:p>
        </w:tc>
        <w:tc>
          <w:tcPr>
            <w:tcW w:w="2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(384)</w:t>
            </w:r>
          </w:p>
        </w:tc>
        <w:tc>
          <w:tcPr>
            <w:tcW w:w="8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6400" w:type="dxa"/>
            <w:vAlign w:val="bottom"/>
          </w:tcPr>
          <w:p>
            <w:pPr>
              <w:spacing w:after="0"/>
              <w:rPr>
                <w:sz w:val="20"/>
                <w:szCs w:val="20"/>
                <w:color w:val="auto"/>
              </w:rPr>
            </w:pPr>
            <w:r>
              <w:rPr>
                <w:rFonts w:ascii="Arial" w:cs="Arial" w:eastAsia="Arial" w:hAnsi="Arial"/>
                <w:sz w:val="12"/>
                <w:szCs w:val="12"/>
                <w:color w:val="auto"/>
              </w:rPr>
              <w:t>Cash and cash equivalents, January 1</w:t>
            </w:r>
          </w:p>
        </w:tc>
        <w:tc>
          <w:tcPr>
            <w:tcW w:w="27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417</w:t>
            </w:r>
          </w:p>
        </w:tc>
        <w:tc>
          <w:tcPr>
            <w:tcW w:w="8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0" w:type="dxa"/>
            <w:vAlign w:val="bottom"/>
          </w:tcPr>
          <w:p>
            <w:pPr>
              <w:spacing w:after="0" w:line="134" w:lineRule="exact"/>
              <w:rPr>
                <w:sz w:val="20"/>
                <w:szCs w:val="20"/>
                <w:color w:val="auto"/>
              </w:rPr>
            </w:pPr>
            <w:r>
              <w:rPr>
                <w:rFonts w:ascii="Arial" w:cs="Arial" w:eastAsia="Arial" w:hAnsi="Arial"/>
                <w:sz w:val="12"/>
                <w:szCs w:val="12"/>
                <w:color w:val="auto"/>
              </w:rPr>
              <w:t>Cash and cash equivalents, March 31</w:t>
            </w:r>
          </w:p>
        </w:tc>
        <w:tc>
          <w:tcPr>
            <w:tcW w:w="2720" w:type="dxa"/>
            <w:vAlign w:val="bottom"/>
          </w:tcPr>
          <w:p>
            <w:pPr>
              <w:spacing w:after="0"/>
              <w:rPr>
                <w:sz w:val="11"/>
                <w:szCs w:val="11"/>
                <w:color w:val="auto"/>
              </w:rPr>
            </w:pPr>
          </w:p>
        </w:tc>
        <w:tc>
          <w:tcPr>
            <w:tcW w:w="780" w:type="dxa"/>
            <w:vAlign w:val="bottom"/>
            <w:tcBorders>
              <w:bottom w:val="single" w:sz="8" w:color="auto"/>
            </w:tcBorders>
          </w:tcPr>
          <w:p>
            <w:pPr>
              <w:jc w:val="right"/>
              <w:ind w:right="667"/>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33</w:t>
            </w:r>
          </w:p>
        </w:tc>
        <w:tc>
          <w:tcPr>
            <w:tcW w:w="840" w:type="dxa"/>
            <w:vAlign w:val="bottom"/>
            <w:tcBorders>
              <w:bottom w:val="single" w:sz="8" w:color="auto"/>
            </w:tcBorders>
          </w:tcPr>
          <w:p>
            <w:pPr>
              <w:jc w:val="right"/>
              <w:ind w:right="699"/>
              <w:spacing w:after="0" w:line="134" w:lineRule="exact"/>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0"/>
        </w:trPr>
        <w:tc>
          <w:tcPr>
            <w:tcW w:w="6400" w:type="dxa"/>
            <w:vAlign w:val="bottom"/>
          </w:tcPr>
          <w:p>
            <w:pPr>
              <w:spacing w:after="0"/>
              <w:rPr>
                <w:sz w:val="20"/>
                <w:szCs w:val="20"/>
                <w:color w:val="auto"/>
              </w:rPr>
            </w:pPr>
            <w:r>
              <w:rPr>
                <w:rFonts w:ascii="Arial" w:cs="Arial" w:eastAsia="Arial" w:hAnsi="Arial"/>
                <w:sz w:val="12"/>
                <w:szCs w:val="12"/>
                <w:color w:val="auto"/>
              </w:rPr>
              <w:t>SUPPLEMENTAL DISCLOSURE OF CASH FLOW INFORMATION</w:t>
            </w:r>
          </w:p>
        </w:tc>
        <w:tc>
          <w:tcPr>
            <w:tcW w:w="2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6400" w:type="dxa"/>
            <w:vAlign w:val="bottom"/>
          </w:tcPr>
          <w:p>
            <w:pPr>
              <w:ind w:left="140"/>
              <w:spacing w:after="0" w:line="134" w:lineRule="exact"/>
              <w:rPr>
                <w:sz w:val="20"/>
                <w:szCs w:val="20"/>
                <w:color w:val="auto"/>
              </w:rPr>
            </w:pPr>
            <w:r>
              <w:rPr>
                <w:rFonts w:ascii="Arial" w:cs="Arial" w:eastAsia="Arial" w:hAnsi="Arial"/>
                <w:sz w:val="12"/>
                <w:szCs w:val="12"/>
                <w:color w:val="auto"/>
              </w:rPr>
              <w:t>Interest payments, net of amounts capitalized</w:t>
            </w:r>
          </w:p>
        </w:tc>
        <w:tc>
          <w:tcPr>
            <w:tcW w:w="3500" w:type="dxa"/>
            <w:vAlign w:val="bottom"/>
            <w:gridSpan w:val="2"/>
          </w:tcPr>
          <w:p>
            <w:pPr>
              <w:jc w:val="right"/>
              <w:ind w:right="667"/>
              <w:spacing w:after="0" w:line="134" w:lineRule="exact"/>
              <w:rPr>
                <w:sz w:val="20"/>
                <w:szCs w:val="20"/>
                <w:color w:val="auto"/>
              </w:rPr>
            </w:pPr>
            <w:r>
              <w:rPr>
                <w:rFonts w:ascii="Arial" w:cs="Arial" w:eastAsia="Arial" w:hAnsi="Arial"/>
                <w:sz w:val="12"/>
                <w:szCs w:val="12"/>
                <w:color w:val="auto"/>
              </w:rPr>
              <w:t>$</w:t>
            </w: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8</w:t>
            </w:r>
          </w:p>
        </w:tc>
        <w:tc>
          <w:tcPr>
            <w:tcW w:w="840" w:type="dxa"/>
            <w:vAlign w:val="bottom"/>
          </w:tcPr>
          <w:p>
            <w:pPr>
              <w:jc w:val="right"/>
              <w:ind w:right="699"/>
              <w:spacing w:after="0" w:line="134" w:lineRule="exact"/>
              <w:rPr>
                <w:sz w:val="20"/>
                <w:szCs w:val="20"/>
                <w:color w:val="auto"/>
              </w:rPr>
            </w:pPr>
            <w:r>
              <w:rPr>
                <w:rFonts w:ascii="Arial" w:cs="Arial" w:eastAsia="Arial" w:hAnsi="Arial"/>
                <w:sz w:val="12"/>
                <w:szCs w:val="12"/>
                <w:color w:val="auto"/>
                <w:w w:val="89"/>
              </w:rPr>
              <w:t>$</w:t>
            </w:r>
          </w:p>
        </w:tc>
        <w:tc>
          <w:tcPr>
            <w:tcW w:w="340" w:type="dxa"/>
            <w:vAlign w:val="bottom"/>
          </w:tcPr>
          <w:p>
            <w:pPr>
              <w:jc w:val="right"/>
              <w:spacing w:after="0" w:line="134" w:lineRule="exact"/>
              <w:rPr>
                <w:sz w:val="20"/>
                <w:szCs w:val="20"/>
                <w:color w:val="auto"/>
              </w:rPr>
            </w:pPr>
            <w:r>
              <w:rPr>
                <w:rFonts w:ascii="Arial" w:cs="Arial" w:eastAsia="Arial" w:hAnsi="Arial"/>
                <w:sz w:val="12"/>
                <w:szCs w:val="12"/>
                <w:color w:val="auto"/>
              </w:rPr>
              <w:t>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140"/>
              <w:spacing w:after="0"/>
              <w:rPr>
                <w:sz w:val="20"/>
                <w:szCs w:val="20"/>
                <w:color w:val="auto"/>
              </w:rPr>
            </w:pPr>
            <w:r>
              <w:rPr>
                <w:rFonts w:ascii="Arial" w:cs="Arial" w:eastAsia="Arial" w:hAnsi="Arial"/>
                <w:sz w:val="12"/>
                <w:szCs w:val="12"/>
                <w:color w:val="auto"/>
              </w:rPr>
              <w:t>Income tax refunds, net</w:t>
            </w:r>
          </w:p>
        </w:tc>
        <w:tc>
          <w:tcPr>
            <w:tcW w:w="2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14</w:t>
            </w:r>
          </w:p>
        </w:tc>
        <w:tc>
          <w:tcPr>
            <w:tcW w:w="8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6400" w:type="dxa"/>
            <w:vAlign w:val="bottom"/>
          </w:tcPr>
          <w:p>
            <w:pPr>
              <w:spacing w:after="0"/>
              <w:rPr>
                <w:sz w:val="20"/>
                <w:szCs w:val="20"/>
                <w:color w:val="auto"/>
              </w:rPr>
            </w:pPr>
            <w:r>
              <w:rPr>
                <w:rFonts w:ascii="Arial" w:cs="Arial" w:eastAsia="Arial" w:hAnsi="Arial"/>
                <w:sz w:val="12"/>
                <w:szCs w:val="12"/>
                <w:color w:val="auto"/>
              </w:rPr>
              <w:t>SUPPLEMENTAL DISCLOSURE OF NONCASH ACTIVITIES</w:t>
            </w:r>
          </w:p>
        </w:tc>
        <w:tc>
          <w:tcPr>
            <w:tcW w:w="2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6400" w:type="dxa"/>
            <w:vAlign w:val="bottom"/>
          </w:tcPr>
          <w:p>
            <w:pPr>
              <w:ind w:left="140"/>
              <w:spacing w:after="0"/>
              <w:rPr>
                <w:sz w:val="20"/>
                <w:szCs w:val="20"/>
                <w:color w:val="auto"/>
              </w:rPr>
            </w:pPr>
            <w:r>
              <w:rPr>
                <w:rFonts w:ascii="Arial" w:cs="Arial" w:eastAsia="Arial" w:hAnsi="Arial"/>
                <w:sz w:val="12"/>
                <w:szCs w:val="12"/>
                <w:color w:val="auto"/>
              </w:rPr>
              <w:t>Accrued capital expenditures</w:t>
            </w:r>
          </w:p>
        </w:tc>
        <w:tc>
          <w:tcPr>
            <w:tcW w:w="3500" w:type="dxa"/>
            <w:vAlign w:val="bottom"/>
            <w:gridSpan w:val="2"/>
          </w:tcPr>
          <w:p>
            <w:pPr>
              <w:jc w:val="right"/>
              <w:ind w:right="667"/>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76</w:t>
            </w:r>
          </w:p>
        </w:tc>
        <w:tc>
          <w:tcPr>
            <w:tcW w:w="840" w:type="dxa"/>
            <w:vAlign w:val="bottom"/>
          </w:tcPr>
          <w:p>
            <w:pPr>
              <w:jc w:val="right"/>
              <w:ind w:right="699"/>
              <w:spacing w:after="0"/>
              <w:rPr>
                <w:sz w:val="20"/>
                <w:szCs w:val="20"/>
                <w:color w:val="auto"/>
              </w:rPr>
            </w:pPr>
            <w:r>
              <w:rPr>
                <w:rFonts w:ascii="Arial" w:cs="Arial" w:eastAsia="Arial" w:hAnsi="Arial"/>
                <w:sz w:val="12"/>
                <w:szCs w:val="12"/>
                <w:color w:val="auto"/>
                <w:w w:val="89"/>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279005"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See Notes to Condensed Consolidated Financial Statements.</w:t>
      </w:r>
    </w:p>
    <w:p>
      <w:pPr>
        <w:sectPr>
          <w:pgSz w:w="11900" w:h="16838" w:orient="portrait"/>
          <w:cols w:equalWidth="0" w:num="1">
            <w:col w:w="11460"/>
          </w:cols>
          <w:pgMar w:left="220" w:top="427" w:right="219" w:bottom="1440" w:gutter="0" w:footer="0" w:header="0"/>
        </w:sectPr>
      </w:pPr>
    </w:p>
    <w:bookmarkStart w:id="23" w:name="page24"/>
    <w:bookmarkEnd w:id="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SEMPRA ENERGY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729170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705" cy="6350"/>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auto"/>
        </w:rPr>
        <w:t>NOTE 1. GENERAL</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PRINCIPLES OF CONSOLIDATION</w:t>
      </w: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Energy</w:t>
      </w:r>
    </w:p>
    <w:p>
      <w:pPr>
        <w:spacing w:after="0" w:line="160" w:lineRule="exact"/>
        <w:rPr>
          <w:sz w:val="20"/>
          <w:szCs w:val="20"/>
          <w:color w:val="auto"/>
        </w:rPr>
      </w:pPr>
    </w:p>
    <w:p>
      <w:pPr>
        <w:ind w:right="320"/>
        <w:spacing w:after="0" w:line="267" w:lineRule="auto"/>
        <w:rPr>
          <w:sz w:val="20"/>
          <w:szCs w:val="20"/>
          <w:color w:val="auto"/>
        </w:rPr>
      </w:pPr>
      <w:r>
        <w:rPr>
          <w:rFonts w:ascii="Arial" w:cs="Arial" w:eastAsia="Arial" w:hAnsi="Arial"/>
          <w:sz w:val="14"/>
          <w:szCs w:val="14"/>
          <w:color w:val="auto"/>
        </w:rPr>
        <w:t>Sempra Energy's Condensed Consolidated Financial Statements include the accounts of Sempra Energy, a California-based Fortune 500 holding company, and its consolidated subsidiaries and a variable interest entity (VIE). Sempra Energy’s principal subsidiaries are</w:t>
      </w:r>
    </w:p>
    <w:p>
      <w:pPr>
        <w:spacing w:after="0" w:line="138" w:lineRule="exact"/>
        <w:rPr>
          <w:sz w:val="20"/>
          <w:szCs w:val="20"/>
          <w:color w:val="auto"/>
        </w:rPr>
      </w:pPr>
    </w:p>
    <w:p>
      <w:pPr>
        <w:ind w:left="260" w:hanging="147"/>
        <w:spacing w:after="0"/>
        <w:tabs>
          <w:tab w:leader="none" w:pos="260" w:val="left"/>
        </w:tabs>
        <w:numPr>
          <w:ilvl w:val="0"/>
          <w:numId w:val="4"/>
        </w:numPr>
        <w:rPr>
          <w:rFonts w:ascii="Arial" w:cs="Arial" w:eastAsia="Arial" w:hAnsi="Arial"/>
          <w:sz w:val="14"/>
          <w:szCs w:val="14"/>
          <w:b w:val="1"/>
          <w:bCs w:val="1"/>
          <w:color w:val="auto"/>
        </w:rPr>
      </w:pPr>
      <w:r>
        <w:rPr>
          <w:rFonts w:ascii="Arial" w:cs="Arial" w:eastAsia="Arial" w:hAnsi="Arial"/>
          <w:sz w:val="14"/>
          <w:szCs w:val="14"/>
          <w:color w:val="auto"/>
        </w:rPr>
        <w:t>San Diego Gas &amp; Electric Company (SDG&amp;E) and Southern California Gas Company (SoCalGas), which we collectively refer to as the Sempra Utilities; and</w:t>
      </w:r>
    </w:p>
    <w:p>
      <w:pPr>
        <w:spacing w:after="0" w:line="190" w:lineRule="exact"/>
        <w:rPr>
          <w:rFonts w:ascii="Arial" w:cs="Arial" w:eastAsia="Arial" w:hAnsi="Arial"/>
          <w:sz w:val="14"/>
          <w:szCs w:val="14"/>
          <w:b w:val="1"/>
          <w:bCs w:val="1"/>
          <w:color w:val="auto"/>
        </w:rPr>
      </w:pPr>
    </w:p>
    <w:p>
      <w:pPr>
        <w:ind w:left="260" w:hanging="147"/>
        <w:spacing w:after="0"/>
        <w:tabs>
          <w:tab w:leader="none" w:pos="260" w:val="left"/>
        </w:tabs>
        <w:numPr>
          <w:ilvl w:val="0"/>
          <w:numId w:val="4"/>
        </w:numPr>
        <w:rPr>
          <w:rFonts w:ascii="Arial" w:cs="Arial" w:eastAsia="Arial" w:hAnsi="Arial"/>
          <w:sz w:val="14"/>
          <w:szCs w:val="14"/>
          <w:b w:val="1"/>
          <w:bCs w:val="1"/>
          <w:color w:val="auto"/>
        </w:rPr>
      </w:pPr>
      <w:r>
        <w:rPr>
          <w:rFonts w:ascii="Arial" w:cs="Arial" w:eastAsia="Arial" w:hAnsi="Arial"/>
          <w:sz w:val="14"/>
          <w:szCs w:val="14"/>
          <w:color w:val="auto"/>
        </w:rPr>
        <w:t>Sempra Global, which is the holding company for Sempra Generation, Sempra Pipelines &amp; Storage and Sempra LNG.</w:t>
      </w:r>
    </w:p>
    <w:p>
      <w:pPr>
        <w:spacing w:after="0" w:line="190" w:lineRule="exact"/>
        <w:rPr>
          <w:sz w:val="20"/>
          <w:szCs w:val="20"/>
          <w:color w:val="auto"/>
        </w:rPr>
      </w:pPr>
    </w:p>
    <w:p>
      <w:pPr>
        <w:ind w:right="380"/>
        <w:spacing w:after="0" w:line="405" w:lineRule="auto"/>
        <w:rPr>
          <w:sz w:val="20"/>
          <w:szCs w:val="20"/>
          <w:color w:val="auto"/>
        </w:rPr>
      </w:pPr>
      <w:r>
        <w:rPr>
          <w:rFonts w:ascii="Arial" w:cs="Arial" w:eastAsia="Arial" w:hAnsi="Arial"/>
          <w:sz w:val="11"/>
          <w:szCs w:val="11"/>
          <w:color w:val="auto"/>
        </w:rPr>
        <w:t>Sempra Energy uses the equity method to account for investments in affiliated companies over which we have the ability to exercise significant influence, but not control. We discuss our investments in unconsolidated subsidiaries in Note 4 below and Note 4 of the Notes to Consolidated Financial Statements in our Annual Report on Form 10-K for the year ended December 31, 2010.</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SDG&amp;E</w:t>
      </w:r>
    </w:p>
    <w:p>
      <w:pPr>
        <w:spacing w:after="0" w:line="160"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SDG&amp;E's Condensed Consolidated Financial Statements include its accounts and the accounts of a VIE of which SDG&amp;E is the primary beneficiary, as we discuss in Note 5 under "Variable Interest Entities." SDG&amp;E’s common stock is wholly owned by Enova Corporation, which is a wholly owned subsidiary of Sempra Energy.</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Pacific Enterprises and SoCalGas</w:t>
      </w:r>
    </w:p>
    <w:p>
      <w:pPr>
        <w:spacing w:after="0" w:line="160"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Pacific Enterprise’s Condensed Consolidated Financial Statements include the accounts of Pacific Enterprises (PE) and its subsidiary, SoCalGas. Sempra Energy owns all of PE’s common stock and PE owns all of SoCalGas’ common stock. SoCalGas’ Condensed Consolidated Financial Statements include its subsidiaries, which comprise less than one percent of its consolidated financial position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PE's operations consist solely of those of SoCalGas and additional items (e.g., cash, intercompany accounts and equity) attributable to serving as a holding company for SoCalGas.</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176" w:lineRule="exact"/>
        <w:rPr>
          <w:sz w:val="20"/>
          <w:szCs w:val="20"/>
          <w:color w:val="auto"/>
        </w:rPr>
      </w:pPr>
    </w:p>
    <w:p>
      <w:pPr>
        <w:ind w:right="120"/>
        <w:spacing w:after="0" w:line="359" w:lineRule="auto"/>
        <w:rPr>
          <w:sz w:val="20"/>
          <w:szCs w:val="20"/>
          <w:color w:val="auto"/>
        </w:rPr>
      </w:pPr>
      <w:r>
        <w:rPr>
          <w:rFonts w:ascii="Arial" w:cs="Arial" w:eastAsia="Arial" w:hAnsi="Arial"/>
          <w:sz w:val="11"/>
          <w:szCs w:val="11"/>
          <w:color w:val="auto"/>
        </w:rPr>
        <w:t>This is a combined report of Sempra Energy, SDG&amp;E, PE and SoCalGas. We provide separate information for SDG&amp;E, PE and SoCalGas as required. In the Notes to Condensed Consolidated Financial Statements (except in Note 11), when only information for SoCalGas is provided, it is the same for PE. References in this report to "we," "our" and "Sempra Energy Consolidated" are to Sempra Energy and its consolidated entities, unless otherwise indicated by the context. We have eliminated intercompany accounts and transactions within the consolidated financial statements of each reporting entity.</w:t>
      </w:r>
    </w:p>
    <w:p>
      <w:pPr>
        <w:spacing w:after="0" w:line="94"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color w:val="auto"/>
        </w:rPr>
        <w:t>We have prepared the Condensed Consolidated Financial Statements in conformity with accounting principles generally accepted in the United States of America (GAAP) and in accordance with the interim-period-reporting requirements of Form 10-Q. Results of operations for interim periods are not necessarily indicative of results for the entire year. We evaluated events and transactions that occurred after March 31, 2011 through the date the financial statements were issued, and in the opinion of management, the accompanying statements reflect all adjustments necessary for a fair presentation. These adjustments are only of a normal, recurring nature.</w:t>
      </w:r>
    </w:p>
    <w:p>
      <w:pPr>
        <w:spacing w:after="0" w:line="148"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All December 31, 2010 balance sheet information in the Condensed Consolidated Financial Statements has been derived from our audited 2010 consolidated financial statements. Certain information and note disclosures normally included in annual financial statements prepared in accordance with GAAP have been condensed or omitted pursuant to the interim-period-reporting provisions of GAAP and the Securities and Exchange Commission.</w:t>
      </w:r>
    </w:p>
    <w:p>
      <w:pPr>
        <w:spacing w:after="0" w:line="146" w:lineRule="exact"/>
        <w:rPr>
          <w:sz w:val="20"/>
          <w:szCs w:val="20"/>
          <w:color w:val="auto"/>
        </w:rPr>
      </w:pPr>
    </w:p>
    <w:p>
      <w:pPr>
        <w:ind w:right="280"/>
        <w:spacing w:after="0" w:line="267" w:lineRule="auto"/>
        <w:rPr>
          <w:sz w:val="20"/>
          <w:szCs w:val="20"/>
          <w:color w:val="auto"/>
        </w:rPr>
      </w:pPr>
      <w:r>
        <w:rPr>
          <w:rFonts w:ascii="Arial" w:cs="Arial" w:eastAsia="Arial" w:hAnsi="Arial"/>
          <w:sz w:val="14"/>
          <w:szCs w:val="14"/>
          <w:color w:val="auto"/>
        </w:rPr>
        <w:t>You should read the information in this Quarterly Report in conjunction with our Annual Report on Form 10-K for the year ended December 31, 2010 (the Annual Report), which is a combined report for Sempra Energy, SDG&amp;E, PE and SoCalGas.</w:t>
      </w:r>
    </w:p>
    <w:p>
      <w:pPr>
        <w:spacing w:after="0" w:line="138" w:lineRule="exact"/>
        <w:rPr>
          <w:sz w:val="20"/>
          <w:szCs w:val="20"/>
          <w:color w:val="auto"/>
        </w:rPr>
      </w:pPr>
    </w:p>
    <w:p>
      <w:pPr>
        <w:spacing w:after="0"/>
        <w:rPr>
          <w:sz w:val="20"/>
          <w:szCs w:val="20"/>
          <w:color w:val="auto"/>
        </w:rPr>
      </w:pPr>
      <w:r>
        <w:rPr>
          <w:rFonts w:ascii="Arial" w:cs="Arial" w:eastAsia="Arial" w:hAnsi="Arial"/>
          <w:sz w:val="11"/>
          <w:szCs w:val="11"/>
          <w:color w:val="auto"/>
        </w:rPr>
        <w:t>Our significant accounting policies are described in Note 1 of the Notes to Consolidated Financial Statements in the Annual Report. We follow the same accounting policies for interim reporting purposes.</w:t>
      </w:r>
    </w:p>
    <w:p>
      <w:pPr>
        <w:spacing w:after="0" w:line="204" w:lineRule="exact"/>
        <w:rPr>
          <w:sz w:val="20"/>
          <w:szCs w:val="20"/>
          <w:color w:val="auto"/>
        </w:rPr>
      </w:pPr>
    </w:p>
    <w:p>
      <w:pPr>
        <w:ind w:right="580"/>
        <w:spacing w:after="0" w:line="267" w:lineRule="auto"/>
        <w:rPr>
          <w:sz w:val="20"/>
          <w:szCs w:val="20"/>
          <w:color w:val="auto"/>
        </w:rPr>
      </w:pPr>
      <w:r>
        <w:rPr>
          <w:rFonts w:ascii="Arial" w:cs="Arial" w:eastAsia="Arial" w:hAnsi="Arial"/>
          <w:sz w:val="14"/>
          <w:szCs w:val="14"/>
          <w:color w:val="auto"/>
        </w:rPr>
        <w:t>The Sempra Utilities and Sempra Pipelines &amp; Storage's Mobile Gas Service Corporation and Ecogas Mexico, S de RL de CV prepare their financial statements in accordance with GAAP provisions governing regulated operations, as we discuss in Note 1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252095</wp:posOffset>
            </wp:positionV>
            <wp:extent cx="729170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1705" cy="635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NOTE 2. NEW ACCOUNTING STANDARDS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There are no recent accounting pronouncements that are anticipated to have an impact on or are related to our financial condition, results of operations, or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272415</wp:posOffset>
            </wp:positionV>
            <wp:extent cx="729170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705" cy="635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auto"/>
        </w:rPr>
        <w:t>NOTE 3. RECENT INVESTMENT ACTIVITY</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SEMPRA PIPELINES &amp; STORAGE</w:t>
      </w:r>
    </w:p>
    <w:p>
      <w:pPr>
        <w:spacing w:after="0" w:line="155"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In the three months ended March 31, 2010, Sempra Pipelines &amp; Storage contributed $65 million to Rockies Express, a joint venture to own and operate the Rockies Express Pipeline. The contribution was the last required for the construction phase of the project.</w:t>
      </w:r>
    </w:p>
    <w:p>
      <w:pPr>
        <w:spacing w:after="0" w:line="138"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On April 30, 2010, Sempra Pipelines &amp; Storage completed the acquisition of the Mexican pipeline and natural gas infrastructure assets of El Paso Corporation for $307 million ($292 million, net of cash acquired). Proforma impacts on revenues and earnings for Sempra Energy had the acquisition occurred on January 1, 2010 were additional revenues and earnings of $2 million and $6 million, respectively, for the three months ended March 31, 2010.</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We provide information about Sempra Pipelines &amp; Storage’s recent investment activity in Chile and Peru in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259080</wp:posOffset>
            </wp:positionV>
            <wp:extent cx="729170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1705" cy="63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color w:val="auto"/>
        </w:rPr>
        <w:t>NOTE 4. INVESTMENTS IN UNCONSOLIDATED ENTITIES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We provide additional information concerning all of our equity method investments in Note 4 of the Notes to Consolidated Financial Statements in the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RBS SEMPRA COMMODITIES</w:t>
      </w:r>
    </w:p>
    <w:p>
      <w:pPr>
        <w:spacing w:after="0" w:line="176"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RBS Sempra Commodities LLP (RBS Sempra Commodities) is a United Kingdom limited liability partnership that owned and operated commodities-marketing businesses. We account for our investment in RBS Sempra Commodities under the equity method, and report our share of partnership earnings in Parent and Other.</w:t>
      </w:r>
    </w:p>
    <w:p>
      <w:pPr>
        <w:sectPr>
          <w:pgSz w:w="11900" w:h="16838" w:orient="portrait"/>
          <w:cols w:equalWidth="0" w:num="1">
            <w:col w:w="11460"/>
          </w:cols>
          <w:pgMar w:left="220" w:top="443" w:right="219" w:bottom="0" w:gutter="0" w:footer="0" w:header="0"/>
        </w:sectPr>
      </w:pPr>
    </w:p>
    <w:bookmarkStart w:id="25" w:name="page26"/>
    <w:bookmarkEnd w:id="25"/>
    <w:p>
      <w:pPr>
        <w:ind w:right="320"/>
        <w:spacing w:after="0" w:line="405" w:lineRule="auto"/>
        <w:rPr>
          <w:sz w:val="20"/>
          <w:szCs w:val="20"/>
          <w:color w:val="auto"/>
        </w:rPr>
      </w:pPr>
      <w:r>
        <w:rPr>
          <w:rFonts w:ascii="Arial" w:cs="Arial" w:eastAsia="Arial" w:hAnsi="Arial"/>
          <w:sz w:val="11"/>
          <w:szCs w:val="11"/>
          <w:color w:val="auto"/>
        </w:rPr>
        <w:t>We and our partner in the joint venture, The Royal Bank of Scotland (RBS), sold substantially all of the partnership’s businesses and assets in four separate transactions completed in July, November and December of 2010 and February of 2011. We expect our share of remaining proceeds to approximate $779 million, the amount of our investment in RBS Sempra Commodities as of March 31, 2011.</w:t>
      </w:r>
    </w:p>
    <w:p>
      <w:pPr>
        <w:spacing w:after="0" w:line="69" w:lineRule="exact"/>
        <w:rPr>
          <w:sz w:val="20"/>
          <w:szCs w:val="20"/>
          <w:color w:val="auto"/>
        </w:rPr>
      </w:pPr>
    </w:p>
    <w:p>
      <w:pPr>
        <w:ind w:right="420"/>
        <w:spacing w:after="0" w:line="322" w:lineRule="auto"/>
        <w:rPr>
          <w:sz w:val="20"/>
          <w:szCs w:val="20"/>
          <w:color w:val="auto"/>
        </w:rPr>
      </w:pPr>
      <w:r>
        <w:rPr>
          <w:rFonts w:ascii="Arial" w:cs="Arial" w:eastAsia="Arial" w:hAnsi="Arial"/>
          <w:sz w:val="11"/>
          <w:szCs w:val="11"/>
          <w:color w:val="auto"/>
        </w:rPr>
        <w:t>On April 15, 2011, we and RBS entered into a letter agreement (Letter Agreement) which amended certain provisions of the agreements that formed RBS Sempra Commodities. The Letter Agreement addresses the wind-down of the partnership and the distribution of the partnership’s remaining assets. In accordance with the Letter Agreement, we received a $329 million distribution on April 15,</w:t>
      </w:r>
    </w:p>
    <w:p>
      <w:pPr>
        <w:spacing w:after="0" w:line="1"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2011. This distribution included sales proceeds and our portion of 2010 distributable income totaling $357 million, less amounts to settle certain liabilities that we owed to RBS of $28 million. The Letter Agreement affirms that RBS Sempra Commodities will consider additional distributions of capital after taking into account various factors including available cash, the need for prudent reserves, potential payouts to the purchasers of the partnership’s businesses, and any accrued or projected future operating losses or other wind-down expenses of the partnership. The availability of cash is also impacted by the transfer of trading accounts to JP Morgan, one of the buyers in the sales transactions. These transfers and the related collection of accounts receivable and net margin continue as planned, and will be done as promptly as practicable during 2011. Future distributions will generally be made 51 percent to RBS, and 49 percent to us. The Letter Agreement also allows RBS Sempra Commodities to make capital calls to us, subject to certain limits, if necessary to support the remaining operations, for other liabilities or for other payments owed in connection with the sales transactions (subject to additional limitations). We do not anticipate any such capital calls.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In connection with the Letter Agreement described above, we also released RBS from its indemnification obligations with respect to the items for which JP Morgan has agreed to indemnify us.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March 31, 2011 and 2010, we recorded a pretax equity loss of $8 million and earnings of $7 million, respectively, from RBS Sempra Commodities.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We discuss the RBS Sempra Commodities sales transactions and other matters concerning the partnership in Note 4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279400</wp:posOffset>
            </wp:positionV>
            <wp:extent cx="729170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1705" cy="635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auto"/>
        </w:rPr>
        <w:t>NOTE 5. OTHER FINANCIAL DATA</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TEMPORARY LIFO LIQUIDATION</w:t>
      </w:r>
    </w:p>
    <w:p>
      <w:pPr>
        <w:spacing w:after="0" w:line="176" w:lineRule="exact"/>
        <w:rPr>
          <w:sz w:val="20"/>
          <w:szCs w:val="20"/>
          <w:color w:val="auto"/>
        </w:rPr>
      </w:pPr>
    </w:p>
    <w:p>
      <w:pPr>
        <w:ind w:right="260"/>
        <w:spacing w:after="0" w:line="256" w:lineRule="auto"/>
        <w:rPr>
          <w:sz w:val="20"/>
          <w:szCs w:val="20"/>
          <w:color w:val="auto"/>
        </w:rPr>
      </w:pPr>
      <w:r>
        <w:rPr>
          <w:rFonts w:ascii="Arial" w:cs="Arial" w:eastAsia="Arial" w:hAnsi="Arial"/>
          <w:sz w:val="14"/>
          <w:szCs w:val="14"/>
          <w:color w:val="auto"/>
        </w:rPr>
        <w:t>SoCalGas values natural gas inventory by the last-in first-out (LIFO) method. As inventories are sold, differences between the LIFO valuation and the estimated replacement cost are reflected in customer rates. Temporary LIFO liquidation represents the difference between the carrying value of natural gas inventory withdrawn during the period for delivery to customers and the projected cost of the replacement of that inventory during summer months.</w:t>
      </w: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VARIABLE INTEREST ENTITIES (VIE)</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We consolidate a VIE if we are the primary beneficiary of the VIE. Our determination of whether we are the primary beneficiary is based upon qualitative and quantitative analyses, which assess</w:t>
      </w:r>
    </w:p>
    <w:p>
      <w:pPr>
        <w:spacing w:after="0" w:line="181" w:lineRule="exact"/>
        <w:rPr>
          <w:sz w:val="20"/>
          <w:szCs w:val="20"/>
          <w:color w:val="auto"/>
        </w:rPr>
      </w:pPr>
    </w:p>
    <w:p>
      <w:pPr>
        <w:ind w:left="260" w:hanging="147"/>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purpose and design of the VIE;</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nature of the VIE's risks and the risks we absorb;</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power to direct activities that most significantly impact the economic performance of the VIE; and</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obligation to absorb losses or right to receive benefits that could be significant to the VIE.</w:t>
      </w:r>
    </w:p>
    <w:p>
      <w:pPr>
        <w:spacing w:after="0" w:line="356" w:lineRule="exact"/>
        <w:rPr>
          <w:sz w:val="20"/>
          <w:szCs w:val="20"/>
          <w:color w:val="auto"/>
        </w:rPr>
      </w:pPr>
    </w:p>
    <w:p>
      <w:pPr>
        <w:ind w:right="520"/>
        <w:spacing w:after="0" w:line="271" w:lineRule="auto"/>
        <w:rPr>
          <w:sz w:val="20"/>
          <w:szCs w:val="20"/>
          <w:color w:val="auto"/>
        </w:rPr>
      </w:pPr>
      <w:r>
        <w:rPr>
          <w:rFonts w:ascii="Arial" w:cs="Arial" w:eastAsia="Arial" w:hAnsi="Arial"/>
          <w:sz w:val="13"/>
          <w:szCs w:val="13"/>
          <w:color w:val="auto"/>
        </w:rPr>
        <w:t>SDG&amp;E has agreements under which it purchases power generated by facilities for which it supplies all of the natural gas to fuel the power plant (i.e., tolling agreements). SDG&amp;E’s obligation to absorb natural gas costs may be a significant variable interest. In addition, SDG&amp;E has the power to direct the dispatch of electricity generated by these facilities. Based upon our analysis, the ability to direct the dispatch of electricity may have the most significant impacts on the economic performance of the entity owning the generating facility because of the associated exposure to the cost of natural gas, which fuels the plants, and the value of electricity produced. To the extent that SDG&amp;E (1) is obligated to purchase and provide fuel to operate the facility, (2) has the power to direct the dispatch, and (3) purchases all of the output from the facility for a substantial portion of the facility’s useful life, SDG&amp;E may be the primary beneficiary of the entity owning the generating facility. SDG&amp;E determines if it is the primary beneficiary in these cases based on the operational characteristics of the facility, including its expected power generation output relative to its capacity to generate and the financial structure of the entity, among other factors. If we determine that SDG&amp;E is the primary beneficiary, Sempra Energy and SDG&amp;E consolidate the entity that owns the facility as a VIE, as we discuss below.</w:t>
      </w: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Otay Mesa VIE</w:t>
      </w:r>
    </w:p>
    <w:p>
      <w:pPr>
        <w:spacing w:after="0" w:line="160" w:lineRule="exact"/>
        <w:rPr>
          <w:sz w:val="20"/>
          <w:szCs w:val="20"/>
          <w:color w:val="auto"/>
        </w:rPr>
      </w:pPr>
    </w:p>
    <w:p>
      <w:pPr>
        <w:ind w:right="60"/>
        <w:spacing w:after="0" w:line="359" w:lineRule="auto"/>
        <w:rPr>
          <w:sz w:val="20"/>
          <w:szCs w:val="20"/>
          <w:color w:val="auto"/>
        </w:rPr>
      </w:pPr>
      <w:r>
        <w:rPr>
          <w:rFonts w:ascii="Arial" w:cs="Arial" w:eastAsia="Arial" w:hAnsi="Arial"/>
          <w:sz w:val="11"/>
          <w:szCs w:val="11"/>
          <w:color w:val="auto"/>
        </w:rPr>
        <w:t>SDG&amp;E has a 10-year agreement to purchase power generated at the Otay Mesa Energy Center (OMEC), a 605-MW generating facility that began commercial operations in October 2009. In addition to tolling, the agreement provides SDG&amp;E with the option to purchase the power plant at the end of the contract term in 2019, or upon earlier termination of the purchased-power agreement, at a predetermined price subject to adjustments based on performance of the facility. If SDG&amp;E does not exercise its option, under certain circumstances, it may be required to purchase the power plant at a predetermined price.</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The facility owner, Otay Mesa Energy Center LLC (OMEC LLC), is a VIE (Otay Mesa VIE), of which SDG&amp;E is the primary beneficiary. SDG&amp;E has no OMEC LLC voting rights and does not operate OMEC. In addition to the risks absorbed under the tolling agreement, SDG&amp;E absorbs separately through the put option a significant portion of the risk that the value of Otay Mesa VIE could decline. Sempra Energy and SDG&amp;E have consolidated Otay Mesa VIE since the second quarter of 2007. Otay Mesa VIE's equity of $119 million at March 31, 2011 and $113 million at December 31, 2010 is included on the Condensed Consolidated Balance Sheets in Other Noncontrolling Interests for Sempra Energy and in Noncontrolling Interest for SDG&amp;E.</w:t>
      </w:r>
    </w:p>
    <w:p>
      <w:pPr>
        <w:spacing w:after="0" w:line="132" w:lineRule="exact"/>
        <w:rPr>
          <w:sz w:val="20"/>
          <w:szCs w:val="20"/>
          <w:color w:val="auto"/>
        </w:rPr>
      </w:pPr>
    </w:p>
    <w:p>
      <w:pPr>
        <w:ind w:right="120"/>
        <w:spacing w:after="0" w:line="253" w:lineRule="auto"/>
        <w:rPr>
          <w:sz w:val="20"/>
          <w:szCs w:val="20"/>
          <w:color w:val="auto"/>
        </w:rPr>
      </w:pPr>
      <w:r>
        <w:rPr>
          <w:rFonts w:ascii="Arial" w:cs="Arial" w:eastAsia="Arial" w:hAnsi="Arial"/>
          <w:sz w:val="14"/>
          <w:szCs w:val="14"/>
          <w:color w:val="auto"/>
        </w:rPr>
        <w:t>OMEC LLC has a loan outstanding of $362 million at March 31, 2011, the proceeds of which were used for the construction of OMEC. The loan is with third party lenders and is secured by OMEC's property, plant and equipment. SDG&amp;E is not a party to the loan agreement and does not have any additional implicit or explicit financial responsibility to OMEC LLC. The loan fully matures in April 2019 and bears interest at rates varying with market rates. In addition, OMEC LLC has entered into interest rate swap agreements to moderate its exposure to interest rate changes. We provide additional information concerning the interest rate swaps in Note 7.</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Variable Interest Entities</w:t>
      </w:r>
    </w:p>
    <w:p>
      <w:pPr>
        <w:spacing w:after="0" w:line="160" w:lineRule="exact"/>
        <w:rPr>
          <w:sz w:val="20"/>
          <w:szCs w:val="20"/>
          <w:color w:val="auto"/>
        </w:rPr>
      </w:pPr>
    </w:p>
    <w:p>
      <w:pPr>
        <w:ind w:right="40"/>
        <w:spacing w:after="0" w:line="249" w:lineRule="auto"/>
        <w:rPr>
          <w:sz w:val="20"/>
          <w:szCs w:val="20"/>
          <w:color w:val="auto"/>
        </w:rPr>
      </w:pPr>
      <w:r>
        <w:rPr>
          <w:rFonts w:ascii="Arial" w:cs="Arial" w:eastAsia="Arial" w:hAnsi="Arial"/>
          <w:sz w:val="14"/>
          <w:szCs w:val="14"/>
          <w:color w:val="auto"/>
        </w:rPr>
        <w:t>SDG&amp;E's power procurement is subject to reliability requirements that may require SDG&amp;E to enter into various power purchase arrangements which include variable interests. SDG&amp;E evaluates these contracts to determine if variable interests exist and, based on the qualitative and quantitative analyses described above, if SDG&amp;E, and thereby Sempra Energy, is the primary beneficiary. SDG&amp;E has determined that no contracts, other than that relating to Otay Mesa VIE mentioned above, result in SDG&amp;E being the primary beneficiary as of March 31, 2011. In addition to the tolling agreements described above, other variable interests involve various elements of fuel and power costs, including certain construction costs, tax credits, and other components of cash flow expected to be paid to or received by our counterparties. In most of these cases, the expectation of variability is not substantial, and SDG&amp;E generally does not have the power to direct activities that most significantly impact the economic performance of the other VIEs. If our ongoing evaluation of these VIEs were to conclude that SDG&amp;E becomes the primary beneficiary and consolidation by SDG&amp;E becomes necessary, the effects are not expected to significantly affect the financial position, results of operations, or liquidity of SDG&amp;E. SDG&amp;E is not exposed to losses or gains as a result of these other VIEs, because all such variability would be recovered in rates.</w:t>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Sempra Energy’s other business units also enter into arrangements which could include variable interests. We evaluate these contracts based upon the qualitative and quantitative analyses described above.</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We have determined that these contracts are not variable interests in a VIE and therefore are not subject to the requirements of GAAP concerning the consolidation of VIEs.</w:t>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PENSION AND OTHER POSTRETIREMENT BENEFITS</w:t>
      </w: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Periodic Benefit Cost</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three tables provide the components of net periodic benefit cost: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PERIODIC BENEFIT COST -- 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740" w:type="dxa"/>
            <w:vAlign w:val="bottom"/>
            <w:gridSpan w:val="2"/>
          </w:tcPr>
          <w:p>
            <w:pPr>
              <w:spacing w:after="0"/>
              <w:rPr>
                <w:sz w:val="20"/>
                <w:szCs w:val="20"/>
                <w:color w:val="auto"/>
              </w:rPr>
            </w:pPr>
            <w:r>
              <w:rPr>
                <w:rFonts w:ascii="Arial" w:cs="Arial" w:eastAsia="Arial" w:hAnsi="Arial"/>
                <w:sz w:val="11"/>
                <w:szCs w:val="11"/>
                <w:i w:val="1"/>
                <w:iCs w:val="1"/>
                <w:color w:val="auto"/>
              </w:rPr>
              <w:t>(Dollars in millions)</w:t>
            </w:r>
          </w:p>
        </w:tc>
        <w:tc>
          <w:tcPr>
            <w:tcW w:w="1100" w:type="dxa"/>
            <w:vAlign w:val="bottom"/>
          </w:tcPr>
          <w:p>
            <w:pPr>
              <w:spacing w:after="0"/>
              <w:rPr>
                <w:sz w:val="12"/>
                <w:szCs w:val="12"/>
                <w:color w:val="auto"/>
              </w:rPr>
            </w:pPr>
          </w:p>
        </w:tc>
        <w:tc>
          <w:tcPr>
            <w:tcW w:w="1780" w:type="dxa"/>
            <w:vAlign w:val="bottom"/>
            <w:gridSpan w:val="2"/>
            <w:vMerge w:val="restart"/>
          </w:tcPr>
          <w:p>
            <w:pPr>
              <w:jc w:val="center"/>
              <w:ind w:right="561"/>
              <w:spacing w:after="0"/>
              <w:rPr>
                <w:sz w:val="20"/>
                <w:szCs w:val="20"/>
                <w:color w:val="auto"/>
              </w:rPr>
            </w:pPr>
            <w:r>
              <w:rPr>
                <w:rFonts w:ascii="Arial" w:cs="Arial" w:eastAsia="Arial" w:hAnsi="Arial"/>
                <w:sz w:val="11"/>
                <w:szCs w:val="11"/>
                <w:color w:val="auto"/>
              </w:rPr>
              <w:t>Pension Benefits</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980" w:type="dxa"/>
            <w:vAlign w:val="bottom"/>
            <w:gridSpan w:val="3"/>
            <w:vMerge w:val="restart"/>
          </w:tcPr>
          <w:p>
            <w:pPr>
              <w:jc w:val="right"/>
              <w:ind w:right="900"/>
              <w:spacing w:after="0"/>
              <w:rPr>
                <w:sz w:val="20"/>
                <w:szCs w:val="20"/>
                <w:color w:val="auto"/>
              </w:rPr>
            </w:pPr>
            <w:r>
              <w:rPr>
                <w:rFonts w:ascii="Arial" w:cs="Arial" w:eastAsia="Arial" w:hAnsi="Arial"/>
                <w:sz w:val="11"/>
                <w:szCs w:val="11"/>
                <w:color w:val="auto"/>
              </w:rPr>
              <w:t>Other Postretirement Benefits</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gridSpan w:val="2"/>
            <w:vMerge w:val="continue"/>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880" w:type="dxa"/>
            <w:vAlign w:val="bottom"/>
            <w:tcBorders>
              <w:bottom w:val="single" w:sz="8" w:color="auto"/>
            </w:tcBorders>
            <w:gridSpan w:val="3"/>
          </w:tcPr>
          <w:p>
            <w:pPr>
              <w:jc w:val="center"/>
              <w:ind w:left="423"/>
              <w:spacing w:after="0" w:line="124" w:lineRule="exact"/>
              <w:rPr>
                <w:sz w:val="20"/>
                <w:szCs w:val="20"/>
                <w:color w:val="auto"/>
              </w:rPr>
            </w:pPr>
            <w:r>
              <w:rPr>
                <w:rFonts w:ascii="Arial" w:cs="Arial" w:eastAsia="Arial" w:hAnsi="Arial"/>
                <w:sz w:val="11"/>
                <w:szCs w:val="11"/>
                <w:color w:val="auto"/>
                <w:w w:val="99"/>
              </w:rPr>
              <w:t>Three months ended March 31,</w:t>
            </w:r>
          </w:p>
        </w:tc>
        <w:tc>
          <w:tcPr>
            <w:tcW w:w="4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gridSpan w:val="3"/>
          </w:tcPr>
          <w:p>
            <w:pPr>
              <w:jc w:val="right"/>
              <w:ind w:right="860"/>
              <w:spacing w:after="0" w:line="124" w:lineRule="exact"/>
              <w:rPr>
                <w:sz w:val="20"/>
                <w:szCs w:val="20"/>
                <w:color w:val="auto"/>
              </w:rPr>
            </w:pPr>
            <w:r>
              <w:rPr>
                <w:rFonts w:ascii="Arial" w:cs="Arial" w:eastAsia="Arial" w:hAnsi="Arial"/>
                <w:sz w:val="11"/>
                <w:szCs w:val="11"/>
                <w:color w:val="auto"/>
              </w:rPr>
              <w:t>Three months ended 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2011</w:t>
            </w:r>
          </w:p>
        </w:tc>
        <w:tc>
          <w:tcPr>
            <w:tcW w:w="5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1"/>
                <w:szCs w:val="11"/>
                <w:color w:val="auto"/>
              </w:rPr>
              <w:t>2010</w:t>
            </w:r>
          </w:p>
        </w:tc>
        <w:tc>
          <w:tcPr>
            <w:tcW w:w="4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81"/>
              <w:spacing w:after="0"/>
              <w:rPr>
                <w:sz w:val="20"/>
                <w:szCs w:val="20"/>
                <w:color w:val="auto"/>
              </w:rPr>
            </w:pPr>
            <w:r>
              <w:rPr>
                <w:rFonts w:ascii="Arial" w:cs="Arial" w:eastAsia="Arial" w:hAnsi="Arial"/>
                <w:sz w:val="11"/>
                <w:szCs w:val="11"/>
                <w:color w:val="auto"/>
              </w:rPr>
              <w:t>2011</w:t>
            </w:r>
          </w:p>
        </w:tc>
        <w:tc>
          <w:tcPr>
            <w:tcW w:w="3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80"/>
              <w:spacing w:after="0"/>
              <w:rPr>
                <w:sz w:val="20"/>
                <w:szCs w:val="20"/>
                <w:color w:val="auto"/>
              </w:rPr>
            </w:pPr>
            <w:r>
              <w:rPr>
                <w:rFonts w:ascii="Arial" w:cs="Arial" w:eastAsia="Arial" w:hAnsi="Arial"/>
                <w:sz w:val="11"/>
                <w:szCs w:val="11"/>
                <w:color w:val="auto"/>
              </w:rPr>
              <w:t>2010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720" w:type="dxa"/>
            <w:vAlign w:val="bottom"/>
          </w:tcPr>
          <w:p>
            <w:pPr>
              <w:spacing w:after="0" w:line="126" w:lineRule="exact"/>
              <w:rPr>
                <w:sz w:val="20"/>
                <w:szCs w:val="20"/>
                <w:color w:val="auto"/>
              </w:rPr>
            </w:pPr>
            <w:r>
              <w:rPr>
                <w:rFonts w:ascii="Arial" w:cs="Arial" w:eastAsia="Arial" w:hAnsi="Arial"/>
                <w:sz w:val="12"/>
                <w:szCs w:val="12"/>
                <w:color w:val="auto"/>
              </w:rPr>
              <w:t>Service cost</w:t>
            </w:r>
          </w:p>
        </w:tc>
        <w:tc>
          <w:tcPr>
            <w:tcW w:w="1100" w:type="dxa"/>
            <w:vAlign w:val="bottom"/>
          </w:tcPr>
          <w:p>
            <w:pPr>
              <w:jc w:val="right"/>
              <w:ind w:right="963"/>
              <w:spacing w:after="0" w:line="126" w:lineRule="exact"/>
              <w:rPr>
                <w:sz w:val="20"/>
                <w:szCs w:val="20"/>
                <w:color w:val="auto"/>
              </w:rPr>
            </w:pPr>
            <w:r>
              <w:rPr>
                <w:rFonts w:ascii="Arial" w:cs="Arial" w:eastAsia="Arial" w:hAnsi="Arial"/>
                <w:sz w:val="12"/>
                <w:szCs w:val="12"/>
                <w:color w:val="auto"/>
                <w:w w:val="89"/>
              </w:rPr>
              <w:t>$</w:t>
            </w:r>
          </w:p>
        </w:tc>
        <w:tc>
          <w:tcPr>
            <w:tcW w:w="580" w:type="dxa"/>
            <w:vAlign w:val="bottom"/>
          </w:tcPr>
          <w:p>
            <w:pPr>
              <w:jc w:val="center"/>
              <w:ind w:left="300"/>
              <w:spacing w:after="0" w:line="126" w:lineRule="exact"/>
              <w:rPr>
                <w:sz w:val="20"/>
                <w:szCs w:val="20"/>
                <w:color w:val="auto"/>
              </w:rPr>
            </w:pPr>
            <w:r>
              <w:rPr>
                <w:rFonts w:ascii="Arial" w:cs="Arial" w:eastAsia="Arial" w:hAnsi="Arial"/>
                <w:sz w:val="12"/>
                <w:szCs w:val="12"/>
                <w:color w:val="auto"/>
              </w:rPr>
              <w:t>22</w:t>
            </w:r>
          </w:p>
        </w:tc>
        <w:tc>
          <w:tcPr>
            <w:tcW w:w="1200" w:type="dxa"/>
            <w:vAlign w:val="bottom"/>
          </w:tcPr>
          <w:p>
            <w:pPr>
              <w:jc w:val="right"/>
              <w:ind w:right="1061"/>
              <w:spacing w:after="0" w:line="126" w:lineRule="exact"/>
              <w:rPr>
                <w:sz w:val="20"/>
                <w:szCs w:val="20"/>
                <w:color w:val="auto"/>
              </w:rPr>
            </w:pPr>
            <w:r>
              <w:rPr>
                <w:rFonts w:ascii="Arial" w:cs="Arial" w:eastAsia="Arial" w:hAnsi="Arial"/>
                <w:sz w:val="12"/>
                <w:szCs w:val="12"/>
                <w:color w:val="auto"/>
                <w:w w:val="89"/>
              </w:rPr>
              <w:t>$</w:t>
            </w:r>
          </w:p>
        </w:tc>
        <w:tc>
          <w:tcPr>
            <w:tcW w:w="480" w:type="dxa"/>
            <w:vAlign w:val="bottom"/>
          </w:tcPr>
          <w:p>
            <w:pPr>
              <w:jc w:val="center"/>
              <w:ind w:left="198"/>
              <w:spacing w:after="0" w:line="126" w:lineRule="exact"/>
              <w:rPr>
                <w:sz w:val="20"/>
                <w:szCs w:val="20"/>
                <w:color w:val="auto"/>
              </w:rPr>
            </w:pPr>
            <w:r>
              <w:rPr>
                <w:rFonts w:ascii="Arial" w:cs="Arial" w:eastAsia="Arial" w:hAnsi="Arial"/>
                <w:sz w:val="12"/>
                <w:szCs w:val="12"/>
                <w:color w:val="auto"/>
              </w:rPr>
              <w:t>22</w:t>
            </w:r>
          </w:p>
        </w:tc>
        <w:tc>
          <w:tcPr>
            <w:tcW w:w="380" w:type="dxa"/>
            <w:vAlign w:val="bottom"/>
          </w:tcPr>
          <w:p>
            <w:pPr>
              <w:jc w:val="right"/>
              <w:ind w:right="268"/>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line="126" w:lineRule="exact"/>
              <w:rPr>
                <w:sz w:val="20"/>
                <w:szCs w:val="20"/>
                <w:color w:val="auto"/>
              </w:rPr>
            </w:pPr>
            <w:r>
              <w:rPr>
                <w:rFonts w:ascii="Arial" w:cs="Arial" w:eastAsia="Arial" w:hAnsi="Arial"/>
                <w:sz w:val="12"/>
                <w:szCs w:val="12"/>
                <w:color w:val="auto"/>
              </w:rPr>
              <w:t>7</w:t>
            </w:r>
          </w:p>
        </w:tc>
        <w:tc>
          <w:tcPr>
            <w:tcW w:w="380" w:type="dxa"/>
            <w:vAlign w:val="bottom"/>
          </w:tcPr>
          <w:p>
            <w:pPr>
              <w:jc w:val="right"/>
              <w:ind w:right="268"/>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line="126" w:lineRule="exact"/>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34"/>
        </w:trPr>
        <w:tc>
          <w:tcPr>
            <w:tcW w:w="4740" w:type="dxa"/>
            <w:vAlign w:val="bottom"/>
            <w:gridSpan w:val="2"/>
          </w:tcPr>
          <w:p>
            <w:pPr>
              <w:spacing w:after="0" w:line="134" w:lineRule="exact"/>
              <w:rPr>
                <w:sz w:val="20"/>
                <w:szCs w:val="20"/>
                <w:color w:val="auto"/>
              </w:rPr>
            </w:pPr>
            <w:r>
              <w:rPr>
                <w:rFonts w:ascii="Arial" w:cs="Arial" w:eastAsia="Arial" w:hAnsi="Arial"/>
                <w:sz w:val="12"/>
                <w:szCs w:val="12"/>
                <w:color w:val="auto"/>
              </w:rPr>
              <w:t>Interest cost</w:t>
            </w:r>
          </w:p>
        </w:tc>
        <w:tc>
          <w:tcPr>
            <w:tcW w:w="1100" w:type="dxa"/>
            <w:vAlign w:val="bottom"/>
          </w:tcPr>
          <w:p>
            <w:pPr>
              <w:spacing w:after="0"/>
              <w:rPr>
                <w:sz w:val="11"/>
                <w:szCs w:val="11"/>
                <w:color w:val="auto"/>
              </w:rPr>
            </w:pPr>
          </w:p>
        </w:tc>
        <w:tc>
          <w:tcPr>
            <w:tcW w:w="580" w:type="dxa"/>
            <w:vAlign w:val="bottom"/>
          </w:tcPr>
          <w:p>
            <w:pPr>
              <w:jc w:val="center"/>
              <w:ind w:left="300"/>
              <w:spacing w:after="0" w:line="134" w:lineRule="exact"/>
              <w:rPr>
                <w:sz w:val="20"/>
                <w:szCs w:val="20"/>
                <w:color w:val="auto"/>
              </w:rPr>
            </w:pPr>
            <w:r>
              <w:rPr>
                <w:rFonts w:ascii="Arial" w:cs="Arial" w:eastAsia="Arial" w:hAnsi="Arial"/>
                <w:sz w:val="12"/>
                <w:szCs w:val="12"/>
                <w:color w:val="auto"/>
              </w:rPr>
              <w:t>43</w:t>
            </w:r>
          </w:p>
        </w:tc>
        <w:tc>
          <w:tcPr>
            <w:tcW w:w="1200" w:type="dxa"/>
            <w:vAlign w:val="bottom"/>
          </w:tcPr>
          <w:p>
            <w:pPr>
              <w:spacing w:after="0"/>
              <w:rPr>
                <w:sz w:val="11"/>
                <w:szCs w:val="11"/>
                <w:color w:val="auto"/>
              </w:rPr>
            </w:pPr>
          </w:p>
        </w:tc>
        <w:tc>
          <w:tcPr>
            <w:tcW w:w="480" w:type="dxa"/>
            <w:vAlign w:val="bottom"/>
          </w:tcPr>
          <w:p>
            <w:pPr>
              <w:jc w:val="center"/>
              <w:ind w:left="198"/>
              <w:spacing w:after="0" w:line="134" w:lineRule="exact"/>
              <w:rPr>
                <w:sz w:val="20"/>
                <w:szCs w:val="20"/>
                <w:color w:val="auto"/>
              </w:rPr>
            </w:pPr>
            <w:r>
              <w:rPr>
                <w:rFonts w:ascii="Arial" w:cs="Arial" w:eastAsia="Arial" w:hAnsi="Arial"/>
                <w:sz w:val="12"/>
                <w:szCs w:val="12"/>
                <w:color w:val="auto"/>
              </w:rPr>
              <w:t>43</w:t>
            </w:r>
          </w:p>
        </w:tc>
        <w:tc>
          <w:tcPr>
            <w:tcW w:w="380" w:type="dxa"/>
            <w:vAlign w:val="bottom"/>
          </w:tcPr>
          <w:p>
            <w:pPr>
              <w:spacing w:after="0"/>
              <w:rPr>
                <w:sz w:val="11"/>
                <w:szCs w:val="11"/>
                <w:color w:val="auto"/>
              </w:rPr>
            </w:pPr>
          </w:p>
        </w:tc>
        <w:tc>
          <w:tcPr>
            <w:tcW w:w="1300" w:type="dxa"/>
            <w:vAlign w:val="bottom"/>
          </w:tcPr>
          <w:p>
            <w:pPr>
              <w:jc w:val="right"/>
              <w:spacing w:after="0" w:line="134" w:lineRule="exact"/>
              <w:rPr>
                <w:sz w:val="20"/>
                <w:szCs w:val="20"/>
                <w:color w:val="auto"/>
              </w:rPr>
            </w:pPr>
            <w:r>
              <w:rPr>
                <w:rFonts w:ascii="Arial" w:cs="Arial" w:eastAsia="Arial" w:hAnsi="Arial"/>
                <w:sz w:val="12"/>
                <w:szCs w:val="12"/>
                <w:color w:val="auto"/>
              </w:rPr>
              <w:t>17</w:t>
            </w:r>
          </w:p>
        </w:tc>
        <w:tc>
          <w:tcPr>
            <w:tcW w:w="380" w:type="dxa"/>
            <w:vAlign w:val="bottom"/>
          </w:tcPr>
          <w:p>
            <w:pPr>
              <w:spacing w:after="0"/>
              <w:rPr>
                <w:sz w:val="11"/>
                <w:szCs w:val="11"/>
                <w:color w:val="auto"/>
              </w:rPr>
            </w:pPr>
          </w:p>
        </w:tc>
        <w:tc>
          <w:tcPr>
            <w:tcW w:w="1300" w:type="dxa"/>
            <w:vAlign w:val="bottom"/>
          </w:tcPr>
          <w:p>
            <w:pPr>
              <w:jc w:val="right"/>
              <w:spacing w:after="0" w:line="134" w:lineRule="exact"/>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48"/>
        </w:trPr>
        <w:tc>
          <w:tcPr>
            <w:tcW w:w="4740" w:type="dxa"/>
            <w:vAlign w:val="bottom"/>
            <w:gridSpan w:val="2"/>
          </w:tcPr>
          <w:p>
            <w:pPr>
              <w:spacing w:after="0"/>
              <w:rPr>
                <w:sz w:val="20"/>
                <w:szCs w:val="20"/>
                <w:color w:val="auto"/>
              </w:rPr>
            </w:pPr>
            <w:r>
              <w:rPr>
                <w:rFonts w:ascii="Arial" w:cs="Arial" w:eastAsia="Arial" w:hAnsi="Arial"/>
                <w:sz w:val="12"/>
                <w:szCs w:val="12"/>
                <w:color w:val="auto"/>
              </w:rPr>
              <w:t>Expected return on assets</w:t>
            </w:r>
          </w:p>
        </w:tc>
        <w:tc>
          <w:tcPr>
            <w:tcW w:w="1100" w:type="dxa"/>
            <w:vAlign w:val="bottom"/>
          </w:tcPr>
          <w:p>
            <w:pPr>
              <w:spacing w:after="0"/>
              <w:rPr>
                <w:sz w:val="12"/>
                <w:szCs w:val="12"/>
                <w:color w:val="auto"/>
              </w:rPr>
            </w:pPr>
          </w:p>
        </w:tc>
        <w:tc>
          <w:tcPr>
            <w:tcW w:w="580" w:type="dxa"/>
            <w:vAlign w:val="bottom"/>
          </w:tcPr>
          <w:p>
            <w:pPr>
              <w:jc w:val="center"/>
              <w:ind w:left="300"/>
              <w:spacing w:after="0"/>
              <w:rPr>
                <w:sz w:val="20"/>
                <w:szCs w:val="20"/>
                <w:color w:val="auto"/>
              </w:rPr>
            </w:pPr>
            <w:r>
              <w:rPr>
                <w:rFonts w:ascii="Arial" w:cs="Arial" w:eastAsia="Arial" w:hAnsi="Arial"/>
                <w:sz w:val="12"/>
                <w:szCs w:val="12"/>
                <w:color w:val="auto"/>
              </w:rPr>
              <w:t>(37)</w:t>
            </w:r>
          </w:p>
        </w:tc>
        <w:tc>
          <w:tcPr>
            <w:tcW w:w="1200" w:type="dxa"/>
            <w:vAlign w:val="bottom"/>
          </w:tcPr>
          <w:p>
            <w:pPr>
              <w:spacing w:after="0"/>
              <w:rPr>
                <w:sz w:val="12"/>
                <w:szCs w:val="12"/>
                <w:color w:val="auto"/>
              </w:rPr>
            </w:pPr>
          </w:p>
        </w:tc>
        <w:tc>
          <w:tcPr>
            <w:tcW w:w="480" w:type="dxa"/>
            <w:vAlign w:val="bottom"/>
          </w:tcPr>
          <w:p>
            <w:pPr>
              <w:jc w:val="center"/>
              <w:ind w:left="198"/>
              <w:spacing w:after="0"/>
              <w:rPr>
                <w:sz w:val="20"/>
                <w:szCs w:val="20"/>
                <w:color w:val="auto"/>
              </w:rPr>
            </w:pPr>
            <w:r>
              <w:rPr>
                <w:rFonts w:ascii="Arial" w:cs="Arial" w:eastAsia="Arial" w:hAnsi="Arial"/>
                <w:sz w:val="12"/>
                <w:szCs w:val="12"/>
                <w:color w:val="auto"/>
              </w:rPr>
              <w:t>(36)</w:t>
            </w:r>
          </w:p>
        </w:tc>
        <w:tc>
          <w:tcPr>
            <w:tcW w:w="3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(12)</w:t>
            </w:r>
          </w:p>
        </w:tc>
        <w:tc>
          <w:tcPr>
            <w:tcW w:w="3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bl>
    <w:p>
      <w:pPr>
        <w:sectPr>
          <w:pgSz w:w="11900" w:h="16838" w:orient="portrait"/>
          <w:cols w:equalWidth="0" w:num="1">
            <w:col w:w="11460"/>
          </w:cols>
          <w:pgMar w:left="220" w:top="129" w:right="21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00" w:type="dxa"/>
            <w:vAlign w:val="bottom"/>
            <w:gridSpan w:val="2"/>
          </w:tcPr>
          <w:p>
            <w:pPr>
              <w:spacing w:after="0"/>
              <w:rPr>
                <w:sz w:val="20"/>
                <w:szCs w:val="20"/>
                <w:color w:val="auto"/>
              </w:rPr>
            </w:pPr>
            <w:r>
              <w:rPr>
                <w:rFonts w:ascii="Arial" w:cs="Arial" w:eastAsia="Arial" w:hAnsi="Arial"/>
                <w:sz w:val="12"/>
                <w:szCs w:val="12"/>
                <w:color w:val="auto"/>
              </w:rPr>
              <w:t>Amortization of:</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4480" w:type="dxa"/>
            <w:vAlign w:val="bottom"/>
          </w:tcPr>
          <w:p>
            <w:pPr>
              <w:ind w:left="120"/>
              <w:spacing w:after="0" w:line="134" w:lineRule="exact"/>
              <w:rPr>
                <w:sz w:val="20"/>
                <w:szCs w:val="20"/>
                <w:color w:val="auto"/>
              </w:rPr>
            </w:pPr>
            <w:r>
              <w:rPr>
                <w:rFonts w:ascii="Arial" w:cs="Arial" w:eastAsia="Arial" w:hAnsi="Arial"/>
                <w:sz w:val="12"/>
                <w:szCs w:val="12"/>
                <w:color w:val="auto"/>
              </w:rPr>
              <w:t>Prior service cost</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jc w:val="right"/>
              <w:spacing w:after="0" w:line="134" w:lineRule="exact"/>
              <w:rPr>
                <w:sz w:val="20"/>
                <w:szCs w:val="20"/>
                <w:color w:val="auto"/>
              </w:rPr>
            </w:pPr>
            <w:r>
              <w:rPr>
                <w:rFonts w:ascii="Arial" w:cs="Arial" w:eastAsia="Arial" w:hAnsi="Arial"/>
                <w:sz w:val="12"/>
                <w:szCs w:val="12"/>
                <w:color w:val="auto"/>
                <w:w w:val="89"/>
              </w:rPr>
              <w:t>1</w:t>
            </w:r>
          </w:p>
        </w:tc>
        <w:tc>
          <w:tcPr>
            <w:tcW w:w="340" w:type="dxa"/>
            <w:vAlign w:val="bottom"/>
          </w:tcPr>
          <w:p>
            <w:pPr>
              <w:spacing w:after="0"/>
              <w:rPr>
                <w:sz w:val="11"/>
                <w:szCs w:val="11"/>
                <w:color w:val="auto"/>
              </w:rPr>
            </w:pPr>
          </w:p>
        </w:tc>
        <w:tc>
          <w:tcPr>
            <w:tcW w:w="13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w:t>
            </w:r>
          </w:p>
        </w:tc>
        <w:tc>
          <w:tcPr>
            <w:tcW w:w="68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r>
      <w:tr>
        <w:trPr>
          <w:trHeight w:val="134"/>
        </w:trPr>
        <w:tc>
          <w:tcPr>
            <w:tcW w:w="20" w:type="dxa"/>
            <w:vAlign w:val="bottom"/>
          </w:tcPr>
          <w:p>
            <w:pPr>
              <w:spacing w:after="0"/>
              <w:rPr>
                <w:sz w:val="11"/>
                <w:szCs w:val="11"/>
                <w:color w:val="auto"/>
              </w:rPr>
            </w:pPr>
          </w:p>
        </w:tc>
        <w:tc>
          <w:tcPr>
            <w:tcW w:w="4480" w:type="dxa"/>
            <w:vAlign w:val="bottom"/>
          </w:tcPr>
          <w:p>
            <w:pPr>
              <w:ind w:left="120"/>
              <w:spacing w:after="0" w:line="134" w:lineRule="exact"/>
              <w:rPr>
                <w:sz w:val="20"/>
                <w:szCs w:val="20"/>
                <w:color w:val="auto"/>
              </w:rPr>
            </w:pPr>
            <w:r>
              <w:rPr>
                <w:rFonts w:ascii="Arial" w:cs="Arial" w:eastAsia="Arial" w:hAnsi="Arial"/>
                <w:sz w:val="12"/>
                <w:szCs w:val="12"/>
                <w:color w:val="auto"/>
              </w:rPr>
              <w:t>Actuarial loss</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jc w:val="right"/>
              <w:spacing w:after="0" w:line="134" w:lineRule="exact"/>
              <w:rPr>
                <w:sz w:val="20"/>
                <w:szCs w:val="20"/>
                <w:color w:val="auto"/>
              </w:rPr>
            </w:pPr>
            <w:r>
              <w:rPr>
                <w:rFonts w:ascii="Arial" w:cs="Arial" w:eastAsia="Arial" w:hAnsi="Arial"/>
                <w:sz w:val="12"/>
                <w:szCs w:val="12"/>
                <w:color w:val="auto"/>
              </w:rPr>
              <w:t>9</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jc w:val="right"/>
              <w:spacing w:after="0" w:line="134" w:lineRule="exact"/>
              <w:rPr>
                <w:sz w:val="20"/>
                <w:szCs w:val="20"/>
                <w:color w:val="auto"/>
              </w:rPr>
            </w:pPr>
            <w:r>
              <w:rPr>
                <w:rFonts w:ascii="Arial" w:cs="Arial" w:eastAsia="Arial" w:hAnsi="Arial"/>
                <w:sz w:val="12"/>
                <w:szCs w:val="12"/>
                <w:color w:val="auto"/>
                <w:w w:val="89"/>
              </w:rPr>
              <w:t>8</w:t>
            </w:r>
          </w:p>
        </w:tc>
        <w:tc>
          <w:tcPr>
            <w:tcW w:w="340" w:type="dxa"/>
            <w:vAlign w:val="bottom"/>
          </w:tcPr>
          <w:p>
            <w:pPr>
              <w:spacing w:after="0"/>
              <w:rPr>
                <w:sz w:val="11"/>
                <w:szCs w:val="11"/>
                <w:color w:val="auto"/>
              </w:rPr>
            </w:pPr>
          </w:p>
        </w:tc>
        <w:tc>
          <w:tcPr>
            <w:tcW w:w="13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4</w:t>
            </w:r>
          </w:p>
        </w:tc>
        <w:tc>
          <w:tcPr>
            <w:tcW w:w="68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r>
      <w:tr>
        <w:trPr>
          <w:trHeight w:val="144"/>
        </w:trPr>
        <w:tc>
          <w:tcPr>
            <w:tcW w:w="4500" w:type="dxa"/>
            <w:vAlign w:val="bottom"/>
            <w:gridSpan w:val="2"/>
          </w:tcPr>
          <w:p>
            <w:pPr>
              <w:spacing w:after="0"/>
              <w:rPr>
                <w:sz w:val="20"/>
                <w:szCs w:val="20"/>
                <w:color w:val="auto"/>
              </w:rPr>
            </w:pPr>
            <w:r>
              <w:rPr>
                <w:rFonts w:ascii="Arial" w:cs="Arial" w:eastAsia="Arial" w:hAnsi="Arial"/>
                <w:sz w:val="12"/>
                <w:szCs w:val="12"/>
                <w:color w:val="auto"/>
              </w:rPr>
              <w:t>Regulatory adjustment</w:t>
            </w:r>
          </w:p>
        </w:tc>
        <w:tc>
          <w:tcPr>
            <w:tcW w:w="24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w:t>
            </w:r>
          </w:p>
        </w:tc>
        <w:tc>
          <w:tcPr>
            <w:tcW w:w="1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(29)</w:t>
            </w:r>
          </w:p>
        </w:tc>
        <w:tc>
          <w:tcPr>
            <w:tcW w:w="3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2</w:t>
            </w:r>
          </w:p>
        </w:tc>
        <w:tc>
          <w:tcPr>
            <w:tcW w:w="6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r>
      <w:tr>
        <w:trPr>
          <w:trHeight w:val="135"/>
        </w:trPr>
        <w:tc>
          <w:tcPr>
            <w:tcW w:w="4500" w:type="dxa"/>
            <w:vAlign w:val="bottom"/>
            <w:gridSpan w:val="2"/>
          </w:tcPr>
          <w:p>
            <w:pPr>
              <w:spacing w:after="0" w:line="134" w:lineRule="exact"/>
              <w:rPr>
                <w:sz w:val="20"/>
                <w:szCs w:val="20"/>
                <w:color w:val="auto"/>
              </w:rPr>
            </w:pPr>
            <w:r>
              <w:rPr>
                <w:rFonts w:ascii="Arial" w:cs="Arial" w:eastAsia="Arial" w:hAnsi="Arial"/>
                <w:sz w:val="12"/>
                <w:szCs w:val="12"/>
                <w:color w:val="auto"/>
              </w:rPr>
              <w:t>Total net periodic benefit cost</w:t>
            </w:r>
          </w:p>
        </w:tc>
        <w:tc>
          <w:tcPr>
            <w:tcW w:w="240" w:type="dxa"/>
            <w:vAlign w:val="bottom"/>
          </w:tcPr>
          <w:p>
            <w:pPr>
              <w:spacing w:after="0"/>
              <w:rPr>
                <w:sz w:val="11"/>
                <w:szCs w:val="11"/>
                <w:color w:val="auto"/>
              </w:rPr>
            </w:pPr>
          </w:p>
        </w:tc>
        <w:tc>
          <w:tcPr>
            <w:tcW w:w="1020" w:type="dxa"/>
            <w:vAlign w:val="bottom"/>
          </w:tcPr>
          <w:p>
            <w:pPr>
              <w:jc w:val="right"/>
              <w:ind w:right="881"/>
              <w:spacing w:after="0" w:line="134" w:lineRule="exact"/>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line="134" w:lineRule="exact"/>
              <w:rPr>
                <w:sz w:val="20"/>
                <w:szCs w:val="20"/>
                <w:color w:val="auto"/>
              </w:rPr>
            </w:pPr>
            <w:r>
              <w:rPr>
                <w:rFonts w:ascii="Arial" w:cs="Arial" w:eastAsia="Arial" w:hAnsi="Arial"/>
                <w:sz w:val="12"/>
                <w:szCs w:val="12"/>
                <w:color w:val="auto"/>
              </w:rPr>
              <w:t>9</w:t>
            </w:r>
          </w:p>
        </w:tc>
        <w:tc>
          <w:tcPr>
            <w:tcW w:w="1140" w:type="dxa"/>
            <w:vAlign w:val="bottom"/>
          </w:tcPr>
          <w:p>
            <w:pPr>
              <w:jc w:val="right"/>
              <w:ind w:right="1001"/>
              <w:spacing w:after="0" w:line="134" w:lineRule="exact"/>
              <w:rPr>
                <w:sz w:val="20"/>
                <w:szCs w:val="20"/>
                <w:color w:val="auto"/>
              </w:rPr>
            </w:pPr>
            <w:r>
              <w:rPr>
                <w:rFonts w:ascii="Arial" w:cs="Arial" w:eastAsia="Arial" w:hAnsi="Arial"/>
                <w:sz w:val="12"/>
                <w:szCs w:val="12"/>
                <w:color w:val="auto"/>
                <w:w w:val="89"/>
              </w:rPr>
              <w:t>$</w:t>
            </w:r>
          </w:p>
        </w:tc>
        <w:tc>
          <w:tcPr>
            <w:tcW w:w="420" w:type="dxa"/>
            <w:vAlign w:val="bottom"/>
          </w:tcPr>
          <w:p>
            <w:pPr>
              <w:spacing w:after="0"/>
              <w:rPr>
                <w:sz w:val="11"/>
                <w:szCs w:val="11"/>
                <w:color w:val="auto"/>
              </w:rPr>
            </w:pPr>
          </w:p>
        </w:tc>
        <w:tc>
          <w:tcPr>
            <w:tcW w:w="120" w:type="dxa"/>
            <w:vAlign w:val="bottom"/>
          </w:tcPr>
          <w:p>
            <w:pPr>
              <w:jc w:val="right"/>
              <w:spacing w:after="0" w:line="134" w:lineRule="exact"/>
              <w:rPr>
                <w:sz w:val="20"/>
                <w:szCs w:val="20"/>
                <w:color w:val="auto"/>
              </w:rPr>
            </w:pPr>
            <w:r>
              <w:rPr>
                <w:rFonts w:ascii="Arial" w:cs="Arial" w:eastAsia="Arial" w:hAnsi="Arial"/>
                <w:sz w:val="12"/>
                <w:szCs w:val="12"/>
                <w:color w:val="auto"/>
                <w:w w:val="89"/>
              </w:rPr>
              <w:t>9</w:t>
            </w: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18</w:t>
            </w:r>
          </w:p>
        </w:tc>
        <w:tc>
          <w:tcPr>
            <w:tcW w:w="680" w:type="dxa"/>
            <w:vAlign w:val="bottom"/>
          </w:tcPr>
          <w:p>
            <w:pPr>
              <w:jc w:val="right"/>
              <w:ind w:right="5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34" w:lineRule="exact"/>
              <w:rPr>
                <w:sz w:val="20"/>
                <w:szCs w:val="20"/>
                <w:color w:val="auto"/>
              </w:rPr>
            </w:pPr>
            <w:r>
              <w:rPr>
                <w:rFonts w:ascii="Arial" w:cs="Arial" w:eastAsia="Arial" w:hAnsi="Arial"/>
                <w:sz w:val="12"/>
                <w:szCs w:val="12"/>
                <w:color w:val="auto"/>
              </w:rPr>
              <w:t>14</w:t>
            </w:r>
          </w:p>
        </w:tc>
      </w:tr>
      <w:tr>
        <w:trPr>
          <w:trHeight w:val="186"/>
        </w:trPr>
        <w:tc>
          <w:tcPr>
            <w:tcW w:w="20" w:type="dxa"/>
            <w:vAlign w:val="bottom"/>
          </w:tcPr>
          <w:p>
            <w:pPr>
              <w:spacing w:after="0"/>
              <w:rPr>
                <w:sz w:val="16"/>
                <w:szCs w:val="16"/>
                <w:color w:val="auto"/>
              </w:rPr>
            </w:pPr>
          </w:p>
        </w:tc>
        <w:tc>
          <w:tcPr>
            <w:tcW w:w="448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spacing w:after="0"/>
              <w:rPr>
                <w:sz w:val="16"/>
                <w:szCs w:val="16"/>
                <w:color w:val="auto"/>
              </w:rPr>
            </w:pPr>
          </w:p>
        </w:tc>
      </w:tr>
      <w:tr>
        <w:trPr>
          <w:trHeight w:val="116"/>
        </w:trPr>
        <w:tc>
          <w:tcPr>
            <w:tcW w:w="20" w:type="dxa"/>
            <w:vAlign w:val="bottom"/>
          </w:tcPr>
          <w:p>
            <w:pPr>
              <w:spacing w:after="0"/>
              <w:rPr>
                <w:sz w:val="10"/>
                <w:szCs w:val="10"/>
                <w:color w:val="auto"/>
              </w:rPr>
            </w:pPr>
          </w:p>
        </w:tc>
        <w:tc>
          <w:tcPr>
            <w:tcW w:w="4480" w:type="dxa"/>
            <w:vAlign w:val="bottom"/>
            <w:shd w:val="clear" w:color="auto" w:fill="C0C0C0"/>
          </w:tcPr>
          <w:p>
            <w:pPr>
              <w:spacing w:after="0" w:line="117" w:lineRule="exact"/>
              <w:rPr>
                <w:sz w:val="20"/>
                <w:szCs w:val="20"/>
                <w:color w:val="auto"/>
              </w:rPr>
            </w:pPr>
            <w:r>
              <w:rPr>
                <w:rFonts w:ascii="Arial" w:cs="Arial" w:eastAsia="Arial" w:hAnsi="Arial"/>
                <w:sz w:val="12"/>
                <w:szCs w:val="12"/>
                <w:b w:val="1"/>
                <w:bCs w:val="1"/>
                <w:color w:val="auto"/>
              </w:rPr>
              <w:t>NET PERIODIC BENEFIT COST -- SDG&amp;E</w:t>
            </w:r>
          </w:p>
        </w:tc>
        <w:tc>
          <w:tcPr>
            <w:tcW w:w="240" w:type="dxa"/>
            <w:vAlign w:val="bottom"/>
            <w:shd w:val="clear" w:color="auto" w:fill="C0C0C0"/>
          </w:tcPr>
          <w:p>
            <w:pPr>
              <w:spacing w:after="0"/>
              <w:rPr>
                <w:sz w:val="10"/>
                <w:szCs w:val="10"/>
                <w:color w:val="auto"/>
              </w:rPr>
            </w:pPr>
          </w:p>
        </w:tc>
        <w:tc>
          <w:tcPr>
            <w:tcW w:w="1020" w:type="dxa"/>
            <w:vAlign w:val="bottom"/>
            <w:shd w:val="clear" w:color="auto" w:fill="C0C0C0"/>
          </w:tcPr>
          <w:p>
            <w:pPr>
              <w:spacing w:after="0"/>
              <w:rPr>
                <w:sz w:val="10"/>
                <w:szCs w:val="10"/>
                <w:color w:val="auto"/>
              </w:rPr>
            </w:pPr>
          </w:p>
        </w:tc>
        <w:tc>
          <w:tcPr>
            <w:tcW w:w="660" w:type="dxa"/>
            <w:vAlign w:val="bottom"/>
            <w:shd w:val="clear" w:color="auto" w:fill="C0C0C0"/>
          </w:tcPr>
          <w:p>
            <w:pPr>
              <w:spacing w:after="0"/>
              <w:rPr>
                <w:sz w:val="10"/>
                <w:szCs w:val="10"/>
                <w:color w:val="auto"/>
              </w:rPr>
            </w:pPr>
          </w:p>
        </w:tc>
        <w:tc>
          <w:tcPr>
            <w:tcW w:w="1140" w:type="dxa"/>
            <w:vAlign w:val="bottom"/>
            <w:shd w:val="clear" w:color="auto" w:fill="C0C0C0"/>
          </w:tcPr>
          <w:p>
            <w:pPr>
              <w:spacing w:after="0"/>
              <w:rPr>
                <w:sz w:val="10"/>
                <w:szCs w:val="10"/>
                <w:color w:val="auto"/>
              </w:rPr>
            </w:pPr>
          </w:p>
        </w:tc>
        <w:tc>
          <w:tcPr>
            <w:tcW w:w="420" w:type="dxa"/>
            <w:vAlign w:val="bottom"/>
            <w:shd w:val="clear" w:color="auto" w:fill="C0C0C0"/>
          </w:tcPr>
          <w:p>
            <w:pPr>
              <w:spacing w:after="0"/>
              <w:rPr>
                <w:sz w:val="10"/>
                <w:szCs w:val="10"/>
                <w:color w:val="auto"/>
              </w:rPr>
            </w:pPr>
          </w:p>
        </w:tc>
        <w:tc>
          <w:tcPr>
            <w:tcW w:w="120" w:type="dxa"/>
            <w:vAlign w:val="bottom"/>
            <w:shd w:val="clear" w:color="auto" w:fill="C0C0C0"/>
          </w:tcPr>
          <w:p>
            <w:pPr>
              <w:spacing w:after="0"/>
              <w:rPr>
                <w:sz w:val="10"/>
                <w:szCs w:val="10"/>
                <w:color w:val="auto"/>
              </w:rPr>
            </w:pPr>
          </w:p>
        </w:tc>
        <w:tc>
          <w:tcPr>
            <w:tcW w:w="340" w:type="dxa"/>
            <w:vAlign w:val="bottom"/>
            <w:shd w:val="clear" w:color="auto" w:fill="C0C0C0"/>
          </w:tcPr>
          <w:p>
            <w:pPr>
              <w:spacing w:after="0"/>
              <w:rPr>
                <w:sz w:val="10"/>
                <w:szCs w:val="10"/>
                <w:color w:val="auto"/>
              </w:rPr>
            </w:pPr>
          </w:p>
        </w:tc>
        <w:tc>
          <w:tcPr>
            <w:tcW w:w="1280" w:type="dxa"/>
            <w:vAlign w:val="bottom"/>
            <w:shd w:val="clear" w:color="auto" w:fill="C0C0C0"/>
          </w:tcPr>
          <w:p>
            <w:pPr>
              <w:spacing w:after="0"/>
              <w:rPr>
                <w:sz w:val="10"/>
                <w:szCs w:val="10"/>
                <w:color w:val="auto"/>
              </w:rPr>
            </w:pPr>
          </w:p>
        </w:tc>
        <w:tc>
          <w:tcPr>
            <w:tcW w:w="60" w:type="dxa"/>
            <w:vAlign w:val="bottom"/>
            <w:shd w:val="clear" w:color="auto" w:fill="C0C0C0"/>
          </w:tcPr>
          <w:p>
            <w:pPr>
              <w:spacing w:after="0"/>
              <w:rPr>
                <w:sz w:val="10"/>
                <w:szCs w:val="10"/>
                <w:color w:val="auto"/>
              </w:rPr>
            </w:pPr>
          </w:p>
        </w:tc>
        <w:tc>
          <w:tcPr>
            <w:tcW w:w="680" w:type="dxa"/>
            <w:vAlign w:val="bottom"/>
            <w:shd w:val="clear" w:color="auto" w:fill="C0C0C0"/>
          </w:tcPr>
          <w:p>
            <w:pPr>
              <w:spacing w:after="0"/>
              <w:rPr>
                <w:sz w:val="10"/>
                <w:szCs w:val="10"/>
                <w:color w:val="auto"/>
              </w:rPr>
            </w:pPr>
          </w:p>
        </w:tc>
        <w:tc>
          <w:tcPr>
            <w:tcW w:w="1000" w:type="dxa"/>
            <w:vAlign w:val="bottom"/>
            <w:shd w:val="clear" w:color="auto" w:fill="C0C0C0"/>
          </w:tcPr>
          <w:p>
            <w:pPr>
              <w:spacing w:after="0"/>
              <w:rPr>
                <w:sz w:val="10"/>
                <w:szCs w:val="10"/>
                <w:color w:val="auto"/>
              </w:rPr>
            </w:pPr>
          </w:p>
        </w:tc>
      </w:tr>
      <w:tr>
        <w:trPr>
          <w:trHeight w:val="132"/>
        </w:trPr>
        <w:tc>
          <w:tcPr>
            <w:tcW w:w="20" w:type="dxa"/>
            <w:vAlign w:val="bottom"/>
          </w:tcPr>
          <w:p>
            <w:pPr>
              <w:spacing w:after="0"/>
              <w:rPr>
                <w:sz w:val="11"/>
                <w:szCs w:val="11"/>
                <w:color w:val="auto"/>
              </w:rPr>
            </w:pPr>
          </w:p>
        </w:tc>
        <w:tc>
          <w:tcPr>
            <w:tcW w:w="4480" w:type="dxa"/>
            <w:vAlign w:val="bottom"/>
            <w:shd w:val="clear" w:color="auto" w:fill="C0C0C0"/>
          </w:tcPr>
          <w:p>
            <w:pPr>
              <w:spacing w:after="0"/>
              <w:rPr>
                <w:sz w:val="20"/>
                <w:szCs w:val="20"/>
                <w:color w:val="auto"/>
              </w:rPr>
            </w:pPr>
            <w:r>
              <w:rPr>
                <w:rFonts w:ascii="Arial" w:cs="Arial" w:eastAsia="Arial" w:hAnsi="Arial"/>
                <w:sz w:val="11"/>
                <w:szCs w:val="11"/>
                <w:i w:val="1"/>
                <w:iCs w:val="1"/>
                <w:color w:val="auto"/>
              </w:rPr>
              <w:t>(Dollars in millions)</w:t>
            </w:r>
          </w:p>
        </w:tc>
        <w:tc>
          <w:tcPr>
            <w:tcW w:w="240" w:type="dxa"/>
            <w:vAlign w:val="bottom"/>
            <w:shd w:val="clear" w:color="auto" w:fill="C0C0C0"/>
          </w:tcPr>
          <w:p>
            <w:pPr>
              <w:spacing w:after="0"/>
              <w:rPr>
                <w:sz w:val="11"/>
                <w:szCs w:val="11"/>
                <w:color w:val="auto"/>
              </w:rPr>
            </w:pPr>
          </w:p>
        </w:tc>
        <w:tc>
          <w:tcPr>
            <w:tcW w:w="1020" w:type="dxa"/>
            <w:vAlign w:val="bottom"/>
            <w:shd w:val="clear" w:color="auto" w:fill="C0C0C0"/>
          </w:tcPr>
          <w:p>
            <w:pPr>
              <w:spacing w:after="0"/>
              <w:rPr>
                <w:sz w:val="11"/>
                <w:szCs w:val="11"/>
                <w:color w:val="auto"/>
              </w:rPr>
            </w:pPr>
          </w:p>
        </w:tc>
        <w:tc>
          <w:tcPr>
            <w:tcW w:w="660" w:type="dxa"/>
            <w:vAlign w:val="bottom"/>
            <w:shd w:val="clear" w:color="auto" w:fill="C0C0C0"/>
          </w:tcPr>
          <w:p>
            <w:pPr>
              <w:spacing w:after="0"/>
              <w:rPr>
                <w:sz w:val="11"/>
                <w:szCs w:val="11"/>
                <w:color w:val="auto"/>
              </w:rPr>
            </w:pPr>
          </w:p>
        </w:tc>
        <w:tc>
          <w:tcPr>
            <w:tcW w:w="1140" w:type="dxa"/>
            <w:vAlign w:val="bottom"/>
            <w:shd w:val="clear" w:color="auto" w:fill="C0C0C0"/>
          </w:tcPr>
          <w:p>
            <w:pPr>
              <w:spacing w:after="0"/>
              <w:rPr>
                <w:sz w:val="11"/>
                <w:szCs w:val="11"/>
                <w:color w:val="auto"/>
              </w:rPr>
            </w:pPr>
          </w:p>
        </w:tc>
        <w:tc>
          <w:tcPr>
            <w:tcW w:w="420" w:type="dxa"/>
            <w:vAlign w:val="bottom"/>
            <w:shd w:val="clear" w:color="auto" w:fill="C0C0C0"/>
          </w:tcPr>
          <w:p>
            <w:pPr>
              <w:spacing w:after="0"/>
              <w:rPr>
                <w:sz w:val="11"/>
                <w:szCs w:val="11"/>
                <w:color w:val="auto"/>
              </w:rPr>
            </w:pPr>
          </w:p>
        </w:tc>
        <w:tc>
          <w:tcPr>
            <w:tcW w:w="120" w:type="dxa"/>
            <w:vAlign w:val="bottom"/>
            <w:shd w:val="clear" w:color="auto" w:fill="C0C0C0"/>
          </w:tcPr>
          <w:p>
            <w:pPr>
              <w:spacing w:after="0"/>
              <w:rPr>
                <w:sz w:val="11"/>
                <w:szCs w:val="11"/>
                <w:color w:val="auto"/>
              </w:rPr>
            </w:pPr>
          </w:p>
        </w:tc>
        <w:tc>
          <w:tcPr>
            <w:tcW w:w="340" w:type="dxa"/>
            <w:vAlign w:val="bottom"/>
            <w:shd w:val="clear" w:color="auto" w:fill="C0C0C0"/>
          </w:tcPr>
          <w:p>
            <w:pPr>
              <w:spacing w:after="0"/>
              <w:rPr>
                <w:sz w:val="11"/>
                <w:szCs w:val="11"/>
                <w:color w:val="auto"/>
              </w:rPr>
            </w:pPr>
          </w:p>
        </w:tc>
        <w:tc>
          <w:tcPr>
            <w:tcW w:w="1280" w:type="dxa"/>
            <w:vAlign w:val="bottom"/>
            <w:shd w:val="clear" w:color="auto" w:fill="C0C0C0"/>
          </w:tcPr>
          <w:p>
            <w:pPr>
              <w:spacing w:after="0"/>
              <w:rPr>
                <w:sz w:val="11"/>
                <w:szCs w:val="11"/>
                <w:color w:val="auto"/>
              </w:rPr>
            </w:pPr>
          </w:p>
        </w:tc>
        <w:tc>
          <w:tcPr>
            <w:tcW w:w="60" w:type="dxa"/>
            <w:vAlign w:val="bottom"/>
            <w:shd w:val="clear" w:color="auto" w:fill="C0C0C0"/>
          </w:tcPr>
          <w:p>
            <w:pPr>
              <w:spacing w:after="0"/>
              <w:rPr>
                <w:sz w:val="11"/>
                <w:szCs w:val="11"/>
                <w:color w:val="auto"/>
              </w:rPr>
            </w:pPr>
          </w:p>
        </w:tc>
        <w:tc>
          <w:tcPr>
            <w:tcW w:w="680" w:type="dxa"/>
            <w:vAlign w:val="bottom"/>
            <w:shd w:val="clear" w:color="auto" w:fill="C0C0C0"/>
          </w:tcPr>
          <w:p>
            <w:pPr>
              <w:spacing w:after="0"/>
              <w:rPr>
                <w:sz w:val="11"/>
                <w:szCs w:val="11"/>
                <w:color w:val="auto"/>
              </w:rPr>
            </w:pPr>
          </w:p>
        </w:tc>
        <w:tc>
          <w:tcPr>
            <w:tcW w:w="1000" w:type="dxa"/>
            <w:vAlign w:val="bottom"/>
            <w:shd w:val="clear" w:color="auto" w:fill="C0C0C0"/>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2"/>
          </w:tcPr>
          <w:p>
            <w:pPr>
              <w:jc w:val="right"/>
              <w:ind w:right="661"/>
              <w:spacing w:after="0" w:line="124" w:lineRule="exact"/>
              <w:rPr>
                <w:sz w:val="20"/>
                <w:szCs w:val="20"/>
                <w:color w:val="auto"/>
              </w:rPr>
            </w:pPr>
            <w:r>
              <w:rPr>
                <w:rFonts w:ascii="Arial" w:cs="Arial" w:eastAsia="Arial" w:hAnsi="Arial"/>
                <w:sz w:val="11"/>
                <w:szCs w:val="11"/>
                <w:color w:val="auto"/>
              </w:rPr>
              <w:t>Pension Benefits</w:t>
            </w: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gridSpan w:val="4"/>
          </w:tcPr>
          <w:p>
            <w:pPr>
              <w:jc w:val="right"/>
              <w:ind w:right="899"/>
              <w:spacing w:after="0" w:line="124" w:lineRule="exact"/>
              <w:rPr>
                <w:sz w:val="20"/>
                <w:szCs w:val="20"/>
                <w:color w:val="auto"/>
              </w:rPr>
            </w:pPr>
            <w:r>
              <w:rPr>
                <w:rFonts w:ascii="Arial" w:cs="Arial" w:eastAsia="Arial" w:hAnsi="Arial"/>
                <w:sz w:val="11"/>
                <w:szCs w:val="11"/>
                <w:color w:val="auto"/>
              </w:rPr>
              <w:t>Other Postretirement Benefits</w:t>
            </w:r>
          </w:p>
        </w:tc>
      </w:tr>
      <w:tr>
        <w:trPr>
          <w:trHeight w:val="125"/>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20" w:type="dxa"/>
            <w:vAlign w:val="bottom"/>
            <w:tcBorders>
              <w:bottom w:val="single" w:sz="8" w:color="auto"/>
            </w:tcBorders>
            <w:gridSpan w:val="3"/>
          </w:tcPr>
          <w:p>
            <w:pPr>
              <w:jc w:val="right"/>
              <w:ind w:right="321"/>
              <w:spacing w:after="0" w:line="124" w:lineRule="exact"/>
              <w:rPr>
                <w:sz w:val="20"/>
                <w:szCs w:val="20"/>
                <w:color w:val="auto"/>
              </w:rPr>
            </w:pPr>
            <w:r>
              <w:rPr>
                <w:rFonts w:ascii="Arial" w:cs="Arial" w:eastAsia="Arial" w:hAnsi="Arial"/>
                <w:sz w:val="11"/>
                <w:szCs w:val="11"/>
                <w:color w:val="auto"/>
              </w:rPr>
              <w:t>Three months ended March 31,</w:t>
            </w: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gridSpan w:val="4"/>
          </w:tcPr>
          <w:p>
            <w:pPr>
              <w:jc w:val="right"/>
              <w:ind w:right="859"/>
              <w:spacing w:after="0" w:line="124" w:lineRule="exact"/>
              <w:rPr>
                <w:sz w:val="20"/>
                <w:szCs w:val="20"/>
                <w:color w:val="auto"/>
              </w:rPr>
            </w:pPr>
            <w:r>
              <w:rPr>
                <w:rFonts w:ascii="Arial" w:cs="Arial" w:eastAsia="Arial" w:hAnsi="Arial"/>
                <w:sz w:val="11"/>
                <w:szCs w:val="11"/>
                <w:color w:val="auto"/>
              </w:rPr>
              <w:t>Three months ended March 31,</w:t>
            </w:r>
          </w:p>
        </w:tc>
      </w:tr>
      <w:tr>
        <w:trPr>
          <w:trHeight w:val="135"/>
        </w:trPr>
        <w:tc>
          <w:tcPr>
            <w:tcW w:w="20" w:type="dxa"/>
            <w:vAlign w:val="bottom"/>
          </w:tcPr>
          <w:p>
            <w:pPr>
              <w:spacing w:after="0"/>
              <w:rPr>
                <w:sz w:val="11"/>
                <w:szCs w:val="11"/>
                <w:color w:val="auto"/>
              </w:rPr>
            </w:pPr>
          </w:p>
        </w:tc>
        <w:tc>
          <w:tcPr>
            <w:tcW w:w="44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1"/>
                <w:szCs w:val="11"/>
                <w:color w:val="auto"/>
              </w:rPr>
              <w:t>2011</w:t>
            </w:r>
          </w:p>
        </w:tc>
        <w:tc>
          <w:tcPr>
            <w:tcW w:w="6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41"/>
              <w:spacing w:after="0"/>
              <w:rPr>
                <w:sz w:val="20"/>
                <w:szCs w:val="20"/>
                <w:color w:val="auto"/>
              </w:rPr>
            </w:pPr>
            <w:r>
              <w:rPr>
                <w:rFonts w:ascii="Arial" w:cs="Arial" w:eastAsia="Arial" w:hAnsi="Arial"/>
                <w:sz w:val="11"/>
                <w:szCs w:val="11"/>
                <w:color w:val="auto"/>
              </w:rPr>
              <w:t>2010</w:t>
            </w: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20"/>
              <w:spacing w:after="0"/>
              <w:rPr>
                <w:sz w:val="20"/>
                <w:szCs w:val="20"/>
                <w:color w:val="auto"/>
              </w:rPr>
            </w:pPr>
            <w:r>
              <w:rPr>
                <w:rFonts w:ascii="Arial" w:cs="Arial" w:eastAsia="Arial" w:hAnsi="Arial"/>
                <w:sz w:val="11"/>
                <w:szCs w:val="11"/>
                <w:color w:val="auto"/>
              </w:rPr>
              <w:t>2011</w:t>
            </w: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79"/>
              <w:spacing w:after="0"/>
              <w:rPr>
                <w:sz w:val="20"/>
                <w:szCs w:val="20"/>
                <w:color w:val="auto"/>
              </w:rPr>
            </w:pPr>
            <w:r>
              <w:rPr>
                <w:rFonts w:ascii="Arial" w:cs="Arial" w:eastAsia="Arial" w:hAnsi="Arial"/>
                <w:sz w:val="11"/>
                <w:szCs w:val="11"/>
                <w:color w:val="auto"/>
                <w:w w:val="97"/>
              </w:rPr>
              <w:t>2010</w:t>
            </w:r>
          </w:p>
        </w:tc>
      </w:tr>
      <w:tr>
        <w:trPr>
          <w:trHeight w:val="125"/>
        </w:trPr>
        <w:tc>
          <w:tcPr>
            <w:tcW w:w="20" w:type="dxa"/>
            <w:vAlign w:val="bottom"/>
          </w:tcPr>
          <w:p>
            <w:pPr>
              <w:spacing w:after="0"/>
              <w:rPr>
                <w:sz w:val="10"/>
                <w:szCs w:val="10"/>
                <w:color w:val="auto"/>
              </w:rPr>
            </w:pPr>
          </w:p>
        </w:tc>
        <w:tc>
          <w:tcPr>
            <w:tcW w:w="4480" w:type="dxa"/>
            <w:vAlign w:val="bottom"/>
          </w:tcPr>
          <w:p>
            <w:pPr>
              <w:spacing w:after="0" w:line="126" w:lineRule="exact"/>
              <w:rPr>
                <w:sz w:val="20"/>
                <w:szCs w:val="20"/>
                <w:color w:val="auto"/>
              </w:rPr>
            </w:pPr>
            <w:r>
              <w:rPr>
                <w:rFonts w:ascii="Arial" w:cs="Arial" w:eastAsia="Arial" w:hAnsi="Arial"/>
                <w:sz w:val="12"/>
                <w:szCs w:val="12"/>
                <w:color w:val="auto"/>
              </w:rPr>
              <w:t>Service cost</w:t>
            </w:r>
          </w:p>
        </w:tc>
        <w:tc>
          <w:tcPr>
            <w:tcW w:w="1260" w:type="dxa"/>
            <w:vAlign w:val="bottom"/>
            <w:gridSpan w:val="2"/>
          </w:tcPr>
          <w:p>
            <w:pPr>
              <w:jc w:val="right"/>
              <w:ind w:right="881"/>
              <w:spacing w:after="0" w:line="126"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26" w:lineRule="exact"/>
              <w:rPr>
                <w:sz w:val="20"/>
                <w:szCs w:val="20"/>
                <w:color w:val="auto"/>
              </w:rPr>
            </w:pPr>
            <w:r>
              <w:rPr>
                <w:rFonts w:ascii="Arial" w:cs="Arial" w:eastAsia="Arial" w:hAnsi="Arial"/>
                <w:sz w:val="12"/>
                <w:szCs w:val="12"/>
                <w:color w:val="auto"/>
              </w:rPr>
              <w:t>7</w:t>
            </w:r>
          </w:p>
        </w:tc>
        <w:tc>
          <w:tcPr>
            <w:tcW w:w="1140" w:type="dxa"/>
            <w:vAlign w:val="bottom"/>
          </w:tcPr>
          <w:p>
            <w:pPr>
              <w:jc w:val="right"/>
              <w:ind w:right="1001"/>
              <w:spacing w:after="0" w:line="126" w:lineRule="exact"/>
              <w:rPr>
                <w:sz w:val="20"/>
                <w:szCs w:val="20"/>
                <w:color w:val="auto"/>
              </w:rPr>
            </w:pPr>
            <w:r>
              <w:rPr>
                <w:rFonts w:ascii="Arial" w:cs="Arial" w:eastAsia="Arial" w:hAnsi="Arial"/>
                <w:sz w:val="12"/>
                <w:szCs w:val="12"/>
                <w:color w:val="auto"/>
                <w:w w:val="89"/>
              </w:rPr>
              <w:t>$</w:t>
            </w:r>
          </w:p>
        </w:tc>
        <w:tc>
          <w:tcPr>
            <w:tcW w:w="420" w:type="dxa"/>
            <w:vAlign w:val="bottom"/>
          </w:tcPr>
          <w:p>
            <w:pPr>
              <w:spacing w:after="0"/>
              <w:rPr>
                <w:sz w:val="10"/>
                <w:szCs w:val="10"/>
                <w:color w:val="auto"/>
              </w:rPr>
            </w:pPr>
          </w:p>
        </w:tc>
        <w:tc>
          <w:tcPr>
            <w:tcW w:w="120" w:type="dxa"/>
            <w:vAlign w:val="bottom"/>
          </w:tcPr>
          <w:p>
            <w:pPr>
              <w:jc w:val="right"/>
              <w:spacing w:after="0" w:line="126" w:lineRule="exact"/>
              <w:rPr>
                <w:sz w:val="20"/>
                <w:szCs w:val="20"/>
                <w:color w:val="auto"/>
              </w:rPr>
            </w:pPr>
            <w:r>
              <w:rPr>
                <w:rFonts w:ascii="Arial" w:cs="Arial" w:eastAsia="Arial" w:hAnsi="Arial"/>
                <w:sz w:val="12"/>
                <w:szCs w:val="12"/>
                <w:color w:val="auto"/>
                <w:w w:val="89"/>
              </w:rPr>
              <w:t>7</w:t>
            </w: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spacing w:after="0" w:line="126" w:lineRule="exact"/>
              <w:rPr>
                <w:sz w:val="20"/>
                <w:szCs w:val="20"/>
                <w:color w:val="auto"/>
              </w:rPr>
            </w:pPr>
            <w:r>
              <w:rPr>
                <w:rFonts w:ascii="Arial" w:cs="Arial" w:eastAsia="Arial" w:hAnsi="Arial"/>
                <w:sz w:val="12"/>
                <w:szCs w:val="12"/>
                <w:color w:val="auto"/>
              </w:rPr>
              <w:t>2</w:t>
            </w:r>
          </w:p>
        </w:tc>
        <w:tc>
          <w:tcPr>
            <w:tcW w:w="680" w:type="dxa"/>
            <w:vAlign w:val="bottom"/>
          </w:tcPr>
          <w:p>
            <w:pPr>
              <w:jc w:val="right"/>
              <w:ind w:right="5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26" w:lineRule="exact"/>
              <w:rPr>
                <w:sz w:val="20"/>
                <w:szCs w:val="20"/>
                <w:color w:val="auto"/>
              </w:rPr>
            </w:pPr>
            <w:r>
              <w:rPr>
                <w:rFonts w:ascii="Arial" w:cs="Arial" w:eastAsia="Arial" w:hAnsi="Arial"/>
                <w:sz w:val="12"/>
                <w:szCs w:val="12"/>
                <w:color w:val="auto"/>
              </w:rPr>
              <w:t>2</w:t>
            </w:r>
          </w:p>
        </w:tc>
      </w:tr>
      <w:tr>
        <w:trPr>
          <w:trHeight w:val="134"/>
        </w:trPr>
        <w:tc>
          <w:tcPr>
            <w:tcW w:w="4500" w:type="dxa"/>
            <w:vAlign w:val="bottom"/>
            <w:gridSpan w:val="2"/>
          </w:tcPr>
          <w:p>
            <w:pPr>
              <w:spacing w:after="0" w:line="134" w:lineRule="exact"/>
              <w:rPr>
                <w:sz w:val="20"/>
                <w:szCs w:val="20"/>
                <w:color w:val="auto"/>
              </w:rPr>
            </w:pPr>
            <w:r>
              <w:rPr>
                <w:rFonts w:ascii="Arial" w:cs="Arial" w:eastAsia="Arial" w:hAnsi="Arial"/>
                <w:sz w:val="12"/>
                <w:szCs w:val="12"/>
                <w:color w:val="auto"/>
              </w:rPr>
              <w:t>Interest cost</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jc w:val="right"/>
              <w:spacing w:after="0" w:line="134" w:lineRule="exact"/>
              <w:rPr>
                <w:sz w:val="20"/>
                <w:szCs w:val="20"/>
                <w:color w:val="auto"/>
              </w:rPr>
            </w:pPr>
            <w:r>
              <w:rPr>
                <w:rFonts w:ascii="Arial" w:cs="Arial" w:eastAsia="Arial" w:hAnsi="Arial"/>
                <w:sz w:val="12"/>
                <w:szCs w:val="12"/>
                <w:color w:val="auto"/>
              </w:rPr>
              <w:t>13</w:t>
            </w:r>
          </w:p>
        </w:tc>
        <w:tc>
          <w:tcPr>
            <w:tcW w:w="1140" w:type="dxa"/>
            <w:vAlign w:val="bottom"/>
          </w:tcPr>
          <w:p>
            <w:pPr>
              <w:spacing w:after="0"/>
              <w:rPr>
                <w:sz w:val="11"/>
                <w:szCs w:val="11"/>
                <w:color w:val="auto"/>
              </w:rPr>
            </w:pPr>
          </w:p>
        </w:tc>
        <w:tc>
          <w:tcPr>
            <w:tcW w:w="5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12</w:t>
            </w:r>
          </w:p>
        </w:tc>
        <w:tc>
          <w:tcPr>
            <w:tcW w:w="340" w:type="dxa"/>
            <w:vAlign w:val="bottom"/>
          </w:tcPr>
          <w:p>
            <w:pPr>
              <w:spacing w:after="0"/>
              <w:rPr>
                <w:sz w:val="11"/>
                <w:szCs w:val="11"/>
                <w:color w:val="auto"/>
              </w:rPr>
            </w:pPr>
          </w:p>
        </w:tc>
        <w:tc>
          <w:tcPr>
            <w:tcW w:w="13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2</w:t>
            </w:r>
          </w:p>
        </w:tc>
        <w:tc>
          <w:tcPr>
            <w:tcW w:w="68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r>
      <w:tr>
        <w:trPr>
          <w:trHeight w:val="134"/>
        </w:trPr>
        <w:tc>
          <w:tcPr>
            <w:tcW w:w="4500" w:type="dxa"/>
            <w:vAlign w:val="bottom"/>
            <w:gridSpan w:val="2"/>
          </w:tcPr>
          <w:p>
            <w:pPr>
              <w:spacing w:after="0" w:line="134" w:lineRule="exact"/>
              <w:rPr>
                <w:sz w:val="20"/>
                <w:szCs w:val="20"/>
                <w:color w:val="auto"/>
              </w:rPr>
            </w:pPr>
            <w:r>
              <w:rPr>
                <w:rFonts w:ascii="Arial" w:cs="Arial" w:eastAsia="Arial" w:hAnsi="Arial"/>
                <w:sz w:val="12"/>
                <w:szCs w:val="12"/>
                <w:color w:val="auto"/>
              </w:rPr>
              <w:t>Expected return on assets</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jc w:val="right"/>
              <w:spacing w:after="0" w:line="134" w:lineRule="exact"/>
              <w:rPr>
                <w:sz w:val="20"/>
                <w:szCs w:val="20"/>
                <w:color w:val="auto"/>
              </w:rPr>
            </w:pPr>
            <w:r>
              <w:rPr>
                <w:rFonts w:ascii="Arial" w:cs="Arial" w:eastAsia="Arial" w:hAnsi="Arial"/>
                <w:sz w:val="12"/>
                <w:szCs w:val="12"/>
                <w:color w:val="auto"/>
              </w:rPr>
              <w:t>(12)</w:t>
            </w:r>
          </w:p>
        </w:tc>
        <w:tc>
          <w:tcPr>
            <w:tcW w:w="1140" w:type="dxa"/>
            <w:vAlign w:val="bottom"/>
          </w:tcPr>
          <w:p>
            <w:pPr>
              <w:spacing w:after="0"/>
              <w:rPr>
                <w:sz w:val="11"/>
                <w:szCs w:val="11"/>
                <w:color w:val="auto"/>
              </w:rPr>
            </w:pPr>
          </w:p>
        </w:tc>
        <w:tc>
          <w:tcPr>
            <w:tcW w:w="5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(10)</w:t>
            </w:r>
          </w:p>
        </w:tc>
        <w:tc>
          <w:tcPr>
            <w:tcW w:w="340" w:type="dxa"/>
            <w:vAlign w:val="bottom"/>
          </w:tcPr>
          <w:p>
            <w:pPr>
              <w:spacing w:after="0"/>
              <w:rPr>
                <w:sz w:val="11"/>
                <w:szCs w:val="11"/>
                <w:color w:val="auto"/>
              </w:rPr>
            </w:pPr>
          </w:p>
        </w:tc>
        <w:tc>
          <w:tcPr>
            <w:tcW w:w="13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(2)</w:t>
            </w:r>
          </w:p>
        </w:tc>
        <w:tc>
          <w:tcPr>
            <w:tcW w:w="68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r>
      <w:tr>
        <w:trPr>
          <w:trHeight w:val="134"/>
        </w:trPr>
        <w:tc>
          <w:tcPr>
            <w:tcW w:w="4500" w:type="dxa"/>
            <w:vAlign w:val="bottom"/>
            <w:gridSpan w:val="2"/>
          </w:tcPr>
          <w:p>
            <w:pPr>
              <w:spacing w:after="0" w:line="134" w:lineRule="exact"/>
              <w:rPr>
                <w:sz w:val="20"/>
                <w:szCs w:val="20"/>
                <w:color w:val="auto"/>
              </w:rPr>
            </w:pPr>
            <w:r>
              <w:rPr>
                <w:rFonts w:ascii="Arial" w:cs="Arial" w:eastAsia="Arial" w:hAnsi="Arial"/>
                <w:sz w:val="12"/>
                <w:szCs w:val="12"/>
                <w:color w:val="auto"/>
              </w:rPr>
              <w:t>Amortization of:</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4480" w:type="dxa"/>
            <w:vAlign w:val="bottom"/>
          </w:tcPr>
          <w:p>
            <w:pPr>
              <w:ind w:left="120"/>
              <w:spacing w:after="0" w:line="134" w:lineRule="exact"/>
              <w:rPr>
                <w:sz w:val="20"/>
                <w:szCs w:val="20"/>
                <w:color w:val="auto"/>
              </w:rPr>
            </w:pPr>
            <w:r>
              <w:rPr>
                <w:rFonts w:ascii="Arial" w:cs="Arial" w:eastAsia="Arial" w:hAnsi="Arial"/>
                <w:sz w:val="12"/>
                <w:szCs w:val="12"/>
                <w:color w:val="auto"/>
              </w:rPr>
              <w:t>Prior service cost</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jc w:val="right"/>
              <w:spacing w:after="0" w:line="134" w:lineRule="exact"/>
              <w:rPr>
                <w:sz w:val="20"/>
                <w:szCs w:val="20"/>
                <w:color w:val="auto"/>
              </w:rPr>
            </w:pPr>
            <w:r>
              <w:rPr>
                <w:rFonts w:ascii="Arial" w:cs="Arial" w:eastAsia="Arial" w:hAnsi="Arial"/>
                <w:sz w:val="12"/>
                <w:szCs w:val="12"/>
                <w:color w:val="auto"/>
                <w:w w:val="89"/>
              </w:rPr>
              <w:t>1</w:t>
            </w:r>
          </w:p>
        </w:tc>
        <w:tc>
          <w:tcPr>
            <w:tcW w:w="340" w:type="dxa"/>
            <w:vAlign w:val="bottom"/>
          </w:tcPr>
          <w:p>
            <w:pPr>
              <w:spacing w:after="0"/>
              <w:rPr>
                <w:sz w:val="11"/>
                <w:szCs w:val="11"/>
                <w:color w:val="auto"/>
              </w:rPr>
            </w:pPr>
          </w:p>
        </w:tc>
        <w:tc>
          <w:tcPr>
            <w:tcW w:w="13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1</w:t>
            </w:r>
          </w:p>
        </w:tc>
        <w:tc>
          <w:tcPr>
            <w:tcW w:w="68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r>
      <w:tr>
        <w:trPr>
          <w:trHeight w:val="134"/>
        </w:trPr>
        <w:tc>
          <w:tcPr>
            <w:tcW w:w="20" w:type="dxa"/>
            <w:vAlign w:val="bottom"/>
          </w:tcPr>
          <w:p>
            <w:pPr>
              <w:spacing w:after="0"/>
              <w:rPr>
                <w:sz w:val="11"/>
                <w:szCs w:val="11"/>
                <w:color w:val="auto"/>
              </w:rPr>
            </w:pPr>
          </w:p>
        </w:tc>
        <w:tc>
          <w:tcPr>
            <w:tcW w:w="4480" w:type="dxa"/>
            <w:vAlign w:val="bottom"/>
          </w:tcPr>
          <w:p>
            <w:pPr>
              <w:ind w:left="120"/>
              <w:spacing w:after="0" w:line="134" w:lineRule="exact"/>
              <w:rPr>
                <w:sz w:val="20"/>
                <w:szCs w:val="20"/>
                <w:color w:val="auto"/>
              </w:rPr>
            </w:pPr>
            <w:r>
              <w:rPr>
                <w:rFonts w:ascii="Arial" w:cs="Arial" w:eastAsia="Arial" w:hAnsi="Arial"/>
                <w:sz w:val="12"/>
                <w:szCs w:val="12"/>
                <w:color w:val="auto"/>
              </w:rPr>
              <w:t>Actuarial loss</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jc w:val="right"/>
              <w:spacing w:after="0" w:line="134" w:lineRule="exact"/>
              <w:rPr>
                <w:sz w:val="20"/>
                <w:szCs w:val="20"/>
                <w:color w:val="auto"/>
              </w:rPr>
            </w:pPr>
            <w:r>
              <w:rPr>
                <w:rFonts w:ascii="Arial" w:cs="Arial" w:eastAsia="Arial" w:hAnsi="Arial"/>
                <w:sz w:val="12"/>
                <w:szCs w:val="12"/>
                <w:color w:val="auto"/>
                <w:w w:val="89"/>
              </w:rPr>
              <w:t>3</w:t>
            </w:r>
          </w:p>
        </w:tc>
        <w:tc>
          <w:tcPr>
            <w:tcW w:w="340" w:type="dxa"/>
            <w:vAlign w:val="bottom"/>
          </w:tcPr>
          <w:p>
            <w:pPr>
              <w:spacing w:after="0"/>
              <w:rPr>
                <w:sz w:val="11"/>
                <w:szCs w:val="11"/>
                <w:color w:val="auto"/>
              </w:rPr>
            </w:pPr>
          </w:p>
        </w:tc>
        <w:tc>
          <w:tcPr>
            <w:tcW w:w="13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w:t>
            </w:r>
          </w:p>
        </w:tc>
        <w:tc>
          <w:tcPr>
            <w:tcW w:w="68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r>
      <w:tr>
        <w:trPr>
          <w:trHeight w:val="144"/>
        </w:trPr>
        <w:tc>
          <w:tcPr>
            <w:tcW w:w="4500" w:type="dxa"/>
            <w:vAlign w:val="bottom"/>
            <w:gridSpan w:val="2"/>
          </w:tcPr>
          <w:p>
            <w:pPr>
              <w:spacing w:after="0"/>
              <w:rPr>
                <w:sz w:val="20"/>
                <w:szCs w:val="20"/>
                <w:color w:val="auto"/>
              </w:rPr>
            </w:pPr>
            <w:r>
              <w:rPr>
                <w:rFonts w:ascii="Arial" w:cs="Arial" w:eastAsia="Arial" w:hAnsi="Arial"/>
                <w:sz w:val="12"/>
                <w:szCs w:val="12"/>
                <w:color w:val="auto"/>
              </w:rPr>
              <w:t>Regulatory adjustment</w:t>
            </w:r>
          </w:p>
        </w:tc>
        <w:tc>
          <w:tcPr>
            <w:tcW w:w="24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1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(12)</w:t>
            </w:r>
          </w:p>
        </w:tc>
        <w:tc>
          <w:tcPr>
            <w:tcW w:w="3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w:t>
            </w:r>
          </w:p>
        </w:tc>
        <w:tc>
          <w:tcPr>
            <w:tcW w:w="6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r>
      <w:tr>
        <w:trPr>
          <w:trHeight w:val="135"/>
        </w:trPr>
        <w:tc>
          <w:tcPr>
            <w:tcW w:w="4500" w:type="dxa"/>
            <w:vAlign w:val="bottom"/>
            <w:gridSpan w:val="2"/>
          </w:tcPr>
          <w:p>
            <w:pPr>
              <w:spacing w:after="0" w:line="134" w:lineRule="exact"/>
              <w:rPr>
                <w:sz w:val="20"/>
                <w:szCs w:val="20"/>
                <w:color w:val="auto"/>
              </w:rPr>
            </w:pPr>
            <w:r>
              <w:rPr>
                <w:rFonts w:ascii="Arial" w:cs="Arial" w:eastAsia="Arial" w:hAnsi="Arial"/>
                <w:sz w:val="12"/>
                <w:szCs w:val="12"/>
                <w:color w:val="auto"/>
              </w:rPr>
              <w:t>Total net periodic benefit cost</w:t>
            </w:r>
          </w:p>
        </w:tc>
        <w:tc>
          <w:tcPr>
            <w:tcW w:w="240" w:type="dxa"/>
            <w:vAlign w:val="bottom"/>
          </w:tcPr>
          <w:p>
            <w:pPr>
              <w:spacing w:after="0"/>
              <w:rPr>
                <w:sz w:val="11"/>
                <w:szCs w:val="11"/>
                <w:color w:val="auto"/>
              </w:rPr>
            </w:pPr>
          </w:p>
        </w:tc>
        <w:tc>
          <w:tcPr>
            <w:tcW w:w="1020" w:type="dxa"/>
            <w:vAlign w:val="bottom"/>
          </w:tcPr>
          <w:p>
            <w:pPr>
              <w:jc w:val="right"/>
              <w:ind w:right="881"/>
              <w:spacing w:after="0" w:line="134" w:lineRule="exact"/>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c>
          <w:tcPr>
            <w:tcW w:w="1140" w:type="dxa"/>
            <w:vAlign w:val="bottom"/>
          </w:tcPr>
          <w:p>
            <w:pPr>
              <w:jc w:val="right"/>
              <w:ind w:right="1001"/>
              <w:spacing w:after="0" w:line="134" w:lineRule="exact"/>
              <w:rPr>
                <w:sz w:val="20"/>
                <w:szCs w:val="20"/>
                <w:color w:val="auto"/>
              </w:rPr>
            </w:pPr>
            <w:r>
              <w:rPr>
                <w:rFonts w:ascii="Arial" w:cs="Arial" w:eastAsia="Arial" w:hAnsi="Arial"/>
                <w:sz w:val="12"/>
                <w:szCs w:val="12"/>
                <w:color w:val="auto"/>
                <w:w w:val="89"/>
              </w:rPr>
              <w:t>$</w:t>
            </w:r>
          </w:p>
        </w:tc>
        <w:tc>
          <w:tcPr>
            <w:tcW w:w="420" w:type="dxa"/>
            <w:vAlign w:val="bottom"/>
          </w:tcPr>
          <w:p>
            <w:pPr>
              <w:spacing w:after="0"/>
              <w:rPr>
                <w:sz w:val="11"/>
                <w:szCs w:val="11"/>
                <w:color w:val="auto"/>
              </w:rPr>
            </w:pPr>
          </w:p>
        </w:tc>
        <w:tc>
          <w:tcPr>
            <w:tcW w:w="120" w:type="dxa"/>
            <w:vAlign w:val="bottom"/>
          </w:tcPr>
          <w:p>
            <w:pPr>
              <w:jc w:val="right"/>
              <w:spacing w:after="0" w:line="134" w:lineRule="exact"/>
              <w:rPr>
                <w:sz w:val="20"/>
                <w:szCs w:val="20"/>
                <w:color w:val="auto"/>
              </w:rPr>
            </w:pPr>
            <w:r>
              <w:rPr>
                <w:rFonts w:ascii="Arial" w:cs="Arial" w:eastAsia="Arial" w:hAnsi="Arial"/>
                <w:sz w:val="12"/>
                <w:szCs w:val="12"/>
                <w:color w:val="auto"/>
                <w:w w:val="89"/>
              </w:rPr>
              <w:t>1</w:t>
            </w: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4</w:t>
            </w:r>
          </w:p>
        </w:tc>
        <w:tc>
          <w:tcPr>
            <w:tcW w:w="680" w:type="dxa"/>
            <w:vAlign w:val="bottom"/>
          </w:tcPr>
          <w:p>
            <w:pPr>
              <w:jc w:val="right"/>
              <w:ind w:right="56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34" w:lineRule="exact"/>
              <w:rPr>
                <w:sz w:val="20"/>
                <w:szCs w:val="20"/>
                <w:color w:val="auto"/>
              </w:rPr>
            </w:pPr>
            <w:r>
              <w:rPr>
                <w:rFonts w:ascii="Arial" w:cs="Arial" w:eastAsia="Arial" w:hAnsi="Arial"/>
                <w:sz w:val="12"/>
                <w:szCs w:val="12"/>
                <w:color w:val="auto"/>
              </w:rPr>
              <w:t>4</w:t>
            </w:r>
          </w:p>
        </w:tc>
      </w:tr>
      <w:tr>
        <w:trPr>
          <w:trHeight w:val="186"/>
        </w:trPr>
        <w:tc>
          <w:tcPr>
            <w:tcW w:w="20" w:type="dxa"/>
            <w:vAlign w:val="bottom"/>
          </w:tcPr>
          <w:p>
            <w:pPr>
              <w:spacing w:after="0"/>
              <w:rPr>
                <w:sz w:val="16"/>
                <w:szCs w:val="16"/>
                <w:color w:val="auto"/>
              </w:rPr>
            </w:pPr>
          </w:p>
        </w:tc>
        <w:tc>
          <w:tcPr>
            <w:tcW w:w="448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spacing w:after="0"/>
              <w:rPr>
                <w:sz w:val="16"/>
                <w:szCs w:val="16"/>
                <w:color w:val="auto"/>
              </w:rPr>
            </w:pPr>
          </w:p>
        </w:tc>
      </w:tr>
      <w:tr>
        <w:trPr>
          <w:trHeight w:val="116"/>
        </w:trPr>
        <w:tc>
          <w:tcPr>
            <w:tcW w:w="20" w:type="dxa"/>
            <w:vAlign w:val="bottom"/>
          </w:tcPr>
          <w:p>
            <w:pPr>
              <w:spacing w:after="0"/>
              <w:rPr>
                <w:sz w:val="10"/>
                <w:szCs w:val="10"/>
                <w:color w:val="auto"/>
              </w:rPr>
            </w:pPr>
          </w:p>
        </w:tc>
        <w:tc>
          <w:tcPr>
            <w:tcW w:w="4480" w:type="dxa"/>
            <w:vAlign w:val="bottom"/>
            <w:shd w:val="clear" w:color="auto" w:fill="C0C0C0"/>
          </w:tcPr>
          <w:p>
            <w:pPr>
              <w:spacing w:after="0" w:line="117" w:lineRule="exact"/>
              <w:rPr>
                <w:sz w:val="20"/>
                <w:szCs w:val="20"/>
                <w:color w:val="auto"/>
              </w:rPr>
            </w:pPr>
            <w:r>
              <w:rPr>
                <w:rFonts w:ascii="Arial" w:cs="Arial" w:eastAsia="Arial" w:hAnsi="Arial"/>
                <w:sz w:val="12"/>
                <w:szCs w:val="12"/>
                <w:b w:val="1"/>
                <w:bCs w:val="1"/>
                <w:color w:val="auto"/>
              </w:rPr>
              <w:t>NET PERIODIC BENEFIT COST -- SOCALGAS</w:t>
            </w:r>
          </w:p>
        </w:tc>
        <w:tc>
          <w:tcPr>
            <w:tcW w:w="240" w:type="dxa"/>
            <w:vAlign w:val="bottom"/>
            <w:shd w:val="clear" w:color="auto" w:fill="C0C0C0"/>
          </w:tcPr>
          <w:p>
            <w:pPr>
              <w:spacing w:after="0"/>
              <w:rPr>
                <w:sz w:val="10"/>
                <w:szCs w:val="10"/>
                <w:color w:val="auto"/>
              </w:rPr>
            </w:pPr>
          </w:p>
        </w:tc>
        <w:tc>
          <w:tcPr>
            <w:tcW w:w="1020" w:type="dxa"/>
            <w:vAlign w:val="bottom"/>
            <w:shd w:val="clear" w:color="auto" w:fill="C0C0C0"/>
          </w:tcPr>
          <w:p>
            <w:pPr>
              <w:spacing w:after="0"/>
              <w:rPr>
                <w:sz w:val="10"/>
                <w:szCs w:val="10"/>
                <w:color w:val="auto"/>
              </w:rPr>
            </w:pPr>
          </w:p>
        </w:tc>
        <w:tc>
          <w:tcPr>
            <w:tcW w:w="660" w:type="dxa"/>
            <w:vAlign w:val="bottom"/>
            <w:shd w:val="clear" w:color="auto" w:fill="C0C0C0"/>
          </w:tcPr>
          <w:p>
            <w:pPr>
              <w:spacing w:after="0"/>
              <w:rPr>
                <w:sz w:val="10"/>
                <w:szCs w:val="10"/>
                <w:color w:val="auto"/>
              </w:rPr>
            </w:pPr>
          </w:p>
        </w:tc>
        <w:tc>
          <w:tcPr>
            <w:tcW w:w="1140" w:type="dxa"/>
            <w:vAlign w:val="bottom"/>
            <w:shd w:val="clear" w:color="auto" w:fill="C0C0C0"/>
          </w:tcPr>
          <w:p>
            <w:pPr>
              <w:spacing w:after="0"/>
              <w:rPr>
                <w:sz w:val="10"/>
                <w:szCs w:val="10"/>
                <w:color w:val="auto"/>
              </w:rPr>
            </w:pPr>
          </w:p>
        </w:tc>
        <w:tc>
          <w:tcPr>
            <w:tcW w:w="420" w:type="dxa"/>
            <w:vAlign w:val="bottom"/>
            <w:shd w:val="clear" w:color="auto" w:fill="C0C0C0"/>
          </w:tcPr>
          <w:p>
            <w:pPr>
              <w:spacing w:after="0"/>
              <w:rPr>
                <w:sz w:val="10"/>
                <w:szCs w:val="10"/>
                <w:color w:val="auto"/>
              </w:rPr>
            </w:pPr>
          </w:p>
        </w:tc>
        <w:tc>
          <w:tcPr>
            <w:tcW w:w="120" w:type="dxa"/>
            <w:vAlign w:val="bottom"/>
            <w:shd w:val="clear" w:color="auto" w:fill="C0C0C0"/>
          </w:tcPr>
          <w:p>
            <w:pPr>
              <w:spacing w:after="0"/>
              <w:rPr>
                <w:sz w:val="10"/>
                <w:szCs w:val="10"/>
                <w:color w:val="auto"/>
              </w:rPr>
            </w:pPr>
          </w:p>
        </w:tc>
        <w:tc>
          <w:tcPr>
            <w:tcW w:w="340" w:type="dxa"/>
            <w:vAlign w:val="bottom"/>
            <w:shd w:val="clear" w:color="auto" w:fill="C0C0C0"/>
          </w:tcPr>
          <w:p>
            <w:pPr>
              <w:spacing w:after="0"/>
              <w:rPr>
                <w:sz w:val="10"/>
                <w:szCs w:val="10"/>
                <w:color w:val="auto"/>
              </w:rPr>
            </w:pPr>
          </w:p>
        </w:tc>
        <w:tc>
          <w:tcPr>
            <w:tcW w:w="1280" w:type="dxa"/>
            <w:vAlign w:val="bottom"/>
            <w:shd w:val="clear" w:color="auto" w:fill="C0C0C0"/>
          </w:tcPr>
          <w:p>
            <w:pPr>
              <w:spacing w:after="0"/>
              <w:rPr>
                <w:sz w:val="10"/>
                <w:szCs w:val="10"/>
                <w:color w:val="auto"/>
              </w:rPr>
            </w:pPr>
          </w:p>
        </w:tc>
        <w:tc>
          <w:tcPr>
            <w:tcW w:w="60" w:type="dxa"/>
            <w:vAlign w:val="bottom"/>
            <w:shd w:val="clear" w:color="auto" w:fill="C0C0C0"/>
          </w:tcPr>
          <w:p>
            <w:pPr>
              <w:spacing w:after="0"/>
              <w:rPr>
                <w:sz w:val="10"/>
                <w:szCs w:val="10"/>
                <w:color w:val="auto"/>
              </w:rPr>
            </w:pPr>
          </w:p>
        </w:tc>
        <w:tc>
          <w:tcPr>
            <w:tcW w:w="680" w:type="dxa"/>
            <w:vAlign w:val="bottom"/>
            <w:shd w:val="clear" w:color="auto" w:fill="C0C0C0"/>
          </w:tcPr>
          <w:p>
            <w:pPr>
              <w:spacing w:after="0"/>
              <w:rPr>
                <w:sz w:val="10"/>
                <w:szCs w:val="10"/>
                <w:color w:val="auto"/>
              </w:rPr>
            </w:pPr>
          </w:p>
        </w:tc>
        <w:tc>
          <w:tcPr>
            <w:tcW w:w="1000" w:type="dxa"/>
            <w:vAlign w:val="bottom"/>
            <w:shd w:val="clear" w:color="auto" w:fill="C0C0C0"/>
          </w:tcPr>
          <w:p>
            <w:pPr>
              <w:spacing w:after="0"/>
              <w:rPr>
                <w:sz w:val="10"/>
                <w:szCs w:val="10"/>
                <w:color w:val="auto"/>
              </w:rPr>
            </w:pPr>
          </w:p>
        </w:tc>
      </w:tr>
      <w:tr>
        <w:trPr>
          <w:trHeight w:val="132"/>
        </w:trPr>
        <w:tc>
          <w:tcPr>
            <w:tcW w:w="20" w:type="dxa"/>
            <w:vAlign w:val="bottom"/>
          </w:tcPr>
          <w:p>
            <w:pPr>
              <w:spacing w:after="0"/>
              <w:rPr>
                <w:sz w:val="11"/>
                <w:szCs w:val="11"/>
                <w:color w:val="auto"/>
              </w:rPr>
            </w:pPr>
          </w:p>
        </w:tc>
        <w:tc>
          <w:tcPr>
            <w:tcW w:w="4480" w:type="dxa"/>
            <w:vAlign w:val="bottom"/>
            <w:shd w:val="clear" w:color="auto" w:fill="C0C0C0"/>
          </w:tcPr>
          <w:p>
            <w:pPr>
              <w:spacing w:after="0"/>
              <w:rPr>
                <w:sz w:val="20"/>
                <w:szCs w:val="20"/>
                <w:color w:val="auto"/>
              </w:rPr>
            </w:pPr>
            <w:r>
              <w:rPr>
                <w:rFonts w:ascii="Arial" w:cs="Arial" w:eastAsia="Arial" w:hAnsi="Arial"/>
                <w:sz w:val="11"/>
                <w:szCs w:val="11"/>
                <w:i w:val="1"/>
                <w:iCs w:val="1"/>
                <w:color w:val="auto"/>
              </w:rPr>
              <w:t>(Dollars in millions)</w:t>
            </w:r>
          </w:p>
        </w:tc>
        <w:tc>
          <w:tcPr>
            <w:tcW w:w="240" w:type="dxa"/>
            <w:vAlign w:val="bottom"/>
            <w:shd w:val="clear" w:color="auto" w:fill="C0C0C0"/>
          </w:tcPr>
          <w:p>
            <w:pPr>
              <w:spacing w:after="0"/>
              <w:rPr>
                <w:sz w:val="11"/>
                <w:szCs w:val="11"/>
                <w:color w:val="auto"/>
              </w:rPr>
            </w:pPr>
          </w:p>
        </w:tc>
        <w:tc>
          <w:tcPr>
            <w:tcW w:w="1020" w:type="dxa"/>
            <w:vAlign w:val="bottom"/>
            <w:shd w:val="clear" w:color="auto" w:fill="C0C0C0"/>
          </w:tcPr>
          <w:p>
            <w:pPr>
              <w:spacing w:after="0"/>
              <w:rPr>
                <w:sz w:val="11"/>
                <w:szCs w:val="11"/>
                <w:color w:val="auto"/>
              </w:rPr>
            </w:pPr>
          </w:p>
        </w:tc>
        <w:tc>
          <w:tcPr>
            <w:tcW w:w="660" w:type="dxa"/>
            <w:vAlign w:val="bottom"/>
            <w:shd w:val="clear" w:color="auto" w:fill="C0C0C0"/>
          </w:tcPr>
          <w:p>
            <w:pPr>
              <w:spacing w:after="0"/>
              <w:rPr>
                <w:sz w:val="11"/>
                <w:szCs w:val="11"/>
                <w:color w:val="auto"/>
              </w:rPr>
            </w:pPr>
          </w:p>
        </w:tc>
        <w:tc>
          <w:tcPr>
            <w:tcW w:w="1140" w:type="dxa"/>
            <w:vAlign w:val="bottom"/>
            <w:shd w:val="clear" w:color="auto" w:fill="C0C0C0"/>
          </w:tcPr>
          <w:p>
            <w:pPr>
              <w:spacing w:after="0"/>
              <w:rPr>
                <w:sz w:val="11"/>
                <w:szCs w:val="11"/>
                <w:color w:val="auto"/>
              </w:rPr>
            </w:pPr>
          </w:p>
        </w:tc>
        <w:tc>
          <w:tcPr>
            <w:tcW w:w="420" w:type="dxa"/>
            <w:vAlign w:val="bottom"/>
            <w:shd w:val="clear" w:color="auto" w:fill="C0C0C0"/>
          </w:tcPr>
          <w:p>
            <w:pPr>
              <w:spacing w:after="0"/>
              <w:rPr>
                <w:sz w:val="11"/>
                <w:szCs w:val="11"/>
                <w:color w:val="auto"/>
              </w:rPr>
            </w:pPr>
          </w:p>
        </w:tc>
        <w:tc>
          <w:tcPr>
            <w:tcW w:w="120" w:type="dxa"/>
            <w:vAlign w:val="bottom"/>
            <w:shd w:val="clear" w:color="auto" w:fill="C0C0C0"/>
          </w:tcPr>
          <w:p>
            <w:pPr>
              <w:spacing w:after="0"/>
              <w:rPr>
                <w:sz w:val="11"/>
                <w:szCs w:val="11"/>
                <w:color w:val="auto"/>
              </w:rPr>
            </w:pPr>
          </w:p>
        </w:tc>
        <w:tc>
          <w:tcPr>
            <w:tcW w:w="340" w:type="dxa"/>
            <w:vAlign w:val="bottom"/>
            <w:shd w:val="clear" w:color="auto" w:fill="C0C0C0"/>
          </w:tcPr>
          <w:p>
            <w:pPr>
              <w:spacing w:after="0"/>
              <w:rPr>
                <w:sz w:val="11"/>
                <w:szCs w:val="11"/>
                <w:color w:val="auto"/>
              </w:rPr>
            </w:pPr>
          </w:p>
        </w:tc>
        <w:tc>
          <w:tcPr>
            <w:tcW w:w="1280" w:type="dxa"/>
            <w:vAlign w:val="bottom"/>
            <w:shd w:val="clear" w:color="auto" w:fill="C0C0C0"/>
          </w:tcPr>
          <w:p>
            <w:pPr>
              <w:spacing w:after="0"/>
              <w:rPr>
                <w:sz w:val="11"/>
                <w:szCs w:val="11"/>
                <w:color w:val="auto"/>
              </w:rPr>
            </w:pPr>
          </w:p>
        </w:tc>
        <w:tc>
          <w:tcPr>
            <w:tcW w:w="60" w:type="dxa"/>
            <w:vAlign w:val="bottom"/>
            <w:shd w:val="clear" w:color="auto" w:fill="C0C0C0"/>
          </w:tcPr>
          <w:p>
            <w:pPr>
              <w:spacing w:after="0"/>
              <w:rPr>
                <w:sz w:val="11"/>
                <w:szCs w:val="11"/>
                <w:color w:val="auto"/>
              </w:rPr>
            </w:pPr>
          </w:p>
        </w:tc>
        <w:tc>
          <w:tcPr>
            <w:tcW w:w="680" w:type="dxa"/>
            <w:vAlign w:val="bottom"/>
            <w:shd w:val="clear" w:color="auto" w:fill="C0C0C0"/>
          </w:tcPr>
          <w:p>
            <w:pPr>
              <w:spacing w:after="0"/>
              <w:rPr>
                <w:sz w:val="11"/>
                <w:szCs w:val="11"/>
                <w:color w:val="auto"/>
              </w:rPr>
            </w:pPr>
          </w:p>
        </w:tc>
        <w:tc>
          <w:tcPr>
            <w:tcW w:w="1000" w:type="dxa"/>
            <w:vAlign w:val="bottom"/>
            <w:shd w:val="clear" w:color="auto" w:fill="C0C0C0"/>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2"/>
          </w:tcPr>
          <w:p>
            <w:pPr>
              <w:jc w:val="right"/>
              <w:ind w:right="841"/>
              <w:spacing w:after="0" w:line="124" w:lineRule="exact"/>
              <w:rPr>
                <w:sz w:val="20"/>
                <w:szCs w:val="20"/>
                <w:color w:val="auto"/>
              </w:rPr>
            </w:pPr>
            <w:r>
              <w:rPr>
                <w:rFonts w:ascii="Arial" w:cs="Arial" w:eastAsia="Arial" w:hAnsi="Arial"/>
                <w:sz w:val="11"/>
                <w:szCs w:val="11"/>
                <w:color w:val="auto"/>
              </w:rPr>
              <w:t>Pension Benefits</w:t>
            </w: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3"/>
          </w:tcPr>
          <w:p>
            <w:pPr>
              <w:jc w:val="right"/>
              <w:spacing w:after="0" w:line="124" w:lineRule="exact"/>
              <w:rPr>
                <w:sz w:val="20"/>
                <w:szCs w:val="20"/>
                <w:color w:val="auto"/>
              </w:rPr>
            </w:pPr>
            <w:r>
              <w:rPr>
                <w:rFonts w:ascii="Arial" w:cs="Arial" w:eastAsia="Arial" w:hAnsi="Arial"/>
                <w:sz w:val="11"/>
                <w:szCs w:val="11"/>
                <w:color w:val="auto"/>
              </w:rPr>
              <w:t>Other Postretirement Benefits</w:t>
            </w:r>
          </w:p>
        </w:tc>
        <w:tc>
          <w:tcPr>
            <w:tcW w:w="1000" w:type="dxa"/>
            <w:vAlign w:val="bottom"/>
            <w:tcBorders>
              <w:bottom w:val="single" w:sz="8" w:color="auto"/>
            </w:tcBorders>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gridSpan w:val="3"/>
          </w:tcPr>
          <w:p>
            <w:pPr>
              <w:jc w:val="right"/>
              <w:ind w:right="481"/>
              <w:spacing w:after="0" w:line="124" w:lineRule="exact"/>
              <w:rPr>
                <w:sz w:val="20"/>
                <w:szCs w:val="20"/>
                <w:color w:val="auto"/>
              </w:rPr>
            </w:pPr>
            <w:r>
              <w:rPr>
                <w:rFonts w:ascii="Arial" w:cs="Arial" w:eastAsia="Arial" w:hAnsi="Arial"/>
                <w:sz w:val="11"/>
                <w:szCs w:val="11"/>
                <w:color w:val="auto"/>
              </w:rPr>
              <w:t>Three months ended March 31,</w:t>
            </w: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gridSpan w:val="4"/>
          </w:tcPr>
          <w:p>
            <w:pPr>
              <w:jc w:val="right"/>
              <w:ind w:right="899"/>
              <w:spacing w:after="0" w:line="124" w:lineRule="exact"/>
              <w:rPr>
                <w:sz w:val="20"/>
                <w:szCs w:val="20"/>
                <w:color w:val="auto"/>
              </w:rPr>
            </w:pPr>
            <w:r>
              <w:rPr>
                <w:rFonts w:ascii="Arial" w:cs="Arial" w:eastAsia="Arial" w:hAnsi="Arial"/>
                <w:sz w:val="11"/>
                <w:szCs w:val="11"/>
                <w:color w:val="auto"/>
              </w:rPr>
              <w:t>Three months ended March 31,</w:t>
            </w:r>
          </w:p>
        </w:tc>
      </w:tr>
      <w:tr>
        <w:trPr>
          <w:trHeight w:val="135"/>
        </w:trPr>
        <w:tc>
          <w:tcPr>
            <w:tcW w:w="20" w:type="dxa"/>
            <w:vAlign w:val="bottom"/>
          </w:tcPr>
          <w:p>
            <w:pPr>
              <w:spacing w:after="0"/>
              <w:rPr>
                <w:sz w:val="11"/>
                <w:szCs w:val="11"/>
                <w:color w:val="auto"/>
              </w:rPr>
            </w:pPr>
          </w:p>
        </w:tc>
        <w:tc>
          <w:tcPr>
            <w:tcW w:w="44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11"/>
                <w:szCs w:val="11"/>
                <w:color w:val="auto"/>
              </w:rPr>
              <w:t>2011</w:t>
            </w:r>
          </w:p>
        </w:tc>
        <w:tc>
          <w:tcPr>
            <w:tcW w:w="6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281"/>
              <w:spacing w:after="0"/>
              <w:rPr>
                <w:sz w:val="20"/>
                <w:szCs w:val="20"/>
                <w:color w:val="auto"/>
              </w:rPr>
            </w:pPr>
            <w:r>
              <w:rPr>
                <w:rFonts w:ascii="Arial" w:cs="Arial" w:eastAsia="Arial" w:hAnsi="Arial"/>
                <w:sz w:val="11"/>
                <w:szCs w:val="11"/>
                <w:color w:val="auto"/>
              </w:rPr>
              <w:t>2010</w:t>
            </w: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700"/>
              <w:spacing w:after="0"/>
              <w:rPr>
                <w:sz w:val="20"/>
                <w:szCs w:val="20"/>
                <w:color w:val="auto"/>
              </w:rPr>
            </w:pPr>
            <w:r>
              <w:rPr>
                <w:rFonts w:ascii="Arial" w:cs="Arial" w:eastAsia="Arial" w:hAnsi="Arial"/>
                <w:sz w:val="11"/>
                <w:szCs w:val="11"/>
                <w:color w:val="auto"/>
              </w:rPr>
              <w:t>2011</w:t>
            </w: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99"/>
              <w:spacing w:after="0"/>
              <w:rPr>
                <w:sz w:val="20"/>
                <w:szCs w:val="20"/>
                <w:color w:val="auto"/>
              </w:rPr>
            </w:pPr>
            <w:r>
              <w:rPr>
                <w:rFonts w:ascii="Arial" w:cs="Arial" w:eastAsia="Arial" w:hAnsi="Arial"/>
                <w:sz w:val="11"/>
                <w:szCs w:val="11"/>
                <w:color w:val="auto"/>
                <w:w w:val="89"/>
              </w:rPr>
              <w:t>2010</w:t>
            </w:r>
          </w:p>
        </w:tc>
      </w:tr>
      <w:tr>
        <w:trPr>
          <w:trHeight w:val="125"/>
        </w:trPr>
        <w:tc>
          <w:tcPr>
            <w:tcW w:w="20" w:type="dxa"/>
            <w:vAlign w:val="bottom"/>
          </w:tcPr>
          <w:p>
            <w:pPr>
              <w:spacing w:after="0"/>
              <w:rPr>
                <w:sz w:val="10"/>
                <w:szCs w:val="10"/>
                <w:color w:val="auto"/>
              </w:rPr>
            </w:pPr>
          </w:p>
        </w:tc>
        <w:tc>
          <w:tcPr>
            <w:tcW w:w="4480" w:type="dxa"/>
            <w:vAlign w:val="bottom"/>
          </w:tcPr>
          <w:p>
            <w:pPr>
              <w:spacing w:after="0" w:line="126" w:lineRule="exact"/>
              <w:rPr>
                <w:sz w:val="20"/>
                <w:szCs w:val="20"/>
                <w:color w:val="auto"/>
              </w:rPr>
            </w:pPr>
            <w:r>
              <w:rPr>
                <w:rFonts w:ascii="Arial" w:cs="Arial" w:eastAsia="Arial" w:hAnsi="Arial"/>
                <w:sz w:val="12"/>
                <w:szCs w:val="12"/>
                <w:color w:val="auto"/>
              </w:rPr>
              <w:t>Service cost</w:t>
            </w:r>
          </w:p>
        </w:tc>
        <w:tc>
          <w:tcPr>
            <w:tcW w:w="240" w:type="dxa"/>
            <w:vAlign w:val="bottom"/>
          </w:tcPr>
          <w:p>
            <w:pPr>
              <w:jc w:val="right"/>
              <w:ind w:right="101"/>
              <w:spacing w:after="0" w:line="126" w:lineRule="exact"/>
              <w:rPr>
                <w:sz w:val="20"/>
                <w:szCs w:val="20"/>
                <w:color w:val="auto"/>
              </w:rPr>
            </w:pPr>
            <w:r>
              <w:rPr>
                <w:rFonts w:ascii="Arial" w:cs="Arial" w:eastAsia="Arial" w:hAnsi="Arial"/>
                <w:sz w:val="12"/>
                <w:szCs w:val="12"/>
                <w:color w:val="auto"/>
                <w:w w:val="89"/>
              </w:rPr>
              <w:t>$</w:t>
            </w:r>
          </w:p>
        </w:tc>
        <w:tc>
          <w:tcPr>
            <w:tcW w:w="1020" w:type="dxa"/>
            <w:vAlign w:val="bottom"/>
          </w:tcPr>
          <w:p>
            <w:pPr>
              <w:spacing w:after="0"/>
              <w:rPr>
                <w:sz w:val="10"/>
                <w:szCs w:val="10"/>
                <w:color w:val="auto"/>
              </w:rPr>
            </w:pPr>
          </w:p>
        </w:tc>
        <w:tc>
          <w:tcPr>
            <w:tcW w:w="660" w:type="dxa"/>
            <w:vAlign w:val="bottom"/>
          </w:tcPr>
          <w:p>
            <w:pPr>
              <w:jc w:val="right"/>
              <w:ind w:right="39"/>
              <w:spacing w:after="0" w:line="126" w:lineRule="exact"/>
              <w:rPr>
                <w:sz w:val="20"/>
                <w:szCs w:val="20"/>
                <w:color w:val="auto"/>
              </w:rPr>
            </w:pPr>
            <w:r>
              <w:rPr>
                <w:rFonts w:ascii="Arial" w:cs="Arial" w:eastAsia="Arial" w:hAnsi="Arial"/>
                <w:sz w:val="12"/>
                <w:szCs w:val="12"/>
                <w:color w:val="auto"/>
              </w:rPr>
              <w:t>12 $</w:t>
            </w:r>
          </w:p>
        </w:tc>
        <w:tc>
          <w:tcPr>
            <w:tcW w:w="1140" w:type="dxa"/>
            <w:vAlign w:val="bottom"/>
          </w:tcPr>
          <w:p>
            <w:pPr>
              <w:spacing w:after="0"/>
              <w:rPr>
                <w:sz w:val="10"/>
                <w:szCs w:val="10"/>
                <w:color w:val="auto"/>
              </w:rPr>
            </w:pPr>
          </w:p>
        </w:tc>
        <w:tc>
          <w:tcPr>
            <w:tcW w:w="420" w:type="dxa"/>
            <w:vAlign w:val="bottom"/>
          </w:tcPr>
          <w:p>
            <w:pPr>
              <w:jc w:val="right"/>
              <w:spacing w:after="0" w:line="126" w:lineRule="exact"/>
              <w:rPr>
                <w:sz w:val="20"/>
                <w:szCs w:val="20"/>
                <w:color w:val="auto"/>
              </w:rPr>
            </w:pPr>
            <w:r>
              <w:rPr>
                <w:rFonts w:ascii="Arial" w:cs="Arial" w:eastAsia="Arial" w:hAnsi="Arial"/>
                <w:sz w:val="12"/>
                <w:szCs w:val="12"/>
                <w:color w:val="auto"/>
              </w:rPr>
              <w:t>12</w:t>
            </w:r>
          </w:p>
        </w:tc>
        <w:tc>
          <w:tcPr>
            <w:tcW w:w="120" w:type="dxa"/>
            <w:vAlign w:val="bottom"/>
          </w:tcPr>
          <w:p>
            <w:pPr>
              <w:jc w:val="right"/>
              <w:spacing w:after="0" w:line="126" w:lineRule="exact"/>
              <w:rPr>
                <w:sz w:val="20"/>
                <w:szCs w:val="20"/>
                <w:color w:val="auto"/>
              </w:rPr>
            </w:pPr>
            <w:r>
              <w:rPr>
                <w:rFonts w:ascii="Arial" w:cs="Arial" w:eastAsia="Arial" w:hAnsi="Arial"/>
                <w:sz w:val="12"/>
                <w:szCs w:val="12"/>
                <w:color w:val="auto"/>
                <w:w w:val="89"/>
              </w:rPr>
              <w:t>$</w:t>
            </w:r>
          </w:p>
        </w:tc>
        <w:tc>
          <w:tcPr>
            <w:tcW w:w="340" w:type="dxa"/>
            <w:vAlign w:val="bottom"/>
          </w:tcPr>
          <w:p>
            <w:pPr>
              <w:spacing w:after="0"/>
              <w:rPr>
                <w:sz w:val="10"/>
                <w:szCs w:val="10"/>
                <w:color w:val="auto"/>
              </w:rPr>
            </w:pPr>
          </w:p>
        </w:tc>
        <w:tc>
          <w:tcPr>
            <w:tcW w:w="1280" w:type="dxa"/>
            <w:vAlign w:val="bottom"/>
          </w:tcPr>
          <w:p>
            <w:pPr>
              <w:jc w:val="right"/>
              <w:spacing w:after="0" w:line="126" w:lineRule="exact"/>
              <w:rPr>
                <w:sz w:val="20"/>
                <w:szCs w:val="20"/>
                <w:color w:val="auto"/>
              </w:rPr>
            </w:pPr>
            <w:r>
              <w:rPr>
                <w:rFonts w:ascii="Arial" w:cs="Arial" w:eastAsia="Arial" w:hAnsi="Arial"/>
                <w:sz w:val="12"/>
                <w:szCs w:val="12"/>
                <w:color w:val="auto"/>
              </w:rPr>
              <w:t>5</w:t>
            </w:r>
          </w:p>
        </w:tc>
        <w:tc>
          <w:tcPr>
            <w:tcW w:w="740" w:type="dxa"/>
            <w:vAlign w:val="bottom"/>
            <w:gridSpan w:val="2"/>
          </w:tcPr>
          <w:p>
            <w:pPr>
              <w:jc w:val="right"/>
              <w:ind w:right="62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26" w:lineRule="exact"/>
              <w:rPr>
                <w:sz w:val="20"/>
                <w:szCs w:val="20"/>
                <w:color w:val="auto"/>
              </w:rPr>
            </w:pPr>
            <w:r>
              <w:rPr>
                <w:rFonts w:ascii="Arial" w:cs="Arial" w:eastAsia="Arial" w:hAnsi="Arial"/>
                <w:sz w:val="12"/>
                <w:szCs w:val="12"/>
                <w:color w:val="auto"/>
              </w:rPr>
              <w:t>5</w:t>
            </w:r>
          </w:p>
        </w:tc>
      </w:tr>
      <w:tr>
        <w:trPr>
          <w:trHeight w:val="134"/>
        </w:trPr>
        <w:tc>
          <w:tcPr>
            <w:tcW w:w="4500" w:type="dxa"/>
            <w:vAlign w:val="bottom"/>
            <w:gridSpan w:val="2"/>
          </w:tcPr>
          <w:p>
            <w:pPr>
              <w:spacing w:after="0" w:line="134" w:lineRule="exact"/>
              <w:rPr>
                <w:sz w:val="20"/>
                <w:szCs w:val="20"/>
                <w:color w:val="auto"/>
              </w:rPr>
            </w:pPr>
            <w:r>
              <w:rPr>
                <w:rFonts w:ascii="Arial" w:cs="Arial" w:eastAsia="Arial" w:hAnsi="Arial"/>
                <w:sz w:val="12"/>
                <w:szCs w:val="12"/>
                <w:color w:val="auto"/>
              </w:rPr>
              <w:t>Interest cost</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jc w:val="right"/>
              <w:ind w:right="139"/>
              <w:spacing w:after="0" w:line="134" w:lineRule="exact"/>
              <w:rPr>
                <w:sz w:val="20"/>
                <w:szCs w:val="20"/>
                <w:color w:val="auto"/>
              </w:rPr>
            </w:pPr>
            <w:r>
              <w:rPr>
                <w:rFonts w:ascii="Arial" w:cs="Arial" w:eastAsia="Arial" w:hAnsi="Arial"/>
                <w:sz w:val="12"/>
                <w:szCs w:val="12"/>
                <w:color w:val="auto"/>
              </w:rPr>
              <w:t>25</w:t>
            </w:r>
          </w:p>
        </w:tc>
        <w:tc>
          <w:tcPr>
            <w:tcW w:w="114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25</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tcPr>
          <w:p>
            <w:pPr>
              <w:jc w:val="right"/>
              <w:spacing w:after="0" w:line="134" w:lineRule="exact"/>
              <w:rPr>
                <w:sz w:val="20"/>
                <w:szCs w:val="20"/>
                <w:color w:val="auto"/>
              </w:rPr>
            </w:pPr>
            <w:r>
              <w:rPr>
                <w:rFonts w:ascii="Arial" w:cs="Arial" w:eastAsia="Arial" w:hAnsi="Arial"/>
                <w:sz w:val="12"/>
                <w:szCs w:val="12"/>
                <w:color w:val="auto"/>
              </w:rPr>
              <w:t>13</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Arial" w:cs="Arial" w:eastAsia="Arial" w:hAnsi="Arial"/>
                <w:sz w:val="12"/>
                <w:szCs w:val="12"/>
                <w:color w:val="auto"/>
              </w:rPr>
              <w:t>12</w:t>
            </w:r>
          </w:p>
        </w:tc>
      </w:tr>
      <w:tr>
        <w:trPr>
          <w:trHeight w:val="134"/>
        </w:trPr>
        <w:tc>
          <w:tcPr>
            <w:tcW w:w="4500" w:type="dxa"/>
            <w:vAlign w:val="bottom"/>
            <w:gridSpan w:val="2"/>
          </w:tcPr>
          <w:p>
            <w:pPr>
              <w:spacing w:after="0" w:line="134" w:lineRule="exact"/>
              <w:rPr>
                <w:sz w:val="20"/>
                <w:szCs w:val="20"/>
                <w:color w:val="auto"/>
              </w:rPr>
            </w:pPr>
            <w:r>
              <w:rPr>
                <w:rFonts w:ascii="Arial" w:cs="Arial" w:eastAsia="Arial" w:hAnsi="Arial"/>
                <w:sz w:val="12"/>
                <w:szCs w:val="12"/>
                <w:color w:val="auto"/>
              </w:rPr>
              <w:t>Expected return on assets</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jc w:val="right"/>
              <w:ind w:right="119"/>
              <w:spacing w:after="0" w:line="134" w:lineRule="exact"/>
              <w:rPr>
                <w:sz w:val="20"/>
                <w:szCs w:val="20"/>
                <w:color w:val="auto"/>
              </w:rPr>
            </w:pPr>
            <w:r>
              <w:rPr>
                <w:rFonts w:ascii="Arial" w:cs="Arial" w:eastAsia="Arial" w:hAnsi="Arial"/>
                <w:sz w:val="12"/>
                <w:szCs w:val="12"/>
                <w:color w:val="auto"/>
              </w:rPr>
              <w:t>(22)</w:t>
            </w:r>
          </w:p>
        </w:tc>
        <w:tc>
          <w:tcPr>
            <w:tcW w:w="114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(23)</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tcPr>
          <w:p>
            <w:pPr>
              <w:jc w:val="right"/>
              <w:spacing w:after="0" w:line="134" w:lineRule="exact"/>
              <w:rPr>
                <w:sz w:val="20"/>
                <w:szCs w:val="20"/>
                <w:color w:val="auto"/>
              </w:rPr>
            </w:pPr>
            <w:r>
              <w:rPr>
                <w:rFonts w:ascii="Arial" w:cs="Arial" w:eastAsia="Arial" w:hAnsi="Arial"/>
                <w:sz w:val="12"/>
                <w:szCs w:val="12"/>
                <w:color w:val="auto"/>
              </w:rPr>
              <w:t>(10)</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Arial" w:cs="Arial" w:eastAsia="Arial" w:hAnsi="Arial"/>
                <w:sz w:val="12"/>
                <w:szCs w:val="12"/>
                <w:color w:val="auto"/>
              </w:rPr>
              <w:t>(10)</w:t>
            </w:r>
          </w:p>
        </w:tc>
      </w:tr>
      <w:tr>
        <w:trPr>
          <w:trHeight w:val="134"/>
        </w:trPr>
        <w:tc>
          <w:tcPr>
            <w:tcW w:w="4500" w:type="dxa"/>
            <w:vAlign w:val="bottom"/>
            <w:gridSpan w:val="2"/>
          </w:tcPr>
          <w:p>
            <w:pPr>
              <w:spacing w:after="0" w:line="134" w:lineRule="exact"/>
              <w:rPr>
                <w:sz w:val="20"/>
                <w:szCs w:val="20"/>
                <w:color w:val="auto"/>
              </w:rPr>
            </w:pPr>
            <w:r>
              <w:rPr>
                <w:rFonts w:ascii="Arial" w:cs="Arial" w:eastAsia="Arial" w:hAnsi="Arial"/>
                <w:sz w:val="12"/>
                <w:szCs w:val="12"/>
                <w:color w:val="auto"/>
              </w:rPr>
              <w:t>Amortization of:</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4480" w:type="dxa"/>
            <w:vAlign w:val="bottom"/>
          </w:tcPr>
          <w:p>
            <w:pPr>
              <w:ind w:left="120"/>
              <w:spacing w:after="0" w:line="134" w:lineRule="exact"/>
              <w:rPr>
                <w:sz w:val="20"/>
                <w:szCs w:val="20"/>
                <w:color w:val="auto"/>
              </w:rPr>
            </w:pPr>
            <w:r>
              <w:rPr>
                <w:rFonts w:ascii="Arial" w:cs="Arial" w:eastAsia="Arial" w:hAnsi="Arial"/>
                <w:sz w:val="12"/>
                <w:szCs w:val="12"/>
                <w:color w:val="auto"/>
              </w:rPr>
              <w:t>Prior service cost (credit)</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jc w:val="right"/>
              <w:ind w:right="139"/>
              <w:spacing w:after="0" w:line="134" w:lineRule="exact"/>
              <w:rPr>
                <w:sz w:val="20"/>
                <w:szCs w:val="20"/>
                <w:color w:val="auto"/>
              </w:rPr>
            </w:pPr>
            <w:r>
              <w:rPr>
                <w:rFonts w:ascii="Arial" w:cs="Arial" w:eastAsia="Arial" w:hAnsi="Arial"/>
                <w:sz w:val="12"/>
                <w:szCs w:val="12"/>
                <w:color w:val="auto"/>
              </w:rPr>
              <w:t>1</w:t>
            </w:r>
          </w:p>
        </w:tc>
        <w:tc>
          <w:tcPr>
            <w:tcW w:w="114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r>
      <w:tr>
        <w:trPr>
          <w:trHeight w:val="134"/>
        </w:trPr>
        <w:tc>
          <w:tcPr>
            <w:tcW w:w="20" w:type="dxa"/>
            <w:vAlign w:val="bottom"/>
          </w:tcPr>
          <w:p>
            <w:pPr>
              <w:spacing w:after="0"/>
              <w:rPr>
                <w:sz w:val="11"/>
                <w:szCs w:val="11"/>
                <w:color w:val="auto"/>
              </w:rPr>
            </w:pPr>
          </w:p>
        </w:tc>
        <w:tc>
          <w:tcPr>
            <w:tcW w:w="4480" w:type="dxa"/>
            <w:vAlign w:val="bottom"/>
          </w:tcPr>
          <w:p>
            <w:pPr>
              <w:ind w:left="120"/>
              <w:spacing w:after="0" w:line="134" w:lineRule="exact"/>
              <w:rPr>
                <w:sz w:val="20"/>
                <w:szCs w:val="20"/>
                <w:color w:val="auto"/>
              </w:rPr>
            </w:pPr>
            <w:r>
              <w:rPr>
                <w:rFonts w:ascii="Arial" w:cs="Arial" w:eastAsia="Arial" w:hAnsi="Arial"/>
                <w:sz w:val="12"/>
                <w:szCs w:val="12"/>
                <w:color w:val="auto"/>
              </w:rPr>
              <w:t>Actuarial loss</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jc w:val="right"/>
              <w:ind w:right="139"/>
              <w:spacing w:after="0" w:line="134" w:lineRule="exact"/>
              <w:rPr>
                <w:sz w:val="20"/>
                <w:szCs w:val="20"/>
                <w:color w:val="auto"/>
              </w:rPr>
            </w:pPr>
            <w:r>
              <w:rPr>
                <w:rFonts w:ascii="Arial" w:cs="Arial" w:eastAsia="Arial" w:hAnsi="Arial"/>
                <w:sz w:val="12"/>
                <w:szCs w:val="12"/>
                <w:color w:val="auto"/>
              </w:rPr>
              <w:t>4</w:t>
            </w:r>
          </w:p>
        </w:tc>
        <w:tc>
          <w:tcPr>
            <w:tcW w:w="114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3</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tcPr>
          <w:p>
            <w:pPr>
              <w:jc w:val="right"/>
              <w:spacing w:after="0" w:line="134" w:lineRule="exact"/>
              <w:rPr>
                <w:sz w:val="20"/>
                <w:szCs w:val="20"/>
                <w:color w:val="auto"/>
              </w:rPr>
            </w:pPr>
            <w:r>
              <w:rPr>
                <w:rFonts w:ascii="Arial" w:cs="Arial" w:eastAsia="Arial" w:hAnsi="Arial"/>
                <w:sz w:val="12"/>
                <w:szCs w:val="12"/>
                <w:color w:val="auto"/>
              </w:rPr>
              <w:t>5</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r>
      <w:tr>
        <w:trPr>
          <w:trHeight w:val="144"/>
        </w:trPr>
        <w:tc>
          <w:tcPr>
            <w:tcW w:w="4500" w:type="dxa"/>
            <w:vAlign w:val="bottom"/>
            <w:gridSpan w:val="2"/>
          </w:tcPr>
          <w:p>
            <w:pPr>
              <w:spacing w:after="0"/>
              <w:rPr>
                <w:sz w:val="20"/>
                <w:szCs w:val="20"/>
                <w:color w:val="auto"/>
              </w:rPr>
            </w:pPr>
            <w:r>
              <w:rPr>
                <w:rFonts w:ascii="Arial" w:cs="Arial" w:eastAsia="Arial" w:hAnsi="Arial"/>
                <w:sz w:val="12"/>
                <w:szCs w:val="12"/>
                <w:color w:val="auto"/>
              </w:rPr>
              <w:t>Regulatory adjustment</w:t>
            </w: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(20)</w:t>
            </w:r>
          </w:p>
        </w:tc>
        <w:tc>
          <w:tcPr>
            <w:tcW w:w="1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r>
      <w:tr>
        <w:trPr>
          <w:trHeight w:val="134"/>
        </w:trPr>
        <w:tc>
          <w:tcPr>
            <w:tcW w:w="4500" w:type="dxa"/>
            <w:vAlign w:val="bottom"/>
            <w:gridSpan w:val="2"/>
          </w:tcPr>
          <w:p>
            <w:pPr>
              <w:spacing w:after="0" w:line="134" w:lineRule="exact"/>
              <w:rPr>
                <w:sz w:val="20"/>
                <w:szCs w:val="20"/>
                <w:color w:val="auto"/>
              </w:rPr>
            </w:pPr>
            <w:r>
              <w:rPr>
                <w:rFonts w:ascii="Arial" w:cs="Arial" w:eastAsia="Arial" w:hAnsi="Arial"/>
                <w:sz w:val="12"/>
                <w:szCs w:val="12"/>
                <w:color w:val="auto"/>
              </w:rPr>
              <w:t>Total net periodic benefit cost</w:t>
            </w:r>
          </w:p>
        </w:tc>
        <w:tc>
          <w:tcPr>
            <w:tcW w:w="240" w:type="dxa"/>
            <w:vAlign w:val="bottom"/>
          </w:tcPr>
          <w:p>
            <w:pPr>
              <w:jc w:val="right"/>
              <w:ind w:right="101"/>
              <w:spacing w:after="0" w:line="134" w:lineRule="exact"/>
              <w:rPr>
                <w:sz w:val="20"/>
                <w:szCs w:val="20"/>
                <w:color w:val="auto"/>
              </w:rPr>
            </w:pPr>
            <w:r>
              <w:rPr>
                <w:rFonts w:ascii="Arial" w:cs="Arial" w:eastAsia="Arial" w:hAnsi="Arial"/>
                <w:sz w:val="12"/>
                <w:szCs w:val="12"/>
                <w:color w:val="auto"/>
                <w:w w:val="89"/>
              </w:rPr>
              <w:t>$</w:t>
            </w:r>
          </w:p>
        </w:tc>
        <w:tc>
          <w:tcPr>
            <w:tcW w:w="1020" w:type="dxa"/>
            <w:vAlign w:val="bottom"/>
          </w:tcPr>
          <w:p>
            <w:pPr>
              <w:spacing w:after="0"/>
              <w:rPr>
                <w:sz w:val="11"/>
                <w:szCs w:val="11"/>
                <w:color w:val="auto"/>
              </w:rPr>
            </w:pPr>
          </w:p>
        </w:tc>
        <w:tc>
          <w:tcPr>
            <w:tcW w:w="660" w:type="dxa"/>
            <w:vAlign w:val="bottom"/>
          </w:tcPr>
          <w:p>
            <w:pPr>
              <w:jc w:val="right"/>
              <w:ind w:right="39"/>
              <w:spacing w:after="0" w:line="134" w:lineRule="exact"/>
              <w:rPr>
                <w:sz w:val="20"/>
                <w:szCs w:val="20"/>
                <w:color w:val="auto"/>
              </w:rPr>
            </w:pPr>
            <w:r>
              <w:rPr>
                <w:rFonts w:ascii="Arial" w:cs="Arial" w:eastAsia="Arial" w:hAnsi="Arial"/>
                <w:sz w:val="12"/>
                <w:szCs w:val="12"/>
                <w:color w:val="auto"/>
              </w:rPr>
              <w:t>― $</w:t>
            </w:r>
          </w:p>
        </w:tc>
        <w:tc>
          <w:tcPr>
            <w:tcW w:w="114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c>
          <w:tcPr>
            <w:tcW w:w="120" w:type="dxa"/>
            <w:vAlign w:val="bottom"/>
          </w:tcPr>
          <w:p>
            <w:pPr>
              <w:jc w:val="right"/>
              <w:spacing w:after="0" w:line="134" w:lineRule="exact"/>
              <w:rPr>
                <w:sz w:val="20"/>
                <w:szCs w:val="20"/>
                <w:color w:val="auto"/>
              </w:rPr>
            </w:pPr>
            <w:r>
              <w:rPr>
                <w:rFonts w:ascii="Arial" w:cs="Arial" w:eastAsia="Arial" w:hAnsi="Arial"/>
                <w:sz w:val="12"/>
                <w:szCs w:val="12"/>
                <w:color w:val="auto"/>
                <w:w w:val="89"/>
              </w:rPr>
              <w:t>$</w:t>
            </w:r>
          </w:p>
        </w:tc>
        <w:tc>
          <w:tcPr>
            <w:tcW w:w="340" w:type="dxa"/>
            <w:vAlign w:val="bottom"/>
          </w:tcPr>
          <w:p>
            <w:pPr>
              <w:spacing w:after="0"/>
              <w:rPr>
                <w:sz w:val="11"/>
                <w:szCs w:val="11"/>
                <w:color w:val="auto"/>
              </w:rPr>
            </w:pPr>
          </w:p>
        </w:tc>
        <w:tc>
          <w:tcPr>
            <w:tcW w:w="1280" w:type="dxa"/>
            <w:vAlign w:val="bottom"/>
          </w:tcPr>
          <w:p>
            <w:pPr>
              <w:jc w:val="right"/>
              <w:spacing w:after="0" w:line="134" w:lineRule="exact"/>
              <w:rPr>
                <w:sz w:val="20"/>
                <w:szCs w:val="20"/>
                <w:color w:val="auto"/>
              </w:rPr>
            </w:pPr>
            <w:r>
              <w:rPr>
                <w:rFonts w:ascii="Arial" w:cs="Arial" w:eastAsia="Arial" w:hAnsi="Arial"/>
                <w:sz w:val="12"/>
                <w:szCs w:val="12"/>
                <w:color w:val="auto"/>
              </w:rPr>
              <w:t>13</w:t>
            </w:r>
          </w:p>
        </w:tc>
        <w:tc>
          <w:tcPr>
            <w:tcW w:w="740" w:type="dxa"/>
            <w:vAlign w:val="bottom"/>
            <w:gridSpan w:val="2"/>
          </w:tcPr>
          <w:p>
            <w:pPr>
              <w:jc w:val="right"/>
              <w:ind w:right="628"/>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34" w:lineRule="exact"/>
              <w:rPr>
                <w:sz w:val="20"/>
                <w:szCs w:val="20"/>
                <w:color w:val="auto"/>
              </w:rPr>
            </w:pPr>
            <w:r>
              <w:rPr>
                <w:rFonts w:ascii="Arial" w:cs="Arial" w:eastAsia="Arial" w:hAnsi="Arial"/>
                <w:sz w:val="12"/>
                <w:szCs w:val="12"/>
                <w:color w:val="auto"/>
              </w:rPr>
              <w:t>9</w:t>
            </w:r>
          </w:p>
        </w:tc>
      </w:tr>
      <w:tr>
        <w:trPr>
          <w:trHeight w:val="21"/>
        </w:trPr>
        <w:tc>
          <w:tcPr>
            <w:tcW w:w="2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Benefit Plan Contributions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our year-to-date contributions to pension and other postretirement benefit plans and the amounts we expect to contribute in 2011:</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20" w:type="dxa"/>
            <w:vAlign w:val="bottom"/>
            <w:vMerge w:val="restart"/>
          </w:tcPr>
          <w:p>
            <w:pPr>
              <w:spacing w:after="0"/>
              <w:rPr>
                <w:sz w:val="20"/>
                <w:szCs w:val="20"/>
                <w:color w:val="auto"/>
              </w:rPr>
            </w:pPr>
            <w:r>
              <w:rPr>
                <w:rFonts w:ascii="Arial" w:cs="Arial" w:eastAsia="Arial" w:hAnsi="Arial"/>
                <w:sz w:val="11"/>
                <w:szCs w:val="11"/>
                <w:i w:val="1"/>
                <w:iCs w:val="1"/>
                <w:color w:val="auto"/>
              </w:rPr>
              <w:t>(Dollars in millions)</w:t>
            </w:r>
          </w:p>
        </w:tc>
        <w:tc>
          <w:tcPr>
            <w:tcW w:w="1940" w:type="dxa"/>
            <w:vAlign w:val="bottom"/>
          </w:tcPr>
          <w:p>
            <w:pPr>
              <w:spacing w:after="0"/>
              <w:rPr>
                <w:sz w:val="10"/>
                <w:szCs w:val="10"/>
                <w:color w:val="auto"/>
              </w:rPr>
            </w:pPr>
          </w:p>
        </w:tc>
        <w:tc>
          <w:tcPr>
            <w:tcW w:w="1680" w:type="dxa"/>
            <w:vAlign w:val="bottom"/>
          </w:tcPr>
          <w:p>
            <w:pPr>
              <w:jc w:val="right"/>
              <w:ind w:right="560"/>
              <w:spacing w:after="0"/>
              <w:rPr>
                <w:sz w:val="20"/>
                <w:szCs w:val="20"/>
                <w:color w:val="auto"/>
              </w:rPr>
            </w:pPr>
            <w:r>
              <w:rPr>
                <w:rFonts w:ascii="Arial" w:cs="Arial" w:eastAsia="Arial" w:hAnsi="Arial"/>
                <w:sz w:val="11"/>
                <w:szCs w:val="11"/>
                <w:color w:val="auto"/>
              </w:rPr>
              <w:t>Sempra Energy</w:t>
            </w: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20" w:type="dxa"/>
            <w:vAlign w:val="bottom"/>
            <w:tcBorders>
              <w:bottom w:val="single" w:sz="8" w:color="auto"/>
            </w:tcBorders>
            <w:vMerge w:val="continue"/>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jc w:val="right"/>
              <w:ind w:right="620"/>
              <w:spacing w:after="0" w:line="121" w:lineRule="exact"/>
              <w:rPr>
                <w:sz w:val="20"/>
                <w:szCs w:val="20"/>
                <w:color w:val="auto"/>
              </w:rPr>
            </w:pPr>
            <w:r>
              <w:rPr>
                <w:rFonts w:ascii="Arial" w:cs="Arial" w:eastAsia="Arial" w:hAnsi="Arial"/>
                <w:sz w:val="11"/>
                <w:szCs w:val="11"/>
                <w:color w:val="auto"/>
              </w:rPr>
              <w:t>Consolidated</w:t>
            </w:r>
          </w:p>
        </w:tc>
        <w:tc>
          <w:tcPr>
            <w:tcW w:w="4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jc w:val="right"/>
              <w:ind w:right="759"/>
              <w:spacing w:after="0" w:line="121" w:lineRule="exact"/>
              <w:rPr>
                <w:sz w:val="20"/>
                <w:szCs w:val="20"/>
                <w:color w:val="auto"/>
              </w:rPr>
            </w:pPr>
            <w:r>
              <w:rPr>
                <w:rFonts w:ascii="Arial" w:cs="Arial" w:eastAsia="Arial" w:hAnsi="Arial"/>
                <w:sz w:val="11"/>
                <w:szCs w:val="11"/>
                <w:color w:val="auto"/>
              </w:rPr>
              <w:t>SDG&amp;E</w:t>
            </w:r>
          </w:p>
        </w:tc>
        <w:tc>
          <w:tcPr>
            <w:tcW w:w="4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jc w:val="right"/>
              <w:ind w:right="719"/>
              <w:spacing w:after="0" w:line="121" w:lineRule="exact"/>
              <w:rPr>
                <w:sz w:val="20"/>
                <w:szCs w:val="20"/>
                <w:color w:val="auto"/>
              </w:rPr>
            </w:pPr>
            <w:r>
              <w:rPr>
                <w:rFonts w:ascii="Arial" w:cs="Arial" w:eastAsia="Arial" w:hAnsi="Arial"/>
                <w:sz w:val="11"/>
                <w:szCs w:val="11"/>
                <w:color w:val="auto"/>
              </w:rPr>
              <w:t>SoCalGas</w:t>
            </w:r>
          </w:p>
        </w:tc>
        <w:tc>
          <w:tcPr>
            <w:tcW w:w="0" w:type="dxa"/>
            <w:vAlign w:val="bottom"/>
          </w:tcPr>
          <w:p>
            <w:pPr>
              <w:spacing w:after="0"/>
              <w:rPr>
                <w:sz w:val="1"/>
                <w:szCs w:val="1"/>
                <w:color w:val="auto"/>
              </w:rPr>
            </w:pPr>
          </w:p>
        </w:tc>
      </w:tr>
      <w:tr>
        <w:trPr>
          <w:trHeight w:val="125"/>
        </w:trPr>
        <w:tc>
          <w:tcPr>
            <w:tcW w:w="3720" w:type="dxa"/>
            <w:vAlign w:val="bottom"/>
          </w:tcPr>
          <w:p>
            <w:pPr>
              <w:spacing w:after="0" w:line="126" w:lineRule="exact"/>
              <w:rPr>
                <w:sz w:val="20"/>
                <w:szCs w:val="20"/>
                <w:color w:val="auto"/>
              </w:rPr>
            </w:pPr>
            <w:r>
              <w:rPr>
                <w:rFonts w:ascii="Arial" w:cs="Arial" w:eastAsia="Arial" w:hAnsi="Arial"/>
                <w:sz w:val="12"/>
                <w:szCs w:val="12"/>
                <w:color w:val="auto"/>
              </w:rPr>
              <w:t>Contributions through March 31, 2011:</w:t>
            </w:r>
          </w:p>
        </w:tc>
        <w:tc>
          <w:tcPr>
            <w:tcW w:w="19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720" w:type="dxa"/>
            <w:vAlign w:val="bottom"/>
          </w:tcPr>
          <w:p>
            <w:pPr>
              <w:ind w:left="140"/>
              <w:spacing w:after="0" w:line="134" w:lineRule="exact"/>
              <w:rPr>
                <w:sz w:val="20"/>
                <w:szCs w:val="20"/>
                <w:color w:val="auto"/>
              </w:rPr>
            </w:pPr>
            <w:r>
              <w:rPr>
                <w:rFonts w:ascii="Arial" w:cs="Arial" w:eastAsia="Arial" w:hAnsi="Arial"/>
                <w:sz w:val="12"/>
                <w:szCs w:val="12"/>
                <w:color w:val="auto"/>
              </w:rPr>
              <w:t>Pension plans</w:t>
            </w:r>
          </w:p>
        </w:tc>
        <w:tc>
          <w:tcPr>
            <w:tcW w:w="194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w:t>
            </w:r>
          </w:p>
        </w:tc>
        <w:tc>
          <w:tcPr>
            <w:tcW w:w="1680" w:type="dxa"/>
            <w:vAlign w:val="bottom"/>
          </w:tcPr>
          <w:p>
            <w:pPr>
              <w:jc w:val="right"/>
              <w:spacing w:after="0" w:line="134" w:lineRule="exact"/>
              <w:rPr>
                <w:sz w:val="20"/>
                <w:szCs w:val="20"/>
                <w:color w:val="auto"/>
              </w:rPr>
            </w:pPr>
            <w:r>
              <w:rPr>
                <w:rFonts w:ascii="Arial" w:cs="Arial" w:eastAsia="Arial" w:hAnsi="Arial"/>
                <w:sz w:val="12"/>
                <w:szCs w:val="12"/>
                <w:color w:val="auto"/>
              </w:rPr>
              <w:t>11</w:t>
            </w:r>
          </w:p>
        </w:tc>
        <w:tc>
          <w:tcPr>
            <w:tcW w:w="460" w:type="dxa"/>
            <w:vAlign w:val="bottom"/>
          </w:tcPr>
          <w:p>
            <w:pPr>
              <w:jc w:val="right"/>
              <w:ind w:right="318"/>
              <w:spacing w:after="0" w:line="134" w:lineRule="exact"/>
              <w:rPr>
                <w:sz w:val="20"/>
                <w:szCs w:val="20"/>
                <w:color w:val="auto"/>
              </w:rPr>
            </w:pPr>
            <w:r>
              <w:rPr>
                <w:rFonts w:ascii="Arial" w:cs="Arial" w:eastAsia="Arial" w:hAnsi="Arial"/>
                <w:sz w:val="12"/>
                <w:szCs w:val="12"/>
                <w:color w:val="auto"/>
                <w:w w:val="89"/>
              </w:rPr>
              <w:t>$</w:t>
            </w:r>
          </w:p>
        </w:tc>
        <w:tc>
          <w:tcPr>
            <w:tcW w:w="2020" w:type="dxa"/>
            <w:vAlign w:val="bottom"/>
            <w:gridSpan w:val="2"/>
          </w:tcPr>
          <w:p>
            <w:pPr>
              <w:jc w:val="right"/>
              <w:ind w:right="298"/>
              <w:spacing w:after="0" w:line="134" w:lineRule="exact"/>
              <w:rPr>
                <w:sz w:val="20"/>
                <w:szCs w:val="20"/>
                <w:color w:val="auto"/>
              </w:rPr>
            </w:pPr>
            <w:r>
              <w:rPr>
                <w:rFonts w:ascii="Arial" w:cs="Arial" w:eastAsia="Arial" w:hAnsi="Arial"/>
                <w:sz w:val="12"/>
                <w:szCs w:val="12"/>
                <w:color w:val="auto"/>
              </w:rPr>
              <w:t>― $</w:t>
            </w:r>
          </w:p>
        </w:tc>
        <w:tc>
          <w:tcPr>
            <w:tcW w:w="164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4"/>
        </w:trPr>
        <w:tc>
          <w:tcPr>
            <w:tcW w:w="3720" w:type="dxa"/>
            <w:vAlign w:val="bottom"/>
          </w:tcPr>
          <w:p>
            <w:pPr>
              <w:ind w:left="140"/>
              <w:spacing w:after="0" w:line="134" w:lineRule="exact"/>
              <w:rPr>
                <w:sz w:val="20"/>
                <w:szCs w:val="20"/>
                <w:color w:val="auto"/>
              </w:rPr>
            </w:pPr>
            <w:r>
              <w:rPr>
                <w:rFonts w:ascii="Arial" w:cs="Arial" w:eastAsia="Arial" w:hAnsi="Arial"/>
                <w:sz w:val="12"/>
                <w:szCs w:val="12"/>
                <w:color w:val="auto"/>
              </w:rPr>
              <w:t>Other postretirement benefit plans</w:t>
            </w:r>
          </w:p>
        </w:tc>
        <w:tc>
          <w:tcPr>
            <w:tcW w:w="1940" w:type="dxa"/>
            <w:vAlign w:val="bottom"/>
          </w:tcPr>
          <w:p>
            <w:pPr>
              <w:spacing w:after="0"/>
              <w:rPr>
                <w:sz w:val="11"/>
                <w:szCs w:val="11"/>
                <w:color w:val="auto"/>
              </w:rPr>
            </w:pPr>
          </w:p>
        </w:tc>
        <w:tc>
          <w:tcPr>
            <w:tcW w:w="1680" w:type="dxa"/>
            <w:vAlign w:val="bottom"/>
          </w:tcPr>
          <w:p>
            <w:pPr>
              <w:jc w:val="right"/>
              <w:spacing w:after="0" w:line="134" w:lineRule="exact"/>
              <w:rPr>
                <w:sz w:val="20"/>
                <w:szCs w:val="20"/>
                <w:color w:val="auto"/>
              </w:rPr>
            </w:pPr>
            <w:r>
              <w:rPr>
                <w:rFonts w:ascii="Arial" w:cs="Arial" w:eastAsia="Arial" w:hAnsi="Arial"/>
                <w:sz w:val="12"/>
                <w:szCs w:val="12"/>
                <w:color w:val="auto"/>
              </w:rPr>
              <w:t>19</w:t>
            </w:r>
          </w:p>
        </w:tc>
        <w:tc>
          <w:tcPr>
            <w:tcW w:w="460" w:type="dxa"/>
            <w:vAlign w:val="bottom"/>
          </w:tcPr>
          <w:p>
            <w:pPr>
              <w:spacing w:after="0"/>
              <w:rPr>
                <w:sz w:val="11"/>
                <w:szCs w:val="11"/>
                <w:color w:val="auto"/>
              </w:rPr>
            </w:pPr>
          </w:p>
        </w:tc>
        <w:tc>
          <w:tcPr>
            <w:tcW w:w="1580" w:type="dxa"/>
            <w:vAlign w:val="bottom"/>
          </w:tcPr>
          <w:p>
            <w:pPr>
              <w:jc w:val="right"/>
              <w:spacing w:after="0" w:line="134" w:lineRule="exact"/>
              <w:rPr>
                <w:sz w:val="20"/>
                <w:szCs w:val="20"/>
                <w:color w:val="auto"/>
              </w:rPr>
            </w:pPr>
            <w:r>
              <w:rPr>
                <w:rFonts w:ascii="Arial" w:cs="Arial" w:eastAsia="Arial" w:hAnsi="Arial"/>
                <w:sz w:val="12"/>
                <w:szCs w:val="12"/>
                <w:color w:val="auto"/>
              </w:rPr>
              <w:t>4</w:t>
            </w:r>
          </w:p>
        </w:tc>
        <w:tc>
          <w:tcPr>
            <w:tcW w:w="440" w:type="dxa"/>
            <w:vAlign w:val="bottom"/>
          </w:tcPr>
          <w:p>
            <w:pPr>
              <w:spacing w:after="0"/>
              <w:rPr>
                <w:sz w:val="11"/>
                <w:szCs w:val="11"/>
                <w:color w:val="auto"/>
              </w:rPr>
            </w:pPr>
          </w:p>
        </w:tc>
        <w:tc>
          <w:tcPr>
            <w:tcW w:w="1640" w:type="dxa"/>
            <w:vAlign w:val="bottom"/>
          </w:tcPr>
          <w:p>
            <w:pPr>
              <w:jc w:val="right"/>
              <w:spacing w:after="0" w:line="134" w:lineRule="exact"/>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34"/>
        </w:trPr>
        <w:tc>
          <w:tcPr>
            <w:tcW w:w="3720" w:type="dxa"/>
            <w:vAlign w:val="bottom"/>
          </w:tcPr>
          <w:p>
            <w:pPr>
              <w:spacing w:after="0" w:line="134" w:lineRule="exact"/>
              <w:rPr>
                <w:sz w:val="20"/>
                <w:szCs w:val="20"/>
                <w:color w:val="auto"/>
              </w:rPr>
            </w:pPr>
            <w:r>
              <w:rPr>
                <w:rFonts w:ascii="Arial" w:cs="Arial" w:eastAsia="Arial" w:hAnsi="Arial"/>
                <w:sz w:val="12"/>
                <w:szCs w:val="12"/>
                <w:color w:val="auto"/>
              </w:rPr>
              <w:t>Total expected contributions in 2011:</w:t>
            </w: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720" w:type="dxa"/>
            <w:vAlign w:val="bottom"/>
          </w:tcPr>
          <w:p>
            <w:pPr>
              <w:ind w:left="140"/>
              <w:spacing w:after="0" w:line="134" w:lineRule="exact"/>
              <w:rPr>
                <w:sz w:val="20"/>
                <w:szCs w:val="20"/>
                <w:color w:val="auto"/>
              </w:rPr>
            </w:pPr>
            <w:r>
              <w:rPr>
                <w:rFonts w:ascii="Arial" w:cs="Arial" w:eastAsia="Arial" w:hAnsi="Arial"/>
                <w:sz w:val="12"/>
                <w:szCs w:val="12"/>
                <w:color w:val="auto"/>
              </w:rPr>
              <w:t>Pension plans</w:t>
            </w:r>
          </w:p>
        </w:tc>
        <w:tc>
          <w:tcPr>
            <w:tcW w:w="194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w:t>
            </w:r>
          </w:p>
        </w:tc>
        <w:tc>
          <w:tcPr>
            <w:tcW w:w="1680" w:type="dxa"/>
            <w:vAlign w:val="bottom"/>
          </w:tcPr>
          <w:p>
            <w:pPr>
              <w:jc w:val="right"/>
              <w:spacing w:after="0" w:line="134" w:lineRule="exact"/>
              <w:rPr>
                <w:sz w:val="20"/>
                <w:szCs w:val="20"/>
                <w:color w:val="auto"/>
              </w:rPr>
            </w:pPr>
            <w:r>
              <w:rPr>
                <w:rFonts w:ascii="Arial" w:cs="Arial" w:eastAsia="Arial" w:hAnsi="Arial"/>
                <w:sz w:val="12"/>
                <w:szCs w:val="12"/>
                <w:color w:val="auto"/>
              </w:rPr>
              <w:t>266</w:t>
            </w:r>
          </w:p>
        </w:tc>
        <w:tc>
          <w:tcPr>
            <w:tcW w:w="460" w:type="dxa"/>
            <w:vAlign w:val="bottom"/>
          </w:tcPr>
          <w:p>
            <w:pPr>
              <w:jc w:val="right"/>
              <w:ind w:right="318"/>
              <w:spacing w:after="0" w:line="134" w:lineRule="exact"/>
              <w:rPr>
                <w:sz w:val="20"/>
                <w:szCs w:val="20"/>
                <w:color w:val="auto"/>
              </w:rPr>
            </w:pPr>
            <w:r>
              <w:rPr>
                <w:rFonts w:ascii="Arial" w:cs="Arial" w:eastAsia="Arial" w:hAnsi="Arial"/>
                <w:sz w:val="12"/>
                <w:szCs w:val="12"/>
                <w:color w:val="auto"/>
                <w:w w:val="89"/>
              </w:rPr>
              <w:t>$</w:t>
            </w:r>
          </w:p>
        </w:tc>
        <w:tc>
          <w:tcPr>
            <w:tcW w:w="1580" w:type="dxa"/>
            <w:vAlign w:val="bottom"/>
          </w:tcPr>
          <w:p>
            <w:pPr>
              <w:jc w:val="right"/>
              <w:spacing w:after="0" w:line="134" w:lineRule="exact"/>
              <w:rPr>
                <w:sz w:val="20"/>
                <w:szCs w:val="20"/>
                <w:color w:val="auto"/>
              </w:rPr>
            </w:pPr>
            <w:r>
              <w:rPr>
                <w:rFonts w:ascii="Arial" w:cs="Arial" w:eastAsia="Arial" w:hAnsi="Arial"/>
                <w:sz w:val="12"/>
                <w:szCs w:val="12"/>
                <w:color w:val="auto"/>
              </w:rPr>
              <w:t>82</w:t>
            </w:r>
          </w:p>
        </w:tc>
        <w:tc>
          <w:tcPr>
            <w:tcW w:w="440" w:type="dxa"/>
            <w:vAlign w:val="bottom"/>
          </w:tcPr>
          <w:p>
            <w:pPr>
              <w:jc w:val="right"/>
              <w:ind w:right="298"/>
              <w:spacing w:after="0" w:line="134" w:lineRule="exact"/>
              <w:rPr>
                <w:sz w:val="20"/>
                <w:szCs w:val="20"/>
                <w:color w:val="auto"/>
              </w:rPr>
            </w:pPr>
            <w:r>
              <w:rPr>
                <w:rFonts w:ascii="Arial" w:cs="Arial" w:eastAsia="Arial" w:hAnsi="Arial"/>
                <w:sz w:val="12"/>
                <w:szCs w:val="12"/>
                <w:color w:val="auto"/>
                <w:w w:val="89"/>
              </w:rPr>
              <w:t>$</w:t>
            </w:r>
          </w:p>
        </w:tc>
        <w:tc>
          <w:tcPr>
            <w:tcW w:w="1640" w:type="dxa"/>
            <w:vAlign w:val="bottom"/>
          </w:tcPr>
          <w:p>
            <w:pPr>
              <w:jc w:val="right"/>
              <w:spacing w:after="0" w:line="134" w:lineRule="exact"/>
              <w:rPr>
                <w:sz w:val="20"/>
                <w:szCs w:val="20"/>
                <w:color w:val="auto"/>
              </w:rPr>
            </w:pPr>
            <w:r>
              <w:rPr>
                <w:rFonts w:ascii="Arial" w:cs="Arial" w:eastAsia="Arial" w:hAnsi="Arial"/>
                <w:sz w:val="12"/>
                <w:szCs w:val="12"/>
                <w:color w:val="auto"/>
              </w:rPr>
              <w:t>118</w:t>
            </w:r>
          </w:p>
        </w:tc>
        <w:tc>
          <w:tcPr>
            <w:tcW w:w="0" w:type="dxa"/>
            <w:vAlign w:val="bottom"/>
          </w:tcPr>
          <w:p>
            <w:pPr>
              <w:spacing w:after="0"/>
              <w:rPr>
                <w:sz w:val="1"/>
                <w:szCs w:val="1"/>
                <w:color w:val="auto"/>
              </w:rPr>
            </w:pPr>
          </w:p>
        </w:tc>
      </w:tr>
      <w:tr>
        <w:trPr>
          <w:trHeight w:val="144"/>
        </w:trPr>
        <w:tc>
          <w:tcPr>
            <w:tcW w:w="372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Other postretirement benefit plans</w:t>
            </w:r>
          </w:p>
        </w:tc>
        <w:tc>
          <w:tcPr>
            <w:tcW w:w="19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w:t>
            </w:r>
          </w:p>
        </w:tc>
        <w:tc>
          <w:tcPr>
            <w:tcW w:w="4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w:t>
            </w:r>
          </w:p>
        </w:tc>
        <w:tc>
          <w:tcPr>
            <w:tcW w:w="4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PER SHARE</w:t>
      </w:r>
    </w:p>
    <w:p>
      <w:pPr>
        <w:spacing w:after="0" w:line="176"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The following table provides the per share computations for our earnings for the three months ended March 31, 2011 and 2010. Basic earnings per common share (EPS) is calculated by dividing earnings attributable to common stock by the weighted-average number of common shares outstanding for the period. Diluted EPS includes the potential dilution of common stock equivalent shares that could occur if securities or other contracts to issue common stock were exercised or converted into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EARNINGS PER SHARE COMPUTATIONS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(Dollars in millions, except per share amounts; shares in thousands)</w:t>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740" w:type="dxa"/>
            <w:vAlign w:val="bottom"/>
            <w:tcBorders>
              <w:bottom w:val="single" w:sz="8" w:color="auto"/>
            </w:tcBorders>
            <w:gridSpan w:val="3"/>
          </w:tcPr>
          <w:p>
            <w:pPr>
              <w:jc w:val="right"/>
              <w:ind w:right="240"/>
              <w:spacing w:after="0" w:line="121" w:lineRule="exact"/>
              <w:rPr>
                <w:sz w:val="20"/>
                <w:szCs w:val="20"/>
                <w:color w:val="auto"/>
              </w:rPr>
            </w:pPr>
            <w:r>
              <w:rPr>
                <w:rFonts w:ascii="Arial" w:cs="Arial" w:eastAsia="Arial" w:hAnsi="Arial"/>
                <w:sz w:val="11"/>
                <w:szCs w:val="11"/>
                <w:color w:val="auto"/>
              </w:rPr>
              <w:t>Three months ended March 31,</w:t>
            </w:r>
          </w:p>
        </w:tc>
        <w:tc>
          <w:tcPr>
            <w:tcW w:w="600" w:type="dxa"/>
            <w:vAlign w:val="bottom"/>
            <w:tcBorders>
              <w:bottom w:val="single" w:sz="8" w:color="auto"/>
            </w:tcBorders>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630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1"/>
                <w:szCs w:val="11"/>
                <w:color w:val="auto"/>
              </w:rPr>
              <w:t>2011</w:t>
            </w:r>
          </w:p>
        </w:tc>
        <w:tc>
          <w:tcPr>
            <w:tcW w:w="5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color w:val="auto"/>
              </w:rPr>
              <w:t>2010</w:t>
            </w:r>
          </w:p>
        </w:tc>
        <w:tc>
          <w:tcPr>
            <w:tcW w:w="600" w:type="dxa"/>
            <w:vAlign w:val="bottom"/>
            <w:tcBorders>
              <w:bottom w:val="single" w:sz="8" w:color="auto"/>
            </w:tcBorders>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6300" w:type="dxa"/>
            <w:vAlign w:val="bottom"/>
          </w:tcPr>
          <w:p>
            <w:pPr>
              <w:spacing w:after="0" w:line="126" w:lineRule="exact"/>
              <w:rPr>
                <w:sz w:val="20"/>
                <w:szCs w:val="20"/>
                <w:color w:val="auto"/>
              </w:rPr>
            </w:pPr>
            <w:r>
              <w:rPr>
                <w:rFonts w:ascii="Arial" w:cs="Arial" w:eastAsia="Arial" w:hAnsi="Arial"/>
                <w:sz w:val="12"/>
                <w:szCs w:val="12"/>
                <w:color w:val="auto"/>
              </w:rPr>
              <w:t>Numerator:</w:t>
            </w:r>
          </w:p>
        </w:tc>
        <w:tc>
          <w:tcPr>
            <w:tcW w:w="1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48"/>
        </w:trPr>
        <w:tc>
          <w:tcPr>
            <w:tcW w:w="20" w:type="dxa"/>
            <w:vAlign w:val="bottom"/>
          </w:tcPr>
          <w:p>
            <w:pPr>
              <w:spacing w:after="0"/>
              <w:rPr>
                <w:sz w:val="12"/>
                <w:szCs w:val="12"/>
                <w:color w:val="auto"/>
              </w:rPr>
            </w:pPr>
          </w:p>
        </w:tc>
        <w:tc>
          <w:tcPr>
            <w:tcW w:w="6300" w:type="dxa"/>
            <w:vAlign w:val="bottom"/>
          </w:tcPr>
          <w:p>
            <w:pPr>
              <w:ind w:left="120"/>
              <w:spacing w:after="0"/>
              <w:rPr>
                <w:sz w:val="20"/>
                <w:szCs w:val="20"/>
                <w:color w:val="auto"/>
              </w:rPr>
            </w:pPr>
            <w:r>
              <w:rPr>
                <w:rFonts w:ascii="Arial" w:cs="Arial" w:eastAsia="Arial" w:hAnsi="Arial"/>
                <w:sz w:val="12"/>
                <w:szCs w:val="12"/>
                <w:color w:val="auto"/>
              </w:rPr>
              <w:t>Earnings/Income attributable to common shareholders</w:t>
            </w:r>
          </w:p>
        </w:tc>
        <w:tc>
          <w:tcPr>
            <w:tcW w:w="2860" w:type="dxa"/>
            <w:vAlign w:val="bottom"/>
            <w:gridSpan w:val="2"/>
          </w:tcPr>
          <w:p>
            <w:pPr>
              <w:jc w:val="right"/>
              <w:ind w:right="945"/>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258</w:t>
            </w:r>
          </w:p>
        </w:tc>
        <w:tc>
          <w:tcPr>
            <w:tcW w:w="1100" w:type="dxa"/>
            <w:vAlign w:val="bottom"/>
          </w:tcPr>
          <w:p>
            <w:pPr>
              <w:jc w:val="right"/>
              <w:ind w:right="960"/>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106</w:t>
            </w:r>
          </w:p>
        </w:tc>
      </w:tr>
      <w:tr>
        <w:trPr>
          <w:trHeight w:val="255"/>
        </w:trPr>
        <w:tc>
          <w:tcPr>
            <w:tcW w:w="6320" w:type="dxa"/>
            <w:vAlign w:val="bottom"/>
            <w:gridSpan w:val="2"/>
          </w:tcPr>
          <w:p>
            <w:pPr>
              <w:spacing w:after="0"/>
              <w:rPr>
                <w:sz w:val="20"/>
                <w:szCs w:val="20"/>
                <w:color w:val="auto"/>
              </w:rPr>
            </w:pPr>
            <w:r>
              <w:rPr>
                <w:rFonts w:ascii="Arial" w:cs="Arial" w:eastAsia="Arial" w:hAnsi="Arial"/>
                <w:sz w:val="12"/>
                <w:szCs w:val="12"/>
                <w:color w:val="auto"/>
              </w:rPr>
              <w:t>Denominator:</w:t>
            </w:r>
          </w:p>
        </w:tc>
        <w:tc>
          <w:tcPr>
            <w:tcW w:w="18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134"/>
        </w:trPr>
        <w:tc>
          <w:tcPr>
            <w:tcW w:w="20" w:type="dxa"/>
            <w:vAlign w:val="bottom"/>
          </w:tcPr>
          <w:p>
            <w:pPr>
              <w:spacing w:after="0"/>
              <w:rPr>
                <w:sz w:val="11"/>
                <w:szCs w:val="11"/>
                <w:color w:val="auto"/>
              </w:rPr>
            </w:pPr>
          </w:p>
        </w:tc>
        <w:tc>
          <w:tcPr>
            <w:tcW w:w="6300" w:type="dxa"/>
            <w:vAlign w:val="bottom"/>
          </w:tcPr>
          <w:p>
            <w:pPr>
              <w:ind w:left="120"/>
              <w:spacing w:after="0" w:line="134" w:lineRule="exact"/>
              <w:rPr>
                <w:sz w:val="20"/>
                <w:szCs w:val="20"/>
                <w:color w:val="auto"/>
              </w:rPr>
            </w:pPr>
            <w:r>
              <w:rPr>
                <w:rFonts w:ascii="Arial" w:cs="Arial" w:eastAsia="Arial" w:hAnsi="Arial"/>
                <w:sz w:val="12"/>
                <w:szCs w:val="12"/>
                <w:color w:val="auto"/>
              </w:rPr>
              <w:t>Weighted-average common shares outstanding for basic EPS</w:t>
            </w:r>
          </w:p>
        </w:tc>
        <w:tc>
          <w:tcPr>
            <w:tcW w:w="1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jc w:val="right"/>
              <w:spacing w:after="0" w:line="134" w:lineRule="exact"/>
              <w:rPr>
                <w:sz w:val="20"/>
                <w:szCs w:val="20"/>
                <w:color w:val="auto"/>
              </w:rPr>
            </w:pPr>
            <w:r>
              <w:rPr>
                <w:rFonts w:ascii="Arial" w:cs="Arial" w:eastAsia="Arial" w:hAnsi="Arial"/>
                <w:sz w:val="12"/>
                <w:szCs w:val="12"/>
                <w:color w:val="auto"/>
              </w:rPr>
              <w:t>240,128</w:t>
            </w:r>
          </w:p>
        </w:tc>
        <w:tc>
          <w:tcPr>
            <w:tcW w:w="110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246,083</w:t>
            </w:r>
          </w:p>
        </w:tc>
      </w:tr>
      <w:tr>
        <w:trPr>
          <w:trHeight w:val="134"/>
        </w:trPr>
        <w:tc>
          <w:tcPr>
            <w:tcW w:w="20" w:type="dxa"/>
            <w:vAlign w:val="bottom"/>
          </w:tcPr>
          <w:p>
            <w:pPr>
              <w:spacing w:after="0"/>
              <w:rPr>
                <w:sz w:val="11"/>
                <w:szCs w:val="11"/>
                <w:color w:val="auto"/>
              </w:rPr>
            </w:pPr>
          </w:p>
        </w:tc>
        <w:tc>
          <w:tcPr>
            <w:tcW w:w="6300" w:type="dxa"/>
            <w:vAlign w:val="bottom"/>
          </w:tcPr>
          <w:p>
            <w:pPr>
              <w:ind w:left="120"/>
              <w:spacing w:after="0" w:line="134" w:lineRule="exact"/>
              <w:rPr>
                <w:sz w:val="20"/>
                <w:szCs w:val="20"/>
                <w:color w:val="auto"/>
              </w:rPr>
            </w:pPr>
            <w:r>
              <w:rPr>
                <w:rFonts w:ascii="Arial" w:cs="Arial" w:eastAsia="Arial" w:hAnsi="Arial"/>
                <w:sz w:val="12"/>
                <w:szCs w:val="12"/>
                <w:color w:val="auto"/>
              </w:rPr>
              <w:t>Dilutive effect of stock options, restricted stock awards and restricted stock units</w:t>
            </w:r>
          </w:p>
        </w:tc>
        <w:tc>
          <w:tcPr>
            <w:tcW w:w="1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jc w:val="right"/>
              <w:spacing w:after="0" w:line="134" w:lineRule="exact"/>
              <w:rPr>
                <w:sz w:val="20"/>
                <w:szCs w:val="20"/>
                <w:color w:val="auto"/>
              </w:rPr>
            </w:pPr>
            <w:r>
              <w:rPr>
                <w:rFonts w:ascii="Arial" w:cs="Arial" w:eastAsia="Arial" w:hAnsi="Arial"/>
                <w:sz w:val="12"/>
                <w:szCs w:val="12"/>
                <w:color w:val="auto"/>
              </w:rPr>
              <w:t>1,775</w:t>
            </w:r>
          </w:p>
        </w:tc>
        <w:tc>
          <w:tcPr>
            <w:tcW w:w="110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4,290</w:t>
            </w:r>
          </w:p>
        </w:tc>
      </w:tr>
      <w:tr>
        <w:trPr>
          <w:trHeight w:val="148"/>
        </w:trPr>
        <w:tc>
          <w:tcPr>
            <w:tcW w:w="20" w:type="dxa"/>
            <w:vAlign w:val="bottom"/>
          </w:tcPr>
          <w:p>
            <w:pPr>
              <w:spacing w:after="0"/>
              <w:rPr>
                <w:sz w:val="12"/>
                <w:szCs w:val="12"/>
                <w:color w:val="auto"/>
              </w:rPr>
            </w:pPr>
          </w:p>
        </w:tc>
        <w:tc>
          <w:tcPr>
            <w:tcW w:w="6300" w:type="dxa"/>
            <w:vAlign w:val="bottom"/>
          </w:tcPr>
          <w:p>
            <w:pPr>
              <w:ind w:left="120"/>
              <w:spacing w:after="0"/>
              <w:rPr>
                <w:sz w:val="20"/>
                <w:szCs w:val="20"/>
                <w:color w:val="auto"/>
              </w:rPr>
            </w:pPr>
            <w:r>
              <w:rPr>
                <w:rFonts w:ascii="Arial" w:cs="Arial" w:eastAsia="Arial" w:hAnsi="Arial"/>
                <w:sz w:val="12"/>
                <w:szCs w:val="12"/>
                <w:color w:val="auto"/>
              </w:rPr>
              <w:t>Weighted-average common shares outstanding for diluted EPS</w:t>
            </w:r>
          </w:p>
        </w:tc>
        <w:tc>
          <w:tcPr>
            <w:tcW w:w="1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241,903</w:t>
            </w:r>
          </w:p>
        </w:tc>
        <w:tc>
          <w:tcPr>
            <w:tcW w:w="1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250,373</w:t>
            </w:r>
          </w:p>
        </w:tc>
      </w:tr>
      <w:tr>
        <w:trPr>
          <w:trHeight w:val="276"/>
        </w:trPr>
        <w:tc>
          <w:tcPr>
            <w:tcW w:w="6320" w:type="dxa"/>
            <w:vAlign w:val="bottom"/>
            <w:gridSpan w:val="2"/>
          </w:tcPr>
          <w:p>
            <w:pPr>
              <w:spacing w:after="0"/>
              <w:rPr>
                <w:sz w:val="20"/>
                <w:szCs w:val="20"/>
                <w:color w:val="auto"/>
              </w:rPr>
            </w:pPr>
            <w:r>
              <w:rPr>
                <w:rFonts w:ascii="Arial" w:cs="Arial" w:eastAsia="Arial" w:hAnsi="Arial"/>
                <w:sz w:val="12"/>
                <w:szCs w:val="12"/>
                <w:color w:val="auto"/>
              </w:rPr>
              <w:t>Earnings per share:</w:t>
            </w:r>
          </w:p>
        </w:tc>
        <w:tc>
          <w:tcPr>
            <w:tcW w:w="18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34"/>
        </w:trPr>
        <w:tc>
          <w:tcPr>
            <w:tcW w:w="20" w:type="dxa"/>
            <w:vAlign w:val="bottom"/>
          </w:tcPr>
          <w:p>
            <w:pPr>
              <w:spacing w:after="0"/>
              <w:rPr>
                <w:sz w:val="11"/>
                <w:szCs w:val="11"/>
                <w:color w:val="auto"/>
              </w:rPr>
            </w:pPr>
          </w:p>
        </w:tc>
        <w:tc>
          <w:tcPr>
            <w:tcW w:w="6300" w:type="dxa"/>
            <w:vAlign w:val="bottom"/>
          </w:tcPr>
          <w:p>
            <w:pPr>
              <w:ind w:left="120"/>
              <w:spacing w:after="0" w:line="134" w:lineRule="exact"/>
              <w:rPr>
                <w:sz w:val="20"/>
                <w:szCs w:val="20"/>
                <w:color w:val="auto"/>
              </w:rPr>
            </w:pPr>
            <w:r>
              <w:rPr>
                <w:rFonts w:ascii="Arial" w:cs="Arial" w:eastAsia="Arial" w:hAnsi="Arial"/>
                <w:sz w:val="12"/>
                <w:szCs w:val="12"/>
                <w:color w:val="auto"/>
              </w:rPr>
              <w:t>Basic</w:t>
            </w:r>
          </w:p>
        </w:tc>
        <w:tc>
          <w:tcPr>
            <w:tcW w:w="2860" w:type="dxa"/>
            <w:vAlign w:val="bottom"/>
            <w:gridSpan w:val="2"/>
          </w:tcPr>
          <w:p>
            <w:pPr>
              <w:jc w:val="right"/>
              <w:ind w:right="945"/>
              <w:spacing w:after="0" w:line="134"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4" w:lineRule="exact"/>
              <w:rPr>
                <w:sz w:val="20"/>
                <w:szCs w:val="20"/>
                <w:color w:val="auto"/>
              </w:rPr>
            </w:pPr>
            <w:r>
              <w:rPr>
                <w:rFonts w:ascii="Arial" w:cs="Arial" w:eastAsia="Arial" w:hAnsi="Arial"/>
                <w:sz w:val="12"/>
                <w:szCs w:val="12"/>
                <w:color w:val="auto"/>
              </w:rPr>
              <w:t>1.07</w:t>
            </w:r>
          </w:p>
        </w:tc>
        <w:tc>
          <w:tcPr>
            <w:tcW w:w="1100" w:type="dxa"/>
            <w:vAlign w:val="bottom"/>
          </w:tcPr>
          <w:p>
            <w:pPr>
              <w:jc w:val="right"/>
              <w:ind w:right="960"/>
              <w:spacing w:after="0" w:line="134" w:lineRule="exact"/>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0.43</w:t>
            </w:r>
          </w:p>
        </w:tc>
      </w:tr>
      <w:tr>
        <w:trPr>
          <w:trHeight w:val="144"/>
        </w:trPr>
        <w:tc>
          <w:tcPr>
            <w:tcW w:w="20" w:type="dxa"/>
            <w:vAlign w:val="bottom"/>
          </w:tcPr>
          <w:p>
            <w:pPr>
              <w:spacing w:after="0"/>
              <w:rPr>
                <w:sz w:val="12"/>
                <w:szCs w:val="12"/>
                <w:color w:val="auto"/>
              </w:rPr>
            </w:pPr>
          </w:p>
        </w:tc>
        <w:tc>
          <w:tcPr>
            <w:tcW w:w="63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Diluted</w:t>
            </w:r>
          </w:p>
        </w:tc>
        <w:tc>
          <w:tcPr>
            <w:tcW w:w="2860" w:type="dxa"/>
            <w:vAlign w:val="bottom"/>
            <w:tcBorders>
              <w:bottom w:val="single" w:sz="8" w:color="auto"/>
            </w:tcBorders>
            <w:gridSpan w:val="2"/>
          </w:tcPr>
          <w:p>
            <w:pPr>
              <w:jc w:val="right"/>
              <w:ind w:right="945"/>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w:t>
            </w:r>
          </w:p>
        </w:tc>
        <w:tc>
          <w:tcPr>
            <w:tcW w:w="1100" w:type="dxa"/>
            <w:vAlign w:val="bottom"/>
            <w:tcBorders>
              <w:bottom w:val="single" w:sz="8" w:color="auto"/>
            </w:tcBorders>
          </w:tcPr>
          <w:p>
            <w:pPr>
              <w:jc w:val="right"/>
              <w:ind w:right="960"/>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0.42</w:t>
            </w:r>
          </w:p>
        </w:tc>
      </w:tr>
    </w:tbl>
    <w:p>
      <w:pPr>
        <w:spacing w:after="0" w:line="175" w:lineRule="exact"/>
        <w:rPr>
          <w:sz w:val="20"/>
          <w:szCs w:val="20"/>
          <w:color w:val="auto"/>
        </w:rPr>
      </w:pPr>
    </w:p>
    <w:p>
      <w:pPr>
        <w:ind w:right="80"/>
        <w:spacing w:after="0" w:line="275" w:lineRule="auto"/>
        <w:rPr>
          <w:sz w:val="20"/>
          <w:szCs w:val="20"/>
          <w:color w:val="auto"/>
        </w:rPr>
      </w:pPr>
      <w:r>
        <w:rPr>
          <w:rFonts w:ascii="Arial" w:cs="Arial" w:eastAsia="Arial" w:hAnsi="Arial"/>
          <w:sz w:val="13"/>
          <w:szCs w:val="13"/>
          <w:color w:val="auto"/>
        </w:rPr>
        <w:t>The dilution from common stock options is based on the treasury stock method. Under this method, proceeds based on the exercise price plus unearned compensation and windfall tax benefits and minus tax shortfalls are assumed to be used to repurchase shares on the open market at the average market price for the period. The windfall tax benefits are tax deductions we would receive upon the assumed exercise of stock options in excess of the deferred income taxes we recorded related to the compensation expense on the stock options. Tax shortfalls occur when the assumed tax deductions are less than recorded deferred income taxes. The calculation excludes options for which the exercise price on common stock was greater than the average market price during the period. We had 2,120,225 and 2,180,900 such stock options outstanding during the three months ended March 31, 2011 and 2010, respectively.</w:t>
      </w:r>
    </w:p>
    <w:p>
      <w:pPr>
        <w:spacing w:after="0" w:line="136" w:lineRule="exact"/>
        <w:rPr>
          <w:sz w:val="20"/>
          <w:szCs w:val="20"/>
          <w:color w:val="auto"/>
        </w:rPr>
      </w:pPr>
    </w:p>
    <w:p>
      <w:pPr>
        <w:ind w:right="400"/>
        <w:spacing w:after="0" w:line="267" w:lineRule="auto"/>
        <w:rPr>
          <w:sz w:val="20"/>
          <w:szCs w:val="20"/>
          <w:color w:val="auto"/>
        </w:rPr>
      </w:pPr>
      <w:r>
        <w:rPr>
          <w:rFonts w:ascii="Arial" w:cs="Arial" w:eastAsia="Arial" w:hAnsi="Arial"/>
          <w:sz w:val="14"/>
          <w:szCs w:val="14"/>
          <w:color w:val="auto"/>
        </w:rPr>
        <w:t>We had 10,800 and 9,900 stock options outstanding during the three months ended March 31, 2011 and 2010, respectively, that were antidilutive because of the unearned compensation and windfall tax benefits included in the assumed proceeds under the treasury stock method.</w:t>
      </w:r>
    </w:p>
    <w:p>
      <w:pPr>
        <w:spacing w:after="0" w:line="138"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The dilution from unvested restricted stock awards (RSAs) and restricted stock units (RSUs) is also based on the treasury stock method. Assumed proceeds equal to the unearned compensation and windfall tax benefits and minus tax shortfalls related to the awards and units are assumed to be used to repurchase shares on the open market at the average market price for the period. The windfall tax benefits or tax shortfalls are the difference between tax deductions we would receive upon the assumed vesting of RSAs or RSUs and the deferred income taxes we recorded related to the compensation expense on such awards and units. During the three months ended March 31, 2011, we had 997,609 RSUs that were antidilutive because of the unearned compensation and windfall tax benefits included in the assumed proceeds under the treasury stock method. There were no such antidilutive RSUs for the three months ended March 31, 2010 and no such antidilutive RSAs for the three months ended March 31, 2011 or 2010.</w:t>
      </w:r>
    </w:p>
    <w:p>
      <w:pPr>
        <w:spacing w:after="0" w:line="151" w:lineRule="exact"/>
        <w:rPr>
          <w:sz w:val="20"/>
          <w:szCs w:val="20"/>
          <w:color w:val="auto"/>
        </w:rPr>
      </w:pPr>
    </w:p>
    <w:p>
      <w:pPr>
        <w:ind w:right="80"/>
        <w:spacing w:after="0" w:line="275" w:lineRule="auto"/>
        <w:rPr>
          <w:sz w:val="20"/>
          <w:szCs w:val="20"/>
          <w:color w:val="auto"/>
        </w:rPr>
      </w:pPr>
      <w:r>
        <w:rPr>
          <w:rFonts w:ascii="Arial" w:cs="Arial" w:eastAsia="Arial" w:hAnsi="Arial"/>
          <w:sz w:val="13"/>
          <w:szCs w:val="13"/>
          <w:color w:val="auto"/>
        </w:rPr>
        <w:t>Because our RSAs and RSUs are performance based, they are included in potential dilutive shares at zero to 100 percent and zero to 150 percent, respectively, to the extent that they currently meet the performance requirements for vesting, subject to the application of the treasury stock method. For the three months ended March 31, 2011, 762,592 shares related to RSU grants were excluded from potential dilutive shares, as the performance goal had not been met for these grants. The remaining 1,597,632 shares related to RSU grants were included at 70 to 88 percent, and 26,733 shares related to the RSA grants were included at 100 percent. For the three months ended March 31, 2010, 2,353,535 shares related to RSU grants were included in potential dilutive shares at 150 percent, and 850,349 shares related to RSA grants were included at 100 percent based on the applicable performance threshold.</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 REPURCHASE PROGRAM</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In September 2010, we entered into a share repurchase program under which we prepaid $500 million to repurchase shares of our common stock in a share forward transaction. The program was completed in March 2011 with a total of 9,574,435 shares repurchased at an average price of $52.22 per share. Our outstanding shares used to calculate earnings per share were reduced by the number of shares repurchased when they were delivered to us, and the $500 million purchase price was recorded as a reduction in shareholders’ equity upon its prepayment. We received 5,670,006 shares during the quarter ended September 30, 2010; 2,407,994 shares on October 4, 2010 and 1,496,435 shares on March 22, 2011. We discuss the repurchase program further in Note 13 of the Notes to Consolidated Financial Statements in the Annual Report.</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SHARE-BASED COMPENSATION</w:t>
      </w:r>
    </w:p>
    <w:p>
      <w:pPr>
        <w:sectPr>
          <w:pgSz w:w="11900" w:h="16838" w:orient="portrait"/>
          <w:cols w:equalWidth="0" w:num="1">
            <w:col w:w="11460"/>
          </w:cols>
          <w:pgMar w:left="220" w:top="127" w:right="219" w:bottom="0" w:gutter="0" w:footer="0" w:header="0"/>
        </w:sectPr>
      </w:pPr>
    </w:p>
    <w:bookmarkStart w:id="27" w:name="page28"/>
    <w:bookmarkEnd w:id="27"/>
    <w:p>
      <w:pPr>
        <w:spacing w:after="0" w:line="39"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We discuss our share-based compensation plans in Note 9 of the Notes to Consolidated Financial Statements in the Annual Report. We recorded share-based compensation expense, net of income taxes, of $6 million and $7 million for the three months ended March 31, 2011 and 2010, respectively. Pursuant to our share-based compensation plans, we granted 999,200 restricted stock units and 11,876 restricted stock awards during the three months ended March 31, 2011, primarily in January.</w:t>
      </w: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CAPITALIZED FINANCING COSTS</w:t>
      </w:r>
    </w:p>
    <w:p>
      <w:pPr>
        <w:spacing w:after="0" w:line="176" w:lineRule="exact"/>
        <w:rPr>
          <w:sz w:val="20"/>
          <w:szCs w:val="20"/>
          <w:color w:val="auto"/>
        </w:rPr>
      </w:pPr>
    </w:p>
    <w:p>
      <w:pPr>
        <w:ind w:right="160"/>
        <w:spacing w:after="0" w:line="267" w:lineRule="auto"/>
        <w:rPr>
          <w:sz w:val="20"/>
          <w:szCs w:val="20"/>
          <w:color w:val="auto"/>
        </w:rPr>
      </w:pPr>
      <w:r>
        <w:rPr>
          <w:rFonts w:ascii="Arial" w:cs="Arial" w:eastAsia="Arial" w:hAnsi="Arial"/>
          <w:sz w:val="14"/>
          <w:szCs w:val="14"/>
          <w:color w:val="auto"/>
        </w:rPr>
        <w:t>Capitalized financing costs include capitalized interest costs and, at the Sempra Utilities, an allowance for funds used during construction (AFUDC) related to both debt and equity financing of construction projects. The following table shows capitalized financing costs for the three months ended March 31, 2011 and 2010.</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CAPITALIZED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(Dollars in millions)</w:t>
      </w:r>
    </w:p>
    <w:p>
      <w:pPr>
        <w:ind w:left="8580"/>
        <w:spacing w:after="0"/>
        <w:rPr>
          <w:sz w:val="20"/>
          <w:szCs w:val="20"/>
          <w:color w:val="auto"/>
        </w:rPr>
      </w:pPr>
      <w:r>
        <w:rPr>
          <w:rFonts w:ascii="Arial" w:cs="Arial" w:eastAsia="Arial" w:hAnsi="Arial"/>
          <w:sz w:val="11"/>
          <w:szCs w:val="1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4589780</wp:posOffset>
            </wp:positionH>
            <wp:positionV relativeFrom="paragraph">
              <wp:posOffset>-3175</wp:posOffset>
            </wp:positionV>
            <wp:extent cx="2691130" cy="13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91130" cy="13335"/>
                    </a:xfrm>
                    <a:prstGeom prst="rect">
                      <a:avLst/>
                    </a:prstGeom>
                    <a:noFill/>
                  </pic:spPr>
                </pic:pic>
              </a:graphicData>
            </a:graphic>
          </wp:anchor>
        </w:drawing>
      </w:r>
    </w:p>
    <w:p>
      <w:pPr>
        <w:spacing w:after="0" w:line="9" w:lineRule="exact"/>
        <w:rPr>
          <w:sz w:val="20"/>
          <w:szCs w:val="20"/>
          <w:color w:val="auto"/>
        </w:rPr>
      </w:pPr>
    </w:p>
    <w:p>
      <w:pPr>
        <w:ind w:left="8080"/>
        <w:spacing w:after="0"/>
        <w:tabs>
          <w:tab w:leader="none" w:pos="10180" w:val="left"/>
        </w:tabs>
        <w:rPr>
          <w:sz w:val="20"/>
          <w:szCs w:val="20"/>
          <w:color w:val="auto"/>
        </w:rPr>
      </w:pPr>
      <w:r>
        <w:rPr>
          <w:rFonts w:ascii="Arial" w:cs="Arial" w:eastAsia="Arial" w:hAnsi="Arial"/>
          <w:sz w:val="11"/>
          <w:szCs w:val="11"/>
          <w:color w:val="auto"/>
        </w:rPr>
        <w:t>2011</w:t>
      </w:r>
      <w:r>
        <w:rPr>
          <w:sz w:val="20"/>
          <w:szCs w:val="20"/>
          <w:color w:val="auto"/>
        </w:rPr>
        <w:tab/>
      </w:r>
      <w:r>
        <w:rPr>
          <w:rFonts w:ascii="Arial" w:cs="Arial" w:eastAsia="Arial" w:hAnsi="Arial"/>
          <w:sz w:val="11"/>
          <w:szCs w:val="1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279005" cy="13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sectPr>
          <w:pgSz w:w="11900" w:h="16878" w:orient="portrait"/>
          <w:cols w:equalWidth="0" w:num="1">
            <w:col w:w="11460"/>
          </w:cols>
          <w:pgMar w:left="220" w:top="129" w:right="219" w:bottom="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Sempra Energy Consolidated:</w:t>
      </w:r>
    </w:p>
    <w:p>
      <w:pPr>
        <w:ind w:left="140"/>
        <w:spacing w:after="0" w:line="233" w:lineRule="auto"/>
        <w:rPr>
          <w:sz w:val="20"/>
          <w:szCs w:val="20"/>
          <w:color w:val="auto"/>
        </w:rPr>
      </w:pPr>
      <w:r>
        <w:rPr>
          <w:rFonts w:ascii="Arial" w:cs="Arial" w:eastAsia="Arial" w:hAnsi="Arial"/>
          <w:sz w:val="12"/>
          <w:szCs w:val="12"/>
          <w:color w:val="auto"/>
        </w:rPr>
        <w:t>AFUDC related to debt</w:t>
      </w:r>
    </w:p>
    <w:p>
      <w:pPr>
        <w:ind w:left="140"/>
        <w:spacing w:after="0"/>
        <w:rPr>
          <w:sz w:val="20"/>
          <w:szCs w:val="20"/>
          <w:color w:val="auto"/>
        </w:rPr>
      </w:pPr>
      <w:r>
        <w:rPr>
          <w:rFonts w:ascii="Arial" w:cs="Arial" w:eastAsia="Arial" w:hAnsi="Arial"/>
          <w:sz w:val="12"/>
          <w:szCs w:val="12"/>
          <w:color w:val="auto"/>
        </w:rPr>
        <w:t>AFUDC related to equity</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2"/>
          <w:szCs w:val="12"/>
          <w:color w:val="auto"/>
        </w:rPr>
        <w:t>Other capitalized financing costs</w:t>
      </w:r>
    </w:p>
    <w:p>
      <w:pPr>
        <w:ind w:left="280"/>
        <w:spacing w:after="0"/>
        <w:rPr>
          <w:sz w:val="20"/>
          <w:szCs w:val="20"/>
          <w:color w:val="auto"/>
        </w:rPr>
      </w:pPr>
      <w:r>
        <w:rPr>
          <w:rFonts w:ascii="Arial" w:cs="Arial" w:eastAsia="Arial" w:hAnsi="Arial"/>
          <w:sz w:val="12"/>
          <w:szCs w:val="12"/>
          <w:color w:val="auto"/>
        </w:rPr>
        <w:t>Total Sempra Energy Consolidated</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SDG&amp;E:</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2"/>
          <w:szCs w:val="12"/>
          <w:color w:val="auto"/>
        </w:rPr>
        <w:t>AFUDC related to debt</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2"/>
          <w:szCs w:val="12"/>
          <w:color w:val="auto"/>
        </w:rPr>
        <w:t>AFUDC related to equity</w:t>
      </w:r>
    </w:p>
    <w:p>
      <w:pPr>
        <w:ind w:left="280"/>
        <w:spacing w:after="0"/>
        <w:rPr>
          <w:sz w:val="20"/>
          <w:szCs w:val="20"/>
          <w:color w:val="auto"/>
        </w:rPr>
      </w:pPr>
      <w:r>
        <w:rPr>
          <w:rFonts w:ascii="Arial" w:cs="Arial" w:eastAsia="Arial" w:hAnsi="Arial"/>
          <w:sz w:val="12"/>
          <w:szCs w:val="12"/>
          <w:color w:val="auto"/>
        </w:rPr>
        <w:t>Total SDG&amp;E</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SoCalGas:</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2"/>
          <w:szCs w:val="12"/>
          <w:color w:val="auto"/>
        </w:rPr>
        <w:t>AFUDC related to debt</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2"/>
          <w:szCs w:val="12"/>
          <w:color w:val="auto"/>
        </w:rPr>
        <w:t>AFUDC related to equity</w:t>
      </w:r>
    </w:p>
    <w:p>
      <w:pPr>
        <w:ind w:left="280"/>
        <w:spacing w:after="0"/>
        <w:rPr>
          <w:sz w:val="20"/>
          <w:szCs w:val="20"/>
          <w:color w:val="auto"/>
        </w:rPr>
      </w:pPr>
      <w:r>
        <w:rPr>
          <w:rFonts w:ascii="Arial" w:cs="Arial" w:eastAsia="Arial" w:hAnsi="Arial"/>
          <w:sz w:val="12"/>
          <w:szCs w:val="12"/>
          <w:color w:val="auto"/>
        </w:rPr>
        <w:t>Total SoCalGas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940" w:type="dxa"/>
            <w:vAlign w:val="bottom"/>
          </w:tcPr>
          <w:p>
            <w:pPr>
              <w:jc w:val="right"/>
              <w:ind w:right="798"/>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8</w:t>
            </w:r>
          </w:p>
        </w:tc>
        <w:tc>
          <w:tcPr>
            <w:tcW w:w="1080" w:type="dxa"/>
            <w:vAlign w:val="bottom"/>
          </w:tcPr>
          <w:p>
            <w:pPr>
              <w:jc w:val="right"/>
              <w:ind w:right="938"/>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34"/>
        </w:trPr>
        <w:tc>
          <w:tcPr>
            <w:tcW w:w="940" w:type="dxa"/>
            <w:vAlign w:val="bottom"/>
          </w:tcPr>
          <w:p>
            <w:pPr>
              <w:spacing w:after="0"/>
              <w:rPr>
                <w:sz w:val="11"/>
                <w:szCs w:val="11"/>
                <w:color w:val="auto"/>
              </w:rPr>
            </w:pPr>
          </w:p>
        </w:tc>
        <w:tc>
          <w:tcPr>
            <w:tcW w:w="1040" w:type="dxa"/>
            <w:vAlign w:val="bottom"/>
          </w:tcPr>
          <w:p>
            <w:pPr>
              <w:jc w:val="right"/>
              <w:spacing w:after="0" w:line="134" w:lineRule="exact"/>
              <w:rPr>
                <w:sz w:val="20"/>
                <w:szCs w:val="20"/>
                <w:color w:val="auto"/>
              </w:rPr>
            </w:pPr>
            <w:r>
              <w:rPr>
                <w:rFonts w:ascii="Arial" w:cs="Arial" w:eastAsia="Arial" w:hAnsi="Arial"/>
                <w:sz w:val="12"/>
                <w:szCs w:val="12"/>
                <w:color w:val="auto"/>
              </w:rPr>
              <w:t>19</w:t>
            </w:r>
          </w:p>
        </w:tc>
        <w:tc>
          <w:tcPr>
            <w:tcW w:w="1080" w:type="dxa"/>
            <w:vAlign w:val="bottom"/>
          </w:tcPr>
          <w:p>
            <w:pPr>
              <w:spacing w:after="0"/>
              <w:rPr>
                <w:sz w:val="11"/>
                <w:szCs w:val="11"/>
                <w:color w:val="auto"/>
              </w:rPr>
            </w:pPr>
          </w:p>
        </w:tc>
        <w:tc>
          <w:tcPr>
            <w:tcW w:w="1180" w:type="dxa"/>
            <w:vAlign w:val="bottom"/>
          </w:tcPr>
          <w:p>
            <w:pPr>
              <w:jc w:val="right"/>
              <w:spacing w:after="0" w:line="134" w:lineRule="exact"/>
              <w:rPr>
                <w:sz w:val="20"/>
                <w:szCs w:val="20"/>
                <w:color w:val="auto"/>
              </w:rPr>
            </w:pPr>
            <w:r>
              <w:rPr>
                <w:rFonts w:ascii="Arial" w:cs="Arial" w:eastAsia="Arial" w:hAnsi="Arial"/>
                <w:sz w:val="12"/>
                <w:szCs w:val="12"/>
                <w:color w:val="auto"/>
              </w:rPr>
              <w:t>13</w:t>
            </w:r>
          </w:p>
        </w:tc>
      </w:tr>
      <w:tr>
        <w:trPr>
          <w:trHeight w:val="144"/>
        </w:trPr>
        <w:tc>
          <w:tcPr>
            <w:tcW w:w="9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10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r>
      <w:tr>
        <w:trPr>
          <w:trHeight w:val="148"/>
        </w:trPr>
        <w:tc>
          <w:tcPr>
            <w:tcW w:w="940" w:type="dxa"/>
            <w:vAlign w:val="bottom"/>
          </w:tcPr>
          <w:p>
            <w:pPr>
              <w:jc w:val="right"/>
              <w:ind w:right="798"/>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33</w:t>
            </w:r>
          </w:p>
        </w:tc>
        <w:tc>
          <w:tcPr>
            <w:tcW w:w="1080" w:type="dxa"/>
            <w:vAlign w:val="bottom"/>
          </w:tcPr>
          <w:p>
            <w:pPr>
              <w:jc w:val="right"/>
              <w:ind w:right="938"/>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25</w:t>
            </w:r>
          </w:p>
        </w:tc>
      </w:tr>
      <w:tr>
        <w:trPr>
          <w:trHeight w:val="267"/>
        </w:trPr>
        <w:tc>
          <w:tcPr>
            <w:tcW w:w="940" w:type="dxa"/>
            <w:vAlign w:val="bottom"/>
          </w:tcPr>
          <w:p>
            <w:pPr>
              <w:jc w:val="right"/>
              <w:ind w:right="798"/>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6</w:t>
            </w:r>
          </w:p>
        </w:tc>
        <w:tc>
          <w:tcPr>
            <w:tcW w:w="1080" w:type="dxa"/>
            <w:vAlign w:val="bottom"/>
          </w:tcPr>
          <w:p>
            <w:pPr>
              <w:jc w:val="right"/>
              <w:ind w:right="938"/>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44"/>
        </w:trPr>
        <w:tc>
          <w:tcPr>
            <w:tcW w:w="9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w:t>
            </w:r>
          </w:p>
        </w:tc>
        <w:tc>
          <w:tcPr>
            <w:tcW w:w="10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r>
      <w:tr>
        <w:trPr>
          <w:trHeight w:val="148"/>
        </w:trPr>
        <w:tc>
          <w:tcPr>
            <w:tcW w:w="940" w:type="dxa"/>
            <w:vAlign w:val="bottom"/>
          </w:tcPr>
          <w:p>
            <w:pPr>
              <w:jc w:val="right"/>
              <w:ind w:right="798"/>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21</w:t>
            </w:r>
          </w:p>
        </w:tc>
        <w:tc>
          <w:tcPr>
            <w:tcW w:w="1080" w:type="dxa"/>
            <w:vAlign w:val="bottom"/>
          </w:tcPr>
          <w:p>
            <w:pPr>
              <w:jc w:val="right"/>
              <w:ind w:right="938"/>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267"/>
        </w:trPr>
        <w:tc>
          <w:tcPr>
            <w:tcW w:w="940" w:type="dxa"/>
            <w:vAlign w:val="bottom"/>
          </w:tcPr>
          <w:p>
            <w:pPr>
              <w:jc w:val="right"/>
              <w:ind w:right="798"/>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w:t>
            </w:r>
          </w:p>
        </w:tc>
        <w:tc>
          <w:tcPr>
            <w:tcW w:w="1080" w:type="dxa"/>
            <w:vAlign w:val="bottom"/>
          </w:tcPr>
          <w:p>
            <w:pPr>
              <w:jc w:val="right"/>
              <w:ind w:right="938"/>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44"/>
        </w:trPr>
        <w:tc>
          <w:tcPr>
            <w:tcW w:w="9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10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r>
      <w:tr>
        <w:trPr>
          <w:trHeight w:val="148"/>
        </w:trPr>
        <w:tc>
          <w:tcPr>
            <w:tcW w:w="940" w:type="dxa"/>
            <w:vAlign w:val="bottom"/>
          </w:tcPr>
          <w:p>
            <w:pPr>
              <w:jc w:val="right"/>
              <w:ind w:right="798"/>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6</w:t>
            </w:r>
          </w:p>
        </w:tc>
        <w:tc>
          <w:tcPr>
            <w:tcW w:w="1080" w:type="dxa"/>
            <w:vAlign w:val="bottom"/>
          </w:tcPr>
          <w:p>
            <w:pPr>
              <w:jc w:val="right"/>
              <w:ind w:right="938"/>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-4582160</wp:posOffset>
            </wp:positionH>
            <wp:positionV relativeFrom="paragraph">
              <wp:posOffset>-743585</wp:posOffset>
            </wp:positionV>
            <wp:extent cx="7279005" cy="13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9005" cy="1333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-375920</wp:posOffset>
            </wp:positionV>
            <wp:extent cx="7279005" cy="13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9005" cy="1333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-8255</wp:posOffset>
            </wp:positionV>
            <wp:extent cx="7279005" cy="13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spacing w:after="0" w:line="200" w:lineRule="exact"/>
        <w:rPr>
          <w:sz w:val="20"/>
          <w:szCs w:val="20"/>
          <w:color w:val="auto"/>
        </w:rPr>
      </w:pPr>
    </w:p>
    <w:p>
      <w:pPr>
        <w:sectPr>
          <w:pgSz w:w="11900" w:h="16878" w:orient="portrait"/>
          <w:cols w:equalWidth="0" w:num="2">
            <w:col w:w="6500" w:space="720"/>
            <w:col w:w="4240"/>
          </w:cols>
          <w:pgMar w:left="220" w:top="129" w:right="219" w:bottom="0" w:gutter="0" w:footer="0" w:header="0"/>
          <w:type w:val="continuous"/>
        </w:sectPr>
      </w:pP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COMPREHENSIVE INCOME</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a reconciliation of net income to comprehensive income.</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(Dollars in millions)</w:t>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gridSpan w:val="2"/>
          </w:tcPr>
          <w:p>
            <w:pPr>
              <w:jc w:val="right"/>
              <w:ind w:right="300"/>
              <w:spacing w:after="0" w:line="121" w:lineRule="exact"/>
              <w:rPr>
                <w:sz w:val="20"/>
                <w:szCs w:val="20"/>
                <w:color w:val="auto"/>
              </w:rPr>
            </w:pPr>
            <w:r>
              <w:rPr>
                <w:rFonts w:ascii="Arial" w:cs="Arial" w:eastAsia="Arial" w:hAnsi="Arial"/>
                <w:sz w:val="11"/>
                <w:szCs w:val="11"/>
                <w:color w:val="auto"/>
              </w:rPr>
              <w:t>Three months ended March 31,</w:t>
            </w:r>
          </w:p>
        </w:tc>
        <w:tc>
          <w:tcPr>
            <w:tcW w:w="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160"/>
              <w:spacing w:after="0" w:line="124" w:lineRule="exact"/>
              <w:rPr>
                <w:sz w:val="20"/>
                <w:szCs w:val="20"/>
                <w:color w:val="auto"/>
              </w:rPr>
            </w:pPr>
            <w:r>
              <w:rPr>
                <w:rFonts w:ascii="Arial" w:cs="Arial" w:eastAsia="Arial" w:hAnsi="Arial"/>
                <w:sz w:val="11"/>
                <w:szCs w:val="11"/>
                <w:color w:val="auto"/>
                <w:w w:val="97"/>
              </w:rPr>
              <w:t>2011</w:t>
            </w:r>
          </w:p>
        </w:tc>
        <w:tc>
          <w:tcPr>
            <w:tcW w:w="2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center"/>
              <w:ind w:right="460"/>
              <w:spacing w:after="0" w:line="124" w:lineRule="exact"/>
              <w:rPr>
                <w:sz w:val="20"/>
                <w:szCs w:val="20"/>
                <w:color w:val="auto"/>
              </w:rPr>
            </w:pPr>
            <w:r>
              <w:rPr>
                <w:rFonts w:ascii="Arial" w:cs="Arial" w:eastAsia="Arial" w:hAnsi="Arial"/>
                <w:sz w:val="11"/>
                <w:szCs w:val="11"/>
                <w:color w:val="auto"/>
              </w:rPr>
              <w:t>2010</w:t>
            </w:r>
          </w:p>
        </w:tc>
        <w:tc>
          <w:tcPr>
            <w:tcW w:w="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jc w:val="center"/>
              <w:ind w:left="267"/>
              <w:spacing w:after="0"/>
              <w:rPr>
                <w:sz w:val="20"/>
                <w:szCs w:val="20"/>
                <w:color w:val="auto"/>
              </w:rPr>
            </w:pPr>
            <w:r>
              <w:rPr>
                <w:rFonts w:ascii="Arial" w:cs="Arial" w:eastAsia="Arial" w:hAnsi="Arial"/>
                <w:sz w:val="11"/>
                <w:szCs w:val="11"/>
                <w:color w:val="auto"/>
              </w:rPr>
              <w:t>Share-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60"/>
              <w:spacing w:after="0"/>
              <w:rPr>
                <w:sz w:val="20"/>
                <w:szCs w:val="20"/>
                <w:color w:val="auto"/>
              </w:rPr>
            </w:pPr>
            <w:r>
              <w:rPr>
                <w:rFonts w:ascii="Arial" w:cs="Arial" w:eastAsia="Arial" w:hAnsi="Arial"/>
                <w:sz w:val="11"/>
                <w:szCs w:val="11"/>
                <w:color w:val="auto"/>
              </w:rPr>
              <w:t>Non-</w:t>
            </w: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jc w:val="center"/>
              <w:ind w:left="500"/>
              <w:spacing w:after="0"/>
              <w:rPr>
                <w:sz w:val="20"/>
                <w:szCs w:val="20"/>
                <w:color w:val="auto"/>
              </w:rPr>
            </w:pPr>
            <w:r>
              <w:rPr>
                <w:rFonts w:ascii="Arial" w:cs="Arial" w:eastAsia="Arial" w:hAnsi="Arial"/>
                <w:sz w:val="11"/>
                <w:szCs w:val="11"/>
                <w:color w:val="auto"/>
                <w:w w:val="96"/>
              </w:rPr>
              <w:t>Share-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440"/>
              <w:spacing w:after="0"/>
              <w:rPr>
                <w:sz w:val="20"/>
                <w:szCs w:val="20"/>
                <w:color w:val="auto"/>
              </w:rPr>
            </w:pPr>
            <w:r>
              <w:rPr>
                <w:rFonts w:ascii="Arial" w:cs="Arial" w:eastAsia="Arial" w:hAnsi="Arial"/>
                <w:sz w:val="11"/>
                <w:szCs w:val="11"/>
                <w:color w:val="auto"/>
              </w:rPr>
              <w:t>Non-</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900" w:type="dxa"/>
            <w:vAlign w:val="bottom"/>
          </w:tcPr>
          <w:p>
            <w:pPr>
              <w:jc w:val="center"/>
              <w:ind w:left="267"/>
              <w:spacing w:after="0"/>
              <w:rPr>
                <w:sz w:val="20"/>
                <w:szCs w:val="20"/>
                <w:color w:val="auto"/>
              </w:rPr>
            </w:pPr>
            <w:r>
              <w:rPr>
                <w:rFonts w:ascii="Arial" w:cs="Arial" w:eastAsia="Arial" w:hAnsi="Arial"/>
                <w:sz w:val="11"/>
                <w:szCs w:val="11"/>
                <w:color w:val="auto"/>
                <w:w w:val="99"/>
              </w:rPr>
              <w:t>holders'</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ind w:right="140"/>
              <w:spacing w:after="0"/>
              <w:rPr>
                <w:sz w:val="20"/>
                <w:szCs w:val="20"/>
                <w:color w:val="auto"/>
              </w:rPr>
            </w:pPr>
            <w:r>
              <w:rPr>
                <w:rFonts w:ascii="Arial" w:cs="Arial" w:eastAsia="Arial" w:hAnsi="Arial"/>
                <w:sz w:val="11"/>
                <w:szCs w:val="11"/>
                <w:color w:val="auto"/>
                <w:w w:val="99"/>
              </w:rPr>
              <w:t>controlling</w:t>
            </w:r>
          </w:p>
        </w:tc>
        <w:tc>
          <w:tcPr>
            <w:tcW w:w="280" w:type="dxa"/>
            <w:vAlign w:val="bottom"/>
          </w:tcPr>
          <w:p>
            <w:pPr>
              <w:spacing w:after="0"/>
              <w:rPr>
                <w:sz w:val="11"/>
                <w:szCs w:val="11"/>
                <w:color w:val="auto"/>
              </w:rPr>
            </w:pPr>
          </w:p>
        </w:tc>
        <w:tc>
          <w:tcPr>
            <w:tcW w:w="1220" w:type="dxa"/>
            <w:vAlign w:val="bottom"/>
          </w:tcPr>
          <w:p>
            <w:pPr>
              <w:jc w:val="right"/>
              <w:ind w:right="699"/>
              <w:spacing w:after="0"/>
              <w:rPr>
                <w:sz w:val="20"/>
                <w:szCs w:val="20"/>
                <w:color w:val="auto"/>
              </w:rPr>
            </w:pPr>
            <w:r>
              <w:rPr>
                <w:rFonts w:ascii="Arial" w:cs="Arial" w:eastAsia="Arial" w:hAnsi="Arial"/>
                <w:sz w:val="11"/>
                <w:szCs w:val="11"/>
                <w:color w:val="auto"/>
              </w:rPr>
              <w:t>Total</w:t>
            </w:r>
          </w:p>
        </w:tc>
        <w:tc>
          <w:tcPr>
            <w:tcW w:w="1160" w:type="dxa"/>
            <w:vAlign w:val="bottom"/>
          </w:tcPr>
          <w:p>
            <w:pPr>
              <w:jc w:val="center"/>
              <w:ind w:left="520"/>
              <w:spacing w:after="0"/>
              <w:rPr>
                <w:sz w:val="20"/>
                <w:szCs w:val="20"/>
                <w:color w:val="auto"/>
              </w:rPr>
            </w:pPr>
            <w:r>
              <w:rPr>
                <w:rFonts w:ascii="Arial" w:cs="Arial" w:eastAsia="Arial" w:hAnsi="Arial"/>
                <w:sz w:val="11"/>
                <w:szCs w:val="11"/>
                <w:color w:val="auto"/>
                <w:w w:val="99"/>
              </w:rPr>
              <w:t>holders'</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jc w:val="center"/>
              <w:ind w:right="420"/>
              <w:spacing w:after="0"/>
              <w:rPr>
                <w:sz w:val="20"/>
                <w:szCs w:val="20"/>
                <w:color w:val="auto"/>
              </w:rPr>
            </w:pPr>
            <w:r>
              <w:rPr>
                <w:rFonts w:ascii="Arial" w:cs="Arial" w:eastAsia="Arial" w:hAnsi="Arial"/>
                <w:sz w:val="11"/>
                <w:szCs w:val="11"/>
                <w:color w:val="auto"/>
                <w:w w:val="99"/>
              </w:rPr>
              <w:t>controlling</w:t>
            </w:r>
          </w:p>
        </w:tc>
        <w:tc>
          <w:tcPr>
            <w:tcW w:w="960" w:type="dxa"/>
            <w:vAlign w:val="bottom"/>
          </w:tcPr>
          <w:p>
            <w:pPr>
              <w:jc w:val="right"/>
              <w:ind w:right="439"/>
              <w:spacing w:after="0"/>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5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left="247"/>
              <w:spacing w:after="0" w:line="123" w:lineRule="exact"/>
              <w:rPr>
                <w:sz w:val="20"/>
                <w:szCs w:val="20"/>
                <w:color w:val="auto"/>
              </w:rPr>
            </w:pPr>
            <w:r>
              <w:rPr>
                <w:rFonts w:ascii="Arial" w:cs="Arial" w:eastAsia="Arial" w:hAnsi="Arial"/>
                <w:sz w:val="11"/>
                <w:szCs w:val="11"/>
                <w:color w:val="auto"/>
                <w:w w:val="99"/>
              </w:rPr>
              <w:t>Equity(1)</w:t>
            </w:r>
          </w:p>
        </w:tc>
        <w:tc>
          <w:tcPr>
            <w:tcW w:w="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140"/>
              <w:spacing w:after="0" w:line="123" w:lineRule="exact"/>
              <w:rPr>
                <w:sz w:val="20"/>
                <w:szCs w:val="20"/>
                <w:color w:val="auto"/>
              </w:rPr>
            </w:pPr>
            <w:r>
              <w:rPr>
                <w:rFonts w:ascii="Arial" w:cs="Arial" w:eastAsia="Arial" w:hAnsi="Arial"/>
                <w:sz w:val="11"/>
                <w:szCs w:val="11"/>
                <w:color w:val="auto"/>
                <w:w w:val="99"/>
              </w:rPr>
              <w:t>Interests</w:t>
            </w:r>
          </w:p>
        </w:tc>
        <w:tc>
          <w:tcPr>
            <w:tcW w:w="2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659"/>
              <w:spacing w:after="0" w:line="123" w:lineRule="exact"/>
              <w:rPr>
                <w:sz w:val="20"/>
                <w:szCs w:val="20"/>
                <w:color w:val="auto"/>
              </w:rPr>
            </w:pPr>
            <w:r>
              <w:rPr>
                <w:rFonts w:ascii="Arial" w:cs="Arial" w:eastAsia="Arial" w:hAnsi="Arial"/>
                <w:sz w:val="11"/>
                <w:szCs w:val="11"/>
                <w:color w:val="auto"/>
              </w:rPr>
              <w:t>Equity</w:t>
            </w:r>
          </w:p>
        </w:tc>
        <w:tc>
          <w:tcPr>
            <w:tcW w:w="1160" w:type="dxa"/>
            <w:vAlign w:val="bottom"/>
            <w:tcBorders>
              <w:bottom w:val="single" w:sz="8" w:color="auto"/>
            </w:tcBorders>
          </w:tcPr>
          <w:p>
            <w:pPr>
              <w:jc w:val="center"/>
              <w:ind w:left="500"/>
              <w:spacing w:after="0" w:line="123" w:lineRule="exact"/>
              <w:rPr>
                <w:sz w:val="20"/>
                <w:szCs w:val="20"/>
                <w:color w:val="auto"/>
              </w:rPr>
            </w:pPr>
            <w:r>
              <w:rPr>
                <w:rFonts w:ascii="Arial" w:cs="Arial" w:eastAsia="Arial" w:hAnsi="Arial"/>
                <w:sz w:val="11"/>
                <w:szCs w:val="11"/>
                <w:color w:val="auto"/>
                <w:w w:val="99"/>
              </w:rPr>
              <w:t>Equity(1)</w:t>
            </w:r>
          </w:p>
        </w:tc>
        <w:tc>
          <w:tcPr>
            <w:tcW w:w="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center"/>
              <w:ind w:right="420"/>
              <w:spacing w:after="0" w:line="123" w:lineRule="exact"/>
              <w:rPr>
                <w:sz w:val="20"/>
                <w:szCs w:val="20"/>
                <w:color w:val="auto"/>
              </w:rPr>
            </w:pPr>
            <w:r>
              <w:rPr>
                <w:rFonts w:ascii="Arial" w:cs="Arial" w:eastAsia="Arial" w:hAnsi="Arial"/>
                <w:sz w:val="11"/>
                <w:szCs w:val="11"/>
                <w:color w:val="auto"/>
                <w:w w:val="99"/>
              </w:rPr>
              <w:t>Interests</w:t>
            </w:r>
          </w:p>
        </w:tc>
        <w:tc>
          <w:tcPr>
            <w:tcW w:w="960" w:type="dxa"/>
            <w:vAlign w:val="bottom"/>
            <w:tcBorders>
              <w:bottom w:val="single" w:sz="8" w:color="auto"/>
            </w:tcBorders>
          </w:tcPr>
          <w:p>
            <w:pPr>
              <w:jc w:val="right"/>
              <w:ind w:right="399"/>
              <w:spacing w:after="0" w:line="123" w:lineRule="exact"/>
              <w:rPr>
                <w:sz w:val="20"/>
                <w:szCs w:val="20"/>
                <w:color w:val="auto"/>
              </w:rPr>
            </w:pPr>
            <w:r>
              <w:rPr>
                <w:rFonts w:ascii="Arial" w:cs="Arial" w:eastAsia="Arial" w:hAnsi="Arial"/>
                <w:sz w:val="11"/>
                <w:szCs w:val="11"/>
                <w:color w:val="auto"/>
              </w:rPr>
              <w:t>Equity</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60" w:type="dxa"/>
            <w:vAlign w:val="bottom"/>
          </w:tcPr>
          <w:p>
            <w:pPr>
              <w:spacing w:after="0" w:line="126" w:lineRule="exact"/>
              <w:rPr>
                <w:sz w:val="20"/>
                <w:szCs w:val="20"/>
                <w:color w:val="auto"/>
              </w:rPr>
            </w:pPr>
            <w:r>
              <w:rPr>
                <w:rFonts w:ascii="Arial" w:cs="Arial" w:eastAsia="Arial" w:hAnsi="Arial"/>
                <w:sz w:val="12"/>
                <w:szCs w:val="12"/>
                <w:b w:val="1"/>
                <w:bCs w:val="1"/>
                <w:color w:val="auto"/>
              </w:rPr>
              <w:t>Sempra Energy Consolidated:</w:t>
            </w: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60" w:type="dxa"/>
            <w:vAlign w:val="bottom"/>
          </w:tcPr>
          <w:p>
            <w:pPr>
              <w:ind w:left="120"/>
              <w:spacing w:after="0" w:line="134" w:lineRule="exact"/>
              <w:rPr>
                <w:sz w:val="20"/>
                <w:szCs w:val="20"/>
                <w:color w:val="auto"/>
              </w:rPr>
            </w:pPr>
            <w:r>
              <w:rPr>
                <w:rFonts w:ascii="Arial" w:cs="Arial" w:eastAsia="Arial" w:hAnsi="Arial"/>
                <w:sz w:val="12"/>
                <w:szCs w:val="12"/>
                <w:color w:val="auto"/>
              </w:rPr>
              <w:t>Net income (loss)(2)</w:t>
            </w:r>
          </w:p>
        </w:tc>
        <w:tc>
          <w:tcPr>
            <w:tcW w:w="900" w:type="dxa"/>
            <w:vAlign w:val="bottom"/>
          </w:tcPr>
          <w:p>
            <w:pPr>
              <w:jc w:val="right"/>
              <w:ind w:right="787"/>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34" w:lineRule="exact"/>
              <w:rPr>
                <w:sz w:val="20"/>
                <w:szCs w:val="20"/>
                <w:color w:val="auto"/>
              </w:rPr>
            </w:pPr>
            <w:r>
              <w:rPr>
                <w:rFonts w:ascii="Arial" w:cs="Arial" w:eastAsia="Arial" w:hAnsi="Arial"/>
                <w:sz w:val="12"/>
                <w:szCs w:val="12"/>
                <w:color w:val="auto"/>
              </w:rPr>
              <w:t>260</w:t>
            </w: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34" w:lineRule="exact"/>
              <w:rPr>
                <w:sz w:val="20"/>
                <w:szCs w:val="20"/>
                <w:color w:val="auto"/>
              </w:rPr>
            </w:pPr>
            <w:r>
              <w:rPr>
                <w:rFonts w:ascii="Arial" w:cs="Arial" w:eastAsia="Arial" w:hAnsi="Arial"/>
                <w:sz w:val="12"/>
                <w:szCs w:val="12"/>
                <w:color w:val="auto"/>
              </w:rPr>
              <w:t>4</w:t>
            </w:r>
          </w:p>
        </w:tc>
        <w:tc>
          <w:tcPr>
            <w:tcW w:w="280" w:type="dxa"/>
            <w:vAlign w:val="bottom"/>
          </w:tcPr>
          <w:p>
            <w:pPr>
              <w:jc w:val="right"/>
              <w:ind w:right="138"/>
              <w:spacing w:after="0" w:line="134" w:lineRule="exact"/>
              <w:rPr>
                <w:sz w:val="20"/>
                <w:szCs w:val="20"/>
                <w:color w:val="auto"/>
              </w:rPr>
            </w:pPr>
            <w:r>
              <w:rPr>
                <w:rFonts w:ascii="Arial" w:cs="Arial" w:eastAsia="Arial" w:hAnsi="Arial"/>
                <w:sz w:val="12"/>
                <w:szCs w:val="12"/>
                <w:color w:val="auto"/>
                <w:w w:val="89"/>
              </w:rPr>
              <w:t>$</w:t>
            </w:r>
          </w:p>
        </w:tc>
        <w:tc>
          <w:tcPr>
            <w:tcW w:w="1220" w:type="dxa"/>
            <w:vAlign w:val="bottom"/>
          </w:tcPr>
          <w:p>
            <w:pPr>
              <w:jc w:val="right"/>
              <w:ind w:right="219"/>
              <w:spacing w:after="0" w:line="134" w:lineRule="exact"/>
              <w:rPr>
                <w:sz w:val="20"/>
                <w:szCs w:val="20"/>
                <w:color w:val="auto"/>
              </w:rPr>
            </w:pPr>
            <w:r>
              <w:rPr>
                <w:rFonts w:ascii="Arial" w:cs="Arial" w:eastAsia="Arial" w:hAnsi="Arial"/>
                <w:sz w:val="12"/>
                <w:szCs w:val="12"/>
                <w:color w:val="auto"/>
              </w:rPr>
              <w:t>264</w:t>
            </w:r>
          </w:p>
        </w:tc>
        <w:tc>
          <w:tcPr>
            <w:tcW w:w="1160" w:type="dxa"/>
            <w:vAlign w:val="bottom"/>
          </w:tcPr>
          <w:p>
            <w:pPr>
              <w:jc w:val="right"/>
              <w:ind w:right="780"/>
              <w:spacing w:after="0" w:line="134" w:lineRule="exact"/>
              <w:rPr>
                <w:sz w:val="20"/>
                <w:szCs w:val="20"/>
                <w:color w:val="auto"/>
              </w:rPr>
            </w:pPr>
            <w:r>
              <w:rPr>
                <w:rFonts w:ascii="Arial" w:cs="Arial" w:eastAsia="Arial" w:hAnsi="Arial"/>
                <w:sz w:val="12"/>
                <w:szCs w:val="12"/>
                <w:color w:val="auto"/>
              </w:rPr>
              <w:t>$</w:t>
            </w:r>
          </w:p>
        </w:tc>
        <w:tc>
          <w:tcPr>
            <w:tcW w:w="320" w:type="dxa"/>
            <w:vAlign w:val="bottom"/>
          </w:tcPr>
          <w:p>
            <w:pPr>
              <w:jc w:val="right"/>
              <w:spacing w:after="0" w:line="134" w:lineRule="exact"/>
              <w:rPr>
                <w:sz w:val="20"/>
                <w:szCs w:val="20"/>
                <w:color w:val="auto"/>
              </w:rPr>
            </w:pPr>
            <w:r>
              <w:rPr>
                <w:rFonts w:ascii="Arial" w:cs="Arial" w:eastAsia="Arial" w:hAnsi="Arial"/>
                <w:sz w:val="12"/>
                <w:szCs w:val="12"/>
                <w:color w:val="auto"/>
              </w:rPr>
              <w:t>108</w:t>
            </w:r>
          </w:p>
        </w:tc>
        <w:tc>
          <w:tcPr>
            <w:tcW w:w="220" w:type="dxa"/>
            <w:vAlign w:val="bottom"/>
          </w:tcPr>
          <w:p>
            <w:pPr>
              <w:jc w:val="right"/>
              <w:ind w:right="78"/>
              <w:spacing w:after="0" w:line="134" w:lineRule="exact"/>
              <w:rPr>
                <w:sz w:val="20"/>
                <w:szCs w:val="20"/>
                <w:color w:val="auto"/>
              </w:rPr>
            </w:pPr>
            <w:r>
              <w:rPr>
                <w:rFonts w:ascii="Arial" w:cs="Arial" w:eastAsia="Arial" w:hAnsi="Arial"/>
                <w:sz w:val="12"/>
                <w:szCs w:val="12"/>
                <w:color w:val="auto"/>
                <w:w w:val="89"/>
              </w:rPr>
              <w:t>$</w:t>
            </w:r>
          </w:p>
        </w:tc>
        <w:tc>
          <w:tcPr>
            <w:tcW w:w="1300" w:type="dxa"/>
            <w:vAlign w:val="bottom"/>
          </w:tcPr>
          <w:p>
            <w:pPr>
              <w:ind w:left="880"/>
              <w:spacing w:after="0" w:line="134" w:lineRule="exact"/>
              <w:rPr>
                <w:sz w:val="20"/>
                <w:szCs w:val="20"/>
                <w:color w:val="auto"/>
              </w:rPr>
            </w:pPr>
            <w:r>
              <w:rPr>
                <w:rFonts w:ascii="Arial" w:cs="Arial" w:eastAsia="Arial" w:hAnsi="Arial"/>
                <w:sz w:val="12"/>
                <w:szCs w:val="12"/>
                <w:color w:val="auto"/>
              </w:rPr>
              <w:t>(8)$</w:t>
            </w:r>
          </w:p>
        </w:tc>
        <w:tc>
          <w:tcPr>
            <w:tcW w:w="960" w:type="dxa"/>
            <w:vAlign w:val="bottom"/>
          </w:tcPr>
          <w:p>
            <w:pPr>
              <w:jc w:val="right"/>
              <w:spacing w:after="0" w:line="134" w:lineRule="exact"/>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60" w:type="dxa"/>
            <w:vAlign w:val="bottom"/>
          </w:tcPr>
          <w:p>
            <w:pPr>
              <w:ind w:left="120"/>
              <w:spacing w:after="0" w:line="134" w:lineRule="exact"/>
              <w:rPr>
                <w:sz w:val="20"/>
                <w:szCs w:val="20"/>
                <w:color w:val="auto"/>
              </w:rPr>
            </w:pPr>
            <w:r>
              <w:rPr>
                <w:rFonts w:ascii="Arial" w:cs="Arial" w:eastAsia="Arial" w:hAnsi="Arial"/>
                <w:sz w:val="12"/>
                <w:szCs w:val="12"/>
                <w:color w:val="auto"/>
              </w:rPr>
              <w:t>Foreign currency translation</w:t>
            </w: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60" w:type="dxa"/>
            <w:vAlign w:val="bottom"/>
          </w:tcPr>
          <w:p>
            <w:pPr>
              <w:ind w:left="260"/>
              <w:spacing w:after="0" w:line="134" w:lineRule="exact"/>
              <w:rPr>
                <w:sz w:val="20"/>
                <w:szCs w:val="20"/>
                <w:color w:val="auto"/>
              </w:rPr>
            </w:pPr>
            <w:r>
              <w:rPr>
                <w:rFonts w:ascii="Arial" w:cs="Arial" w:eastAsia="Arial" w:hAnsi="Arial"/>
                <w:sz w:val="12"/>
                <w:szCs w:val="12"/>
                <w:color w:val="auto"/>
              </w:rPr>
              <w:t>adjustments</w:t>
            </w:r>
          </w:p>
        </w:tc>
        <w:tc>
          <w:tcPr>
            <w:tcW w:w="900" w:type="dxa"/>
            <w:vAlign w:val="bottom"/>
          </w:tcPr>
          <w:p>
            <w:pPr>
              <w:spacing w:after="0"/>
              <w:rPr>
                <w:sz w:val="11"/>
                <w:szCs w:val="11"/>
                <w:color w:val="auto"/>
              </w:rPr>
            </w:pPr>
          </w:p>
        </w:tc>
        <w:tc>
          <w:tcPr>
            <w:tcW w:w="320" w:type="dxa"/>
            <w:vAlign w:val="bottom"/>
          </w:tcPr>
          <w:p>
            <w:pPr>
              <w:jc w:val="right"/>
              <w:spacing w:after="0" w:line="134" w:lineRule="exact"/>
              <w:rPr>
                <w:sz w:val="20"/>
                <w:szCs w:val="20"/>
                <w:color w:val="auto"/>
              </w:rPr>
            </w:pPr>
            <w:r>
              <w:rPr>
                <w:rFonts w:ascii="Arial" w:cs="Arial" w:eastAsia="Arial" w:hAnsi="Arial"/>
                <w:sz w:val="12"/>
                <w:szCs w:val="12"/>
                <w:color w:val="auto"/>
              </w:rPr>
              <w:t>(6)</w:t>
            </w:r>
          </w:p>
        </w:tc>
        <w:tc>
          <w:tcPr>
            <w:tcW w:w="22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1220" w:type="dxa"/>
            <w:vAlign w:val="bottom"/>
          </w:tcPr>
          <w:p>
            <w:pPr>
              <w:jc w:val="right"/>
              <w:ind w:right="199"/>
              <w:spacing w:after="0" w:line="134" w:lineRule="exact"/>
              <w:rPr>
                <w:sz w:val="20"/>
                <w:szCs w:val="20"/>
                <w:color w:val="auto"/>
              </w:rPr>
            </w:pPr>
            <w:r>
              <w:rPr>
                <w:rFonts w:ascii="Arial" w:cs="Arial" w:eastAsia="Arial" w:hAnsi="Arial"/>
                <w:sz w:val="12"/>
                <w:szCs w:val="12"/>
                <w:color w:val="auto"/>
              </w:rPr>
              <w:t>(6)</w:t>
            </w:r>
          </w:p>
        </w:tc>
        <w:tc>
          <w:tcPr>
            <w:tcW w:w="1160" w:type="dxa"/>
            <w:vAlign w:val="bottom"/>
          </w:tcPr>
          <w:p>
            <w:pPr>
              <w:spacing w:after="0"/>
              <w:rPr>
                <w:sz w:val="11"/>
                <w:szCs w:val="11"/>
                <w:color w:val="auto"/>
              </w:rPr>
            </w:pPr>
          </w:p>
        </w:tc>
        <w:tc>
          <w:tcPr>
            <w:tcW w:w="320" w:type="dxa"/>
            <w:vAlign w:val="bottom"/>
          </w:tcPr>
          <w:p>
            <w:pPr>
              <w:jc w:val="right"/>
              <w:spacing w:after="0" w:line="134" w:lineRule="exact"/>
              <w:rPr>
                <w:sz w:val="20"/>
                <w:szCs w:val="20"/>
                <w:color w:val="auto"/>
              </w:rPr>
            </w:pPr>
            <w:r>
              <w:rPr>
                <w:rFonts w:ascii="Arial" w:cs="Arial" w:eastAsia="Arial" w:hAnsi="Arial"/>
                <w:sz w:val="12"/>
                <w:szCs w:val="12"/>
                <w:color w:val="auto"/>
              </w:rPr>
              <w:t>(4)</w:t>
            </w:r>
          </w:p>
        </w:tc>
        <w:tc>
          <w:tcPr>
            <w:tcW w:w="220" w:type="dxa"/>
            <w:vAlign w:val="bottom"/>
          </w:tcPr>
          <w:p>
            <w:pPr>
              <w:spacing w:after="0"/>
              <w:rPr>
                <w:sz w:val="11"/>
                <w:szCs w:val="11"/>
                <w:color w:val="auto"/>
              </w:rPr>
            </w:pPr>
          </w:p>
        </w:tc>
        <w:tc>
          <w:tcPr>
            <w:tcW w:w="1300" w:type="dxa"/>
            <w:vAlign w:val="bottom"/>
          </w:tcPr>
          <w:p>
            <w:pPr>
              <w:ind w:left="860"/>
              <w:spacing w:after="0" w:line="134"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4"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60" w:type="dxa"/>
            <w:vAlign w:val="bottom"/>
          </w:tcPr>
          <w:p>
            <w:pPr>
              <w:ind w:left="120"/>
              <w:spacing w:after="0" w:line="134" w:lineRule="exact"/>
              <w:rPr>
                <w:sz w:val="20"/>
                <w:szCs w:val="20"/>
                <w:color w:val="auto"/>
              </w:rPr>
            </w:pPr>
            <w:r>
              <w:rPr>
                <w:rFonts w:ascii="Arial" w:cs="Arial" w:eastAsia="Arial" w:hAnsi="Arial"/>
                <w:sz w:val="12"/>
                <w:szCs w:val="12"/>
                <w:color w:val="auto"/>
              </w:rPr>
              <w:t>Financial instruments</w:t>
            </w:r>
          </w:p>
        </w:tc>
        <w:tc>
          <w:tcPr>
            <w:tcW w:w="900" w:type="dxa"/>
            <w:vAlign w:val="bottom"/>
          </w:tcPr>
          <w:p>
            <w:pPr>
              <w:spacing w:after="0"/>
              <w:rPr>
                <w:sz w:val="11"/>
                <w:szCs w:val="11"/>
                <w:color w:val="auto"/>
              </w:rPr>
            </w:pPr>
          </w:p>
        </w:tc>
        <w:tc>
          <w:tcPr>
            <w:tcW w:w="32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c>
          <w:tcPr>
            <w:tcW w:w="22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c>
          <w:tcPr>
            <w:tcW w:w="280" w:type="dxa"/>
            <w:vAlign w:val="bottom"/>
          </w:tcPr>
          <w:p>
            <w:pPr>
              <w:spacing w:after="0"/>
              <w:rPr>
                <w:sz w:val="11"/>
                <w:szCs w:val="11"/>
                <w:color w:val="auto"/>
              </w:rPr>
            </w:pPr>
          </w:p>
        </w:tc>
        <w:tc>
          <w:tcPr>
            <w:tcW w:w="1220" w:type="dxa"/>
            <w:vAlign w:val="bottom"/>
          </w:tcPr>
          <w:p>
            <w:pPr>
              <w:jc w:val="right"/>
              <w:ind w:right="219"/>
              <w:spacing w:after="0" w:line="134" w:lineRule="exact"/>
              <w:rPr>
                <w:sz w:val="20"/>
                <w:szCs w:val="20"/>
                <w:color w:val="auto"/>
              </w:rPr>
            </w:pPr>
            <w:r>
              <w:rPr>
                <w:rFonts w:ascii="Arial" w:cs="Arial" w:eastAsia="Arial" w:hAnsi="Arial"/>
                <w:sz w:val="12"/>
                <w:szCs w:val="12"/>
                <w:color w:val="auto"/>
              </w:rPr>
              <w:t>3</w:t>
            </w:r>
          </w:p>
        </w:tc>
        <w:tc>
          <w:tcPr>
            <w:tcW w:w="1160" w:type="dxa"/>
            <w:vAlign w:val="bottom"/>
          </w:tcPr>
          <w:p>
            <w:pPr>
              <w:spacing w:after="0"/>
              <w:rPr>
                <w:sz w:val="11"/>
                <w:szCs w:val="11"/>
                <w:color w:val="auto"/>
              </w:rPr>
            </w:pPr>
          </w:p>
        </w:tc>
        <w:tc>
          <w:tcPr>
            <w:tcW w:w="3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300" w:type="dxa"/>
            <w:vAlign w:val="bottom"/>
          </w:tcPr>
          <w:p>
            <w:pPr>
              <w:ind w:left="920"/>
              <w:spacing w:after="0" w:line="134" w:lineRule="exact"/>
              <w:rPr>
                <w:sz w:val="20"/>
                <w:szCs w:val="20"/>
                <w:color w:val="auto"/>
              </w:rPr>
            </w:pPr>
            <w:r>
              <w:rPr>
                <w:rFonts w:ascii="Arial" w:cs="Arial" w:eastAsia="Arial" w:hAnsi="Arial"/>
                <w:sz w:val="12"/>
                <w:szCs w:val="12"/>
                <w:color w:val="auto"/>
              </w:rPr>
              <w:t>2</w:t>
            </w:r>
          </w:p>
        </w:tc>
        <w:tc>
          <w:tcPr>
            <w:tcW w:w="96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60" w:type="dxa"/>
            <w:vAlign w:val="bottom"/>
          </w:tcPr>
          <w:p>
            <w:pPr>
              <w:ind w:left="120"/>
              <w:spacing w:after="0"/>
              <w:rPr>
                <w:sz w:val="20"/>
                <w:szCs w:val="20"/>
                <w:color w:val="auto"/>
              </w:rPr>
            </w:pPr>
            <w:r>
              <w:rPr>
                <w:rFonts w:ascii="Arial" w:cs="Arial" w:eastAsia="Arial" w:hAnsi="Arial"/>
                <w:sz w:val="12"/>
                <w:szCs w:val="12"/>
                <w:color w:val="auto"/>
              </w:rPr>
              <w:t>Net actuarial gain</w:t>
            </w:r>
          </w:p>
        </w:tc>
        <w:tc>
          <w:tcPr>
            <w:tcW w:w="9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2</w:t>
            </w:r>
          </w:p>
        </w:tc>
        <w:tc>
          <w:tcPr>
            <w:tcW w:w="11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2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ind w:left="860"/>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Borders>
              <w:bottom w:val="single" w:sz="8" w:color="auto"/>
            </w:tcBorders>
          </w:tcPr>
          <w:p>
            <w:pPr>
              <w:ind w:left="120"/>
              <w:spacing w:after="0" w:line="134" w:lineRule="exact"/>
              <w:rPr>
                <w:sz w:val="20"/>
                <w:szCs w:val="20"/>
                <w:color w:val="auto"/>
              </w:rPr>
            </w:pPr>
            <w:r>
              <w:rPr>
                <w:rFonts w:ascii="Arial" w:cs="Arial" w:eastAsia="Arial" w:hAnsi="Arial"/>
                <w:sz w:val="12"/>
                <w:szCs w:val="12"/>
                <w:color w:val="auto"/>
              </w:rPr>
              <w:t>Comprehensive income (loss)</w:t>
            </w:r>
          </w:p>
        </w:tc>
        <w:tc>
          <w:tcPr>
            <w:tcW w:w="900" w:type="dxa"/>
            <w:vAlign w:val="bottom"/>
            <w:tcBorders>
              <w:bottom w:val="single" w:sz="8" w:color="auto"/>
            </w:tcBorders>
          </w:tcPr>
          <w:p>
            <w:pPr>
              <w:jc w:val="right"/>
              <w:ind w:right="787"/>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258</w:t>
            </w: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5</w:t>
            </w:r>
          </w:p>
        </w:tc>
        <w:tc>
          <w:tcPr>
            <w:tcW w:w="280" w:type="dxa"/>
            <w:vAlign w:val="bottom"/>
            <w:tcBorders>
              <w:bottom w:val="single" w:sz="8" w:color="auto"/>
            </w:tcBorders>
          </w:tcPr>
          <w:p>
            <w:pPr>
              <w:jc w:val="right"/>
              <w:ind w:right="138"/>
              <w:spacing w:after="0" w:line="134" w:lineRule="exact"/>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219"/>
              <w:spacing w:after="0" w:line="134" w:lineRule="exact"/>
              <w:rPr>
                <w:sz w:val="20"/>
                <w:szCs w:val="20"/>
                <w:color w:val="auto"/>
              </w:rPr>
            </w:pPr>
            <w:r>
              <w:rPr>
                <w:rFonts w:ascii="Arial" w:cs="Arial" w:eastAsia="Arial" w:hAnsi="Arial"/>
                <w:sz w:val="12"/>
                <w:szCs w:val="12"/>
                <w:color w:val="auto"/>
              </w:rPr>
              <w:t>263</w:t>
            </w:r>
          </w:p>
        </w:tc>
        <w:tc>
          <w:tcPr>
            <w:tcW w:w="1160" w:type="dxa"/>
            <w:vAlign w:val="bottom"/>
            <w:tcBorders>
              <w:bottom w:val="single" w:sz="8" w:color="auto"/>
            </w:tcBorders>
          </w:tcPr>
          <w:p>
            <w:pPr>
              <w:jc w:val="right"/>
              <w:ind w:right="780"/>
              <w:spacing w:after="0" w:line="134" w:lineRule="exact"/>
              <w:rPr>
                <w:sz w:val="20"/>
                <w:szCs w:val="20"/>
                <w:color w:val="auto"/>
              </w:rPr>
            </w:pPr>
            <w:r>
              <w:rPr>
                <w:rFonts w:ascii="Arial" w:cs="Arial" w:eastAsia="Arial" w:hAnsi="Arial"/>
                <w:sz w:val="12"/>
                <w:szCs w:val="12"/>
                <w:color w:val="auto"/>
              </w:rPr>
              <w:t>$</w:t>
            </w:r>
          </w:p>
        </w:tc>
        <w:tc>
          <w:tcPr>
            <w:tcW w:w="3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105</w:t>
            </w:r>
          </w:p>
        </w:tc>
        <w:tc>
          <w:tcPr>
            <w:tcW w:w="220" w:type="dxa"/>
            <w:vAlign w:val="bottom"/>
            <w:tcBorders>
              <w:bottom w:val="single" w:sz="8" w:color="auto"/>
            </w:tcBorders>
          </w:tcPr>
          <w:p>
            <w:pPr>
              <w:jc w:val="right"/>
              <w:ind w:right="78"/>
              <w:spacing w:after="0" w:line="134" w:lineRule="exact"/>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ind w:left="880"/>
              <w:spacing w:after="0" w:line="134" w:lineRule="exact"/>
              <w:rPr>
                <w:sz w:val="20"/>
                <w:szCs w:val="20"/>
                <w:color w:val="auto"/>
              </w:rPr>
            </w:pPr>
            <w:r>
              <w:rPr>
                <w:rFonts w:ascii="Arial" w:cs="Arial" w:eastAsia="Arial" w:hAnsi="Arial"/>
                <w:sz w:val="12"/>
                <w:szCs w:val="12"/>
                <w:color w:val="auto"/>
              </w:rPr>
              <w:t>(6)$</w:t>
            </w:r>
          </w:p>
        </w:tc>
        <w:tc>
          <w:tcPr>
            <w:tcW w:w="9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99</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60" w:type="dxa"/>
            <w:vAlign w:val="bottom"/>
          </w:tcPr>
          <w:p>
            <w:pPr>
              <w:spacing w:after="0" w:line="126" w:lineRule="exact"/>
              <w:rPr>
                <w:sz w:val="20"/>
                <w:szCs w:val="20"/>
                <w:color w:val="auto"/>
              </w:rPr>
            </w:pPr>
            <w:r>
              <w:rPr>
                <w:rFonts w:ascii="Arial" w:cs="Arial" w:eastAsia="Arial" w:hAnsi="Arial"/>
                <w:sz w:val="12"/>
                <w:szCs w:val="12"/>
                <w:b w:val="1"/>
                <w:bCs w:val="1"/>
                <w:color w:val="auto"/>
              </w:rPr>
              <w:t>SDG&amp;E:</w:t>
            </w: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60" w:type="dxa"/>
            <w:vAlign w:val="bottom"/>
          </w:tcPr>
          <w:p>
            <w:pPr>
              <w:ind w:left="120"/>
              <w:spacing w:after="0" w:line="134" w:lineRule="exact"/>
              <w:rPr>
                <w:sz w:val="20"/>
                <w:szCs w:val="20"/>
                <w:color w:val="auto"/>
              </w:rPr>
            </w:pPr>
            <w:r>
              <w:rPr>
                <w:rFonts w:ascii="Arial" w:cs="Arial" w:eastAsia="Arial" w:hAnsi="Arial"/>
                <w:sz w:val="12"/>
                <w:szCs w:val="12"/>
                <w:color w:val="auto"/>
              </w:rPr>
              <w:t>Net income (loss)</w:t>
            </w:r>
          </w:p>
        </w:tc>
        <w:tc>
          <w:tcPr>
            <w:tcW w:w="900" w:type="dxa"/>
            <w:vAlign w:val="bottom"/>
          </w:tcPr>
          <w:p>
            <w:pPr>
              <w:jc w:val="right"/>
              <w:ind w:right="787"/>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34" w:lineRule="exact"/>
              <w:rPr>
                <w:sz w:val="20"/>
                <w:szCs w:val="20"/>
                <w:color w:val="auto"/>
              </w:rPr>
            </w:pPr>
            <w:r>
              <w:rPr>
                <w:rFonts w:ascii="Arial" w:cs="Arial" w:eastAsia="Arial" w:hAnsi="Arial"/>
                <w:sz w:val="12"/>
                <w:szCs w:val="12"/>
                <w:color w:val="auto"/>
              </w:rPr>
              <w:t>90</w:t>
            </w: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34" w:lineRule="exact"/>
              <w:rPr>
                <w:sz w:val="20"/>
                <w:szCs w:val="20"/>
                <w:color w:val="auto"/>
              </w:rPr>
            </w:pPr>
            <w:r>
              <w:rPr>
                <w:rFonts w:ascii="Arial" w:cs="Arial" w:eastAsia="Arial" w:hAnsi="Arial"/>
                <w:sz w:val="12"/>
                <w:szCs w:val="12"/>
                <w:color w:val="auto"/>
              </w:rPr>
              <w:t>4</w:t>
            </w:r>
          </w:p>
        </w:tc>
        <w:tc>
          <w:tcPr>
            <w:tcW w:w="280" w:type="dxa"/>
            <w:vAlign w:val="bottom"/>
          </w:tcPr>
          <w:p>
            <w:pPr>
              <w:jc w:val="right"/>
              <w:ind w:right="138"/>
              <w:spacing w:after="0" w:line="134" w:lineRule="exact"/>
              <w:rPr>
                <w:sz w:val="20"/>
                <w:szCs w:val="20"/>
                <w:color w:val="auto"/>
              </w:rPr>
            </w:pPr>
            <w:r>
              <w:rPr>
                <w:rFonts w:ascii="Arial" w:cs="Arial" w:eastAsia="Arial" w:hAnsi="Arial"/>
                <w:sz w:val="12"/>
                <w:szCs w:val="12"/>
                <w:color w:val="auto"/>
                <w:w w:val="89"/>
              </w:rPr>
              <w:t>$</w:t>
            </w:r>
          </w:p>
        </w:tc>
        <w:tc>
          <w:tcPr>
            <w:tcW w:w="1220" w:type="dxa"/>
            <w:vAlign w:val="bottom"/>
          </w:tcPr>
          <w:p>
            <w:pPr>
              <w:jc w:val="right"/>
              <w:ind w:right="219"/>
              <w:spacing w:after="0" w:line="134" w:lineRule="exact"/>
              <w:rPr>
                <w:sz w:val="20"/>
                <w:szCs w:val="20"/>
                <w:color w:val="auto"/>
              </w:rPr>
            </w:pPr>
            <w:r>
              <w:rPr>
                <w:rFonts w:ascii="Arial" w:cs="Arial" w:eastAsia="Arial" w:hAnsi="Arial"/>
                <w:sz w:val="12"/>
                <w:szCs w:val="12"/>
                <w:color w:val="auto"/>
              </w:rPr>
              <w:t>94</w:t>
            </w:r>
          </w:p>
        </w:tc>
        <w:tc>
          <w:tcPr>
            <w:tcW w:w="1160" w:type="dxa"/>
            <w:vAlign w:val="bottom"/>
          </w:tcPr>
          <w:p>
            <w:pPr>
              <w:jc w:val="right"/>
              <w:ind w:right="780"/>
              <w:spacing w:after="0" w:line="134" w:lineRule="exact"/>
              <w:rPr>
                <w:sz w:val="20"/>
                <w:szCs w:val="20"/>
                <w:color w:val="auto"/>
              </w:rPr>
            </w:pPr>
            <w:r>
              <w:rPr>
                <w:rFonts w:ascii="Arial" w:cs="Arial" w:eastAsia="Arial" w:hAnsi="Arial"/>
                <w:sz w:val="12"/>
                <w:szCs w:val="12"/>
                <w:color w:val="auto"/>
              </w:rPr>
              <w:t>$</w:t>
            </w:r>
          </w:p>
        </w:tc>
        <w:tc>
          <w:tcPr>
            <w:tcW w:w="320" w:type="dxa"/>
            <w:vAlign w:val="bottom"/>
          </w:tcPr>
          <w:p>
            <w:pPr>
              <w:jc w:val="right"/>
              <w:spacing w:after="0" w:line="134" w:lineRule="exact"/>
              <w:rPr>
                <w:sz w:val="20"/>
                <w:szCs w:val="20"/>
                <w:color w:val="auto"/>
              </w:rPr>
            </w:pPr>
            <w:r>
              <w:rPr>
                <w:rFonts w:ascii="Arial" w:cs="Arial" w:eastAsia="Arial" w:hAnsi="Arial"/>
                <w:sz w:val="12"/>
                <w:szCs w:val="12"/>
                <w:color w:val="auto"/>
              </w:rPr>
              <w:t>84</w:t>
            </w:r>
          </w:p>
        </w:tc>
        <w:tc>
          <w:tcPr>
            <w:tcW w:w="220" w:type="dxa"/>
            <w:vAlign w:val="bottom"/>
          </w:tcPr>
          <w:p>
            <w:pPr>
              <w:jc w:val="right"/>
              <w:ind w:right="78"/>
              <w:spacing w:after="0" w:line="134" w:lineRule="exact"/>
              <w:rPr>
                <w:sz w:val="20"/>
                <w:szCs w:val="20"/>
                <w:color w:val="auto"/>
              </w:rPr>
            </w:pPr>
            <w:r>
              <w:rPr>
                <w:rFonts w:ascii="Arial" w:cs="Arial" w:eastAsia="Arial" w:hAnsi="Arial"/>
                <w:sz w:val="12"/>
                <w:szCs w:val="12"/>
                <w:color w:val="auto"/>
                <w:w w:val="89"/>
              </w:rPr>
              <w:t>$</w:t>
            </w:r>
          </w:p>
        </w:tc>
        <w:tc>
          <w:tcPr>
            <w:tcW w:w="1300" w:type="dxa"/>
            <w:vAlign w:val="bottom"/>
          </w:tcPr>
          <w:p>
            <w:pPr>
              <w:ind w:left="880"/>
              <w:spacing w:after="0" w:line="134" w:lineRule="exact"/>
              <w:rPr>
                <w:sz w:val="20"/>
                <w:szCs w:val="20"/>
                <w:color w:val="auto"/>
              </w:rPr>
            </w:pPr>
            <w:r>
              <w:rPr>
                <w:rFonts w:ascii="Arial" w:cs="Arial" w:eastAsia="Arial" w:hAnsi="Arial"/>
                <w:sz w:val="12"/>
                <w:szCs w:val="12"/>
                <w:color w:val="auto"/>
              </w:rPr>
              <w:t>(8)$</w:t>
            </w:r>
          </w:p>
        </w:tc>
        <w:tc>
          <w:tcPr>
            <w:tcW w:w="960" w:type="dxa"/>
            <w:vAlign w:val="bottom"/>
          </w:tcPr>
          <w:p>
            <w:pPr>
              <w:jc w:val="right"/>
              <w:spacing w:after="0" w:line="134" w:lineRule="exact"/>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60" w:type="dxa"/>
            <w:vAlign w:val="bottom"/>
          </w:tcPr>
          <w:p>
            <w:pPr>
              <w:ind w:left="120"/>
              <w:spacing w:after="0"/>
              <w:rPr>
                <w:sz w:val="20"/>
                <w:szCs w:val="20"/>
                <w:color w:val="auto"/>
              </w:rPr>
            </w:pPr>
            <w:r>
              <w:rPr>
                <w:rFonts w:ascii="Arial" w:cs="Arial" w:eastAsia="Arial" w:hAnsi="Arial"/>
                <w:sz w:val="12"/>
                <w:szCs w:val="12"/>
                <w:color w:val="auto"/>
              </w:rPr>
              <w:t>Financial instruments</w:t>
            </w:r>
          </w:p>
        </w:tc>
        <w:tc>
          <w:tcPr>
            <w:tcW w:w="9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2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rPr>
              <w:t>1</w:t>
            </w:r>
          </w:p>
        </w:tc>
        <w:tc>
          <w:tcPr>
            <w:tcW w:w="11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ind w:left="920"/>
              <w:spacing w:after="0"/>
              <w:rPr>
                <w:sz w:val="20"/>
                <w:szCs w:val="20"/>
                <w:color w:val="auto"/>
              </w:rPr>
            </w:pPr>
            <w:r>
              <w:rPr>
                <w:rFonts w:ascii="Arial" w:cs="Arial" w:eastAsia="Arial" w:hAnsi="Arial"/>
                <w:sz w:val="12"/>
                <w:szCs w:val="12"/>
                <w:color w:val="auto"/>
              </w:rPr>
              <w:t>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Borders>
              <w:bottom w:val="single" w:sz="8" w:color="auto"/>
            </w:tcBorders>
          </w:tcPr>
          <w:p>
            <w:pPr>
              <w:ind w:left="120"/>
              <w:spacing w:after="0" w:line="134" w:lineRule="exact"/>
              <w:rPr>
                <w:sz w:val="20"/>
                <w:szCs w:val="20"/>
                <w:color w:val="auto"/>
              </w:rPr>
            </w:pPr>
            <w:r>
              <w:rPr>
                <w:rFonts w:ascii="Arial" w:cs="Arial" w:eastAsia="Arial" w:hAnsi="Arial"/>
                <w:sz w:val="12"/>
                <w:szCs w:val="12"/>
                <w:color w:val="auto"/>
              </w:rPr>
              <w:t>Comprehensive income (loss)</w:t>
            </w:r>
          </w:p>
        </w:tc>
        <w:tc>
          <w:tcPr>
            <w:tcW w:w="900" w:type="dxa"/>
            <w:vAlign w:val="bottom"/>
            <w:tcBorders>
              <w:bottom w:val="single" w:sz="8" w:color="auto"/>
            </w:tcBorders>
          </w:tcPr>
          <w:p>
            <w:pPr>
              <w:jc w:val="right"/>
              <w:ind w:right="787"/>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90</w:t>
            </w: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5</w:t>
            </w:r>
          </w:p>
        </w:tc>
        <w:tc>
          <w:tcPr>
            <w:tcW w:w="280" w:type="dxa"/>
            <w:vAlign w:val="bottom"/>
            <w:tcBorders>
              <w:bottom w:val="single" w:sz="8" w:color="auto"/>
            </w:tcBorders>
          </w:tcPr>
          <w:p>
            <w:pPr>
              <w:jc w:val="right"/>
              <w:ind w:right="138"/>
              <w:spacing w:after="0" w:line="134" w:lineRule="exact"/>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219"/>
              <w:spacing w:after="0" w:line="134" w:lineRule="exact"/>
              <w:rPr>
                <w:sz w:val="20"/>
                <w:szCs w:val="20"/>
                <w:color w:val="auto"/>
              </w:rPr>
            </w:pPr>
            <w:r>
              <w:rPr>
                <w:rFonts w:ascii="Arial" w:cs="Arial" w:eastAsia="Arial" w:hAnsi="Arial"/>
                <w:sz w:val="12"/>
                <w:szCs w:val="12"/>
                <w:color w:val="auto"/>
              </w:rPr>
              <w:t>95</w:t>
            </w:r>
          </w:p>
        </w:tc>
        <w:tc>
          <w:tcPr>
            <w:tcW w:w="1160" w:type="dxa"/>
            <w:vAlign w:val="bottom"/>
            <w:tcBorders>
              <w:bottom w:val="single" w:sz="8" w:color="auto"/>
            </w:tcBorders>
          </w:tcPr>
          <w:p>
            <w:pPr>
              <w:jc w:val="right"/>
              <w:ind w:right="780"/>
              <w:spacing w:after="0" w:line="134" w:lineRule="exact"/>
              <w:rPr>
                <w:sz w:val="20"/>
                <w:szCs w:val="20"/>
                <w:color w:val="auto"/>
              </w:rPr>
            </w:pPr>
            <w:r>
              <w:rPr>
                <w:rFonts w:ascii="Arial" w:cs="Arial" w:eastAsia="Arial" w:hAnsi="Arial"/>
                <w:sz w:val="12"/>
                <w:szCs w:val="12"/>
                <w:color w:val="auto"/>
              </w:rPr>
              <w:t>$</w:t>
            </w:r>
          </w:p>
        </w:tc>
        <w:tc>
          <w:tcPr>
            <w:tcW w:w="3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84</w:t>
            </w:r>
          </w:p>
        </w:tc>
        <w:tc>
          <w:tcPr>
            <w:tcW w:w="220" w:type="dxa"/>
            <w:vAlign w:val="bottom"/>
            <w:tcBorders>
              <w:bottom w:val="single" w:sz="8" w:color="auto"/>
            </w:tcBorders>
          </w:tcPr>
          <w:p>
            <w:pPr>
              <w:jc w:val="right"/>
              <w:ind w:right="78"/>
              <w:spacing w:after="0" w:line="134" w:lineRule="exact"/>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ind w:left="880"/>
              <w:spacing w:after="0" w:line="134" w:lineRule="exact"/>
              <w:rPr>
                <w:sz w:val="20"/>
                <w:szCs w:val="20"/>
                <w:color w:val="auto"/>
              </w:rPr>
            </w:pPr>
            <w:r>
              <w:rPr>
                <w:rFonts w:ascii="Arial" w:cs="Arial" w:eastAsia="Arial" w:hAnsi="Arial"/>
                <w:sz w:val="12"/>
                <w:szCs w:val="12"/>
                <w:color w:val="auto"/>
              </w:rPr>
              <w:t>(6)$</w:t>
            </w:r>
          </w:p>
        </w:tc>
        <w:tc>
          <w:tcPr>
            <w:tcW w:w="9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78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2"/>
                <w:szCs w:val="12"/>
                <w:b w:val="1"/>
                <w:bCs w:val="1"/>
                <w:color w:val="auto"/>
              </w:rPr>
              <w:t>PE:</w:t>
            </w:r>
          </w:p>
        </w:tc>
        <w:tc>
          <w:tcPr>
            <w:tcW w:w="900" w:type="dxa"/>
            <w:vAlign w:val="bottom"/>
            <w:vMerge w:val="restart"/>
          </w:tcPr>
          <w:p>
            <w:pPr>
              <w:jc w:val="right"/>
              <w:ind w:right="787"/>
              <w:spacing w:after="0"/>
              <w:rPr>
                <w:sz w:val="20"/>
                <w:szCs w:val="20"/>
                <w:color w:val="auto"/>
              </w:rPr>
            </w:pPr>
            <w:r>
              <w:rPr>
                <w:rFonts w:ascii="Arial" w:cs="Arial" w:eastAsia="Arial" w:hAnsi="Arial"/>
                <w:sz w:val="10"/>
                <w:szCs w:val="10"/>
                <w:color w:val="auto"/>
                <w:w w:val="71"/>
              </w:rPr>
              <w:t>$</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68</w:t>
            </w:r>
          </w:p>
        </w:tc>
        <w:tc>
          <w:tcPr>
            <w:tcW w:w="220" w:type="dxa"/>
            <w:vAlign w:val="bottom"/>
            <w:vMerge w:val="restart"/>
          </w:tcPr>
          <w:p>
            <w:pPr>
              <w:jc w:val="right"/>
              <w:ind w:right="108"/>
              <w:spacing w:after="0"/>
              <w:rPr>
                <w:sz w:val="20"/>
                <w:szCs w:val="20"/>
                <w:color w:val="auto"/>
              </w:rPr>
            </w:pPr>
            <w:r>
              <w:rPr>
                <w:rFonts w:ascii="Arial" w:cs="Arial" w:eastAsia="Arial" w:hAnsi="Arial"/>
                <w:sz w:val="10"/>
                <w:szCs w:val="10"/>
                <w:color w:val="auto"/>
                <w:w w:val="71"/>
              </w:rPr>
              <w:t>$</w:t>
            </w:r>
          </w:p>
        </w:tc>
        <w:tc>
          <w:tcPr>
            <w:tcW w:w="1260" w:type="dxa"/>
            <w:vAlign w:val="bottom"/>
            <w:gridSpan w:val="2"/>
            <w:vMerge w:val="restart"/>
          </w:tcPr>
          <w:p>
            <w:pPr>
              <w:jc w:val="right"/>
              <w:ind w:right="138"/>
              <w:spacing w:after="0"/>
              <w:rPr>
                <w:sz w:val="20"/>
                <w:szCs w:val="20"/>
                <w:color w:val="auto"/>
              </w:rPr>
            </w:pPr>
            <w:r>
              <w:rPr>
                <w:rFonts w:ascii="Arial" w:cs="Arial" w:eastAsia="Arial" w:hAnsi="Arial"/>
                <w:sz w:val="12"/>
                <w:szCs w:val="12"/>
                <w:color w:val="auto"/>
              </w:rPr>
              <w:t>― $</w:t>
            </w:r>
          </w:p>
        </w:tc>
        <w:tc>
          <w:tcPr>
            <w:tcW w:w="1220" w:type="dxa"/>
            <w:vAlign w:val="bottom"/>
            <w:vMerge w:val="restart"/>
          </w:tcPr>
          <w:p>
            <w:pPr>
              <w:jc w:val="right"/>
              <w:ind w:right="219"/>
              <w:spacing w:after="0"/>
              <w:rPr>
                <w:sz w:val="20"/>
                <w:szCs w:val="20"/>
                <w:color w:val="auto"/>
              </w:rPr>
            </w:pPr>
            <w:r>
              <w:rPr>
                <w:rFonts w:ascii="Arial" w:cs="Arial" w:eastAsia="Arial" w:hAnsi="Arial"/>
                <w:sz w:val="12"/>
                <w:szCs w:val="12"/>
                <w:color w:val="auto"/>
              </w:rPr>
              <w:t>68</w:t>
            </w:r>
          </w:p>
        </w:tc>
        <w:tc>
          <w:tcPr>
            <w:tcW w:w="1160" w:type="dxa"/>
            <w:vAlign w:val="bottom"/>
            <w:vMerge w:val="restart"/>
          </w:tcPr>
          <w:p>
            <w:pPr>
              <w:jc w:val="right"/>
              <w:ind w:right="780"/>
              <w:spacing w:after="0"/>
              <w:rPr>
                <w:sz w:val="20"/>
                <w:szCs w:val="20"/>
                <w:color w:val="auto"/>
              </w:rPr>
            </w:pPr>
            <w:r>
              <w:rPr>
                <w:rFonts w:ascii="Arial" w:cs="Arial" w:eastAsia="Arial" w:hAnsi="Arial"/>
                <w:sz w:val="12"/>
                <w:szCs w:val="12"/>
                <w:color w:val="auto"/>
              </w:rPr>
              <w:t>$</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65</w:t>
            </w:r>
          </w:p>
        </w:tc>
        <w:tc>
          <w:tcPr>
            <w:tcW w:w="220" w:type="dxa"/>
            <w:vAlign w:val="bottom"/>
            <w:vMerge w:val="restart"/>
          </w:tcPr>
          <w:p>
            <w:pPr>
              <w:jc w:val="right"/>
              <w:ind w:right="78"/>
              <w:spacing w:after="0"/>
              <w:rPr>
                <w:sz w:val="20"/>
                <w:szCs w:val="20"/>
                <w:color w:val="auto"/>
              </w:rPr>
            </w:pPr>
            <w:r>
              <w:rPr>
                <w:rFonts w:ascii="Arial" w:cs="Arial" w:eastAsia="Arial" w:hAnsi="Arial"/>
                <w:sz w:val="12"/>
                <w:szCs w:val="12"/>
                <w:color w:val="auto"/>
                <w:w w:val="89"/>
              </w:rPr>
              <w:t>$</w:t>
            </w:r>
          </w:p>
        </w:tc>
        <w:tc>
          <w:tcPr>
            <w:tcW w:w="1300" w:type="dxa"/>
            <w:vAlign w:val="bottom"/>
            <w:vMerge w:val="restart"/>
          </w:tcPr>
          <w:p>
            <w:pPr>
              <w:ind w:left="860"/>
              <w:spacing w:after="0"/>
              <w:rPr>
                <w:sz w:val="20"/>
                <w:szCs w:val="20"/>
                <w:color w:val="auto"/>
              </w:rPr>
            </w:pPr>
            <w:r>
              <w:rPr>
                <w:rFonts w:ascii="Arial" w:cs="Arial" w:eastAsia="Arial" w:hAnsi="Arial"/>
                <w:sz w:val="12"/>
                <w:szCs w:val="12"/>
                <w:color w:val="auto"/>
              </w:rPr>
              <w:t>― $</w:t>
            </w: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0"/>
                <w:szCs w:val="10"/>
                <w:color w:val="auto"/>
              </w:rPr>
            </w:pPr>
          </w:p>
        </w:tc>
        <w:tc>
          <w:tcPr>
            <w:tcW w:w="3560" w:type="dxa"/>
            <w:vAlign w:val="bottom"/>
          </w:tcPr>
          <w:p>
            <w:pPr>
              <w:ind w:left="120"/>
              <w:spacing w:after="0" w:line="123" w:lineRule="exact"/>
              <w:rPr>
                <w:sz w:val="20"/>
                <w:szCs w:val="20"/>
                <w:color w:val="auto"/>
              </w:rPr>
            </w:pPr>
            <w:r>
              <w:rPr>
                <w:rFonts w:ascii="Arial" w:cs="Arial" w:eastAsia="Arial" w:hAnsi="Arial"/>
                <w:sz w:val="12"/>
                <w:szCs w:val="12"/>
                <w:color w:val="auto"/>
              </w:rPr>
              <w:t>Net income(2)</w:t>
            </w:r>
          </w:p>
        </w:tc>
        <w:tc>
          <w:tcPr>
            <w:tcW w:w="900" w:type="dxa"/>
            <w:vAlign w:val="bottom"/>
            <w:tcBorders>
              <w:bottom w:val="single" w:sz="8" w:color="auto"/>
            </w:tcBorders>
            <w:vMerge w:val="continue"/>
          </w:tcPr>
          <w:p>
            <w:pPr>
              <w:spacing w:after="0"/>
              <w:rPr>
                <w:sz w:val="10"/>
                <w:szCs w:val="10"/>
                <w:color w:val="auto"/>
              </w:rPr>
            </w:pPr>
          </w:p>
        </w:tc>
        <w:tc>
          <w:tcPr>
            <w:tcW w:w="32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auto"/>
            </w:tcBorders>
            <w:vMerge w:val="continue"/>
          </w:tcPr>
          <w:p>
            <w:pPr>
              <w:spacing w:after="0"/>
              <w:rPr>
                <w:sz w:val="10"/>
                <w:szCs w:val="10"/>
                <w:color w:val="auto"/>
              </w:rPr>
            </w:pPr>
          </w:p>
        </w:tc>
        <w:tc>
          <w:tcPr>
            <w:tcW w:w="1260" w:type="dxa"/>
            <w:vAlign w:val="bottom"/>
            <w:tcBorders>
              <w:bottom w:val="single" w:sz="8" w:color="auto"/>
            </w:tcBorders>
            <w:gridSpan w:val="2"/>
            <w:vMerge w:val="continue"/>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32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auto"/>
            </w:tcBorders>
            <w:vMerge w:val="continue"/>
          </w:tcPr>
          <w:p>
            <w:pPr>
              <w:spacing w:after="0"/>
              <w:rPr>
                <w:sz w:val="10"/>
                <w:szCs w:val="10"/>
                <w:color w:val="auto"/>
              </w:rPr>
            </w:pPr>
          </w:p>
        </w:tc>
        <w:tc>
          <w:tcPr>
            <w:tcW w:w="1300" w:type="dxa"/>
            <w:vAlign w:val="bottom"/>
            <w:tcBorders>
              <w:bottom w:val="single" w:sz="8" w:color="auto"/>
            </w:tcBorders>
            <w:vMerge w:val="continue"/>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Borders>
              <w:bottom w:val="single" w:sz="8" w:color="auto"/>
            </w:tcBorders>
          </w:tcPr>
          <w:p>
            <w:pPr>
              <w:ind w:left="120"/>
              <w:spacing w:after="0" w:line="134" w:lineRule="exact"/>
              <w:rPr>
                <w:sz w:val="20"/>
                <w:szCs w:val="20"/>
                <w:color w:val="auto"/>
              </w:rPr>
            </w:pPr>
            <w:r>
              <w:rPr>
                <w:rFonts w:ascii="Arial" w:cs="Arial" w:eastAsia="Arial" w:hAnsi="Arial"/>
                <w:sz w:val="12"/>
                <w:szCs w:val="12"/>
                <w:color w:val="auto"/>
              </w:rPr>
              <w:t>Comprehensive income</w:t>
            </w:r>
          </w:p>
        </w:tc>
        <w:tc>
          <w:tcPr>
            <w:tcW w:w="900" w:type="dxa"/>
            <w:vAlign w:val="bottom"/>
            <w:tcBorders>
              <w:bottom w:val="single" w:sz="8" w:color="auto"/>
            </w:tcBorders>
          </w:tcPr>
          <w:p>
            <w:pPr>
              <w:jc w:val="right"/>
              <w:ind w:right="787"/>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68</w:t>
            </w: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gridSpan w:val="2"/>
          </w:tcPr>
          <w:p>
            <w:pPr>
              <w:jc w:val="right"/>
              <w:ind w:right="138"/>
              <w:spacing w:after="0" w:line="134" w:lineRule="exact"/>
              <w:rPr>
                <w:sz w:val="20"/>
                <w:szCs w:val="20"/>
                <w:color w:val="auto"/>
              </w:rPr>
            </w:pPr>
            <w:r>
              <w:rPr>
                <w:rFonts w:ascii="Arial" w:cs="Arial" w:eastAsia="Arial" w:hAnsi="Arial"/>
                <w:sz w:val="12"/>
                <w:szCs w:val="12"/>
                <w:color w:val="auto"/>
              </w:rPr>
              <w:t>― $</w:t>
            </w:r>
          </w:p>
        </w:tc>
        <w:tc>
          <w:tcPr>
            <w:tcW w:w="1220" w:type="dxa"/>
            <w:vAlign w:val="bottom"/>
            <w:tcBorders>
              <w:bottom w:val="single" w:sz="8" w:color="auto"/>
            </w:tcBorders>
          </w:tcPr>
          <w:p>
            <w:pPr>
              <w:jc w:val="right"/>
              <w:ind w:right="219"/>
              <w:spacing w:after="0" w:line="134" w:lineRule="exact"/>
              <w:rPr>
                <w:sz w:val="20"/>
                <w:szCs w:val="20"/>
                <w:color w:val="auto"/>
              </w:rPr>
            </w:pPr>
            <w:r>
              <w:rPr>
                <w:rFonts w:ascii="Arial" w:cs="Arial" w:eastAsia="Arial" w:hAnsi="Arial"/>
                <w:sz w:val="12"/>
                <w:szCs w:val="12"/>
                <w:color w:val="auto"/>
              </w:rPr>
              <w:t>68</w:t>
            </w:r>
          </w:p>
        </w:tc>
        <w:tc>
          <w:tcPr>
            <w:tcW w:w="1160" w:type="dxa"/>
            <w:vAlign w:val="bottom"/>
            <w:tcBorders>
              <w:bottom w:val="single" w:sz="8" w:color="auto"/>
            </w:tcBorders>
          </w:tcPr>
          <w:p>
            <w:pPr>
              <w:jc w:val="right"/>
              <w:ind w:right="780"/>
              <w:spacing w:after="0" w:line="134" w:lineRule="exact"/>
              <w:rPr>
                <w:sz w:val="20"/>
                <w:szCs w:val="20"/>
                <w:color w:val="auto"/>
              </w:rPr>
            </w:pPr>
            <w:r>
              <w:rPr>
                <w:rFonts w:ascii="Arial" w:cs="Arial" w:eastAsia="Arial" w:hAnsi="Arial"/>
                <w:sz w:val="12"/>
                <w:szCs w:val="12"/>
                <w:color w:val="auto"/>
              </w:rPr>
              <w:t>$</w:t>
            </w:r>
          </w:p>
        </w:tc>
        <w:tc>
          <w:tcPr>
            <w:tcW w:w="3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65</w:t>
            </w:r>
          </w:p>
        </w:tc>
        <w:tc>
          <w:tcPr>
            <w:tcW w:w="220" w:type="dxa"/>
            <w:vAlign w:val="bottom"/>
            <w:tcBorders>
              <w:bottom w:val="single" w:sz="8" w:color="auto"/>
            </w:tcBorders>
          </w:tcPr>
          <w:p>
            <w:pPr>
              <w:jc w:val="right"/>
              <w:ind w:right="78"/>
              <w:spacing w:after="0" w:line="134" w:lineRule="exact"/>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ind w:left="860"/>
              <w:spacing w:after="0" w:line="134" w:lineRule="exact"/>
              <w:rPr>
                <w:sz w:val="20"/>
                <w:szCs w:val="20"/>
                <w:color w:val="auto"/>
              </w:rPr>
            </w:pPr>
            <w:r>
              <w:rPr>
                <w:rFonts w:ascii="Arial" w:cs="Arial" w:eastAsia="Arial" w:hAnsi="Arial"/>
                <w:sz w:val="12"/>
                <w:szCs w:val="12"/>
                <w:color w:val="auto"/>
              </w:rPr>
              <w:t>― $</w:t>
            </w:r>
          </w:p>
        </w:tc>
        <w:tc>
          <w:tcPr>
            <w:tcW w:w="9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2"/>
                <w:szCs w:val="12"/>
                <w:b w:val="1"/>
                <w:bCs w:val="1"/>
                <w:color w:val="auto"/>
              </w:rPr>
              <w:t>SoCalGas:</w:t>
            </w:r>
          </w:p>
        </w:tc>
        <w:tc>
          <w:tcPr>
            <w:tcW w:w="900" w:type="dxa"/>
            <w:vAlign w:val="bottom"/>
            <w:vMerge w:val="restart"/>
          </w:tcPr>
          <w:p>
            <w:pPr>
              <w:jc w:val="right"/>
              <w:ind w:right="787"/>
              <w:spacing w:after="0"/>
              <w:rPr>
                <w:sz w:val="20"/>
                <w:szCs w:val="20"/>
                <w:color w:val="auto"/>
              </w:rPr>
            </w:pPr>
            <w:r>
              <w:rPr>
                <w:rFonts w:ascii="Arial" w:cs="Arial" w:eastAsia="Arial" w:hAnsi="Arial"/>
                <w:sz w:val="10"/>
                <w:szCs w:val="10"/>
                <w:color w:val="auto"/>
                <w:w w:val="71"/>
              </w:rPr>
              <w:t>$</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68</w:t>
            </w:r>
          </w:p>
        </w:tc>
        <w:tc>
          <w:tcPr>
            <w:tcW w:w="220" w:type="dxa"/>
            <w:vAlign w:val="bottom"/>
            <w:vMerge w:val="restart"/>
          </w:tcPr>
          <w:p>
            <w:pPr>
              <w:jc w:val="right"/>
              <w:ind w:right="108"/>
              <w:spacing w:after="0"/>
              <w:rPr>
                <w:sz w:val="20"/>
                <w:szCs w:val="20"/>
                <w:color w:val="auto"/>
              </w:rPr>
            </w:pPr>
            <w:r>
              <w:rPr>
                <w:rFonts w:ascii="Arial" w:cs="Arial" w:eastAsia="Arial" w:hAnsi="Arial"/>
                <w:sz w:val="10"/>
                <w:szCs w:val="10"/>
                <w:color w:val="auto"/>
                <w:w w:val="71"/>
              </w:rPr>
              <w:t>$</w:t>
            </w:r>
          </w:p>
        </w:tc>
        <w:tc>
          <w:tcPr>
            <w:tcW w:w="1260" w:type="dxa"/>
            <w:vAlign w:val="bottom"/>
            <w:gridSpan w:val="2"/>
            <w:vMerge w:val="restart"/>
          </w:tcPr>
          <w:p>
            <w:pPr>
              <w:jc w:val="right"/>
              <w:ind w:right="138"/>
              <w:spacing w:after="0"/>
              <w:rPr>
                <w:sz w:val="20"/>
                <w:szCs w:val="20"/>
                <w:color w:val="auto"/>
              </w:rPr>
            </w:pPr>
            <w:r>
              <w:rPr>
                <w:rFonts w:ascii="Arial" w:cs="Arial" w:eastAsia="Arial" w:hAnsi="Arial"/>
                <w:sz w:val="12"/>
                <w:szCs w:val="12"/>
                <w:color w:val="auto"/>
              </w:rPr>
              <w:t>― $</w:t>
            </w:r>
          </w:p>
        </w:tc>
        <w:tc>
          <w:tcPr>
            <w:tcW w:w="1220" w:type="dxa"/>
            <w:vAlign w:val="bottom"/>
            <w:vMerge w:val="restart"/>
          </w:tcPr>
          <w:p>
            <w:pPr>
              <w:jc w:val="right"/>
              <w:ind w:right="219"/>
              <w:spacing w:after="0"/>
              <w:rPr>
                <w:sz w:val="20"/>
                <w:szCs w:val="20"/>
                <w:color w:val="auto"/>
              </w:rPr>
            </w:pPr>
            <w:r>
              <w:rPr>
                <w:rFonts w:ascii="Arial" w:cs="Arial" w:eastAsia="Arial" w:hAnsi="Arial"/>
                <w:sz w:val="12"/>
                <w:szCs w:val="12"/>
                <w:color w:val="auto"/>
              </w:rPr>
              <w:t>68</w:t>
            </w:r>
          </w:p>
        </w:tc>
        <w:tc>
          <w:tcPr>
            <w:tcW w:w="1160" w:type="dxa"/>
            <w:vAlign w:val="bottom"/>
            <w:vMerge w:val="restart"/>
          </w:tcPr>
          <w:p>
            <w:pPr>
              <w:jc w:val="right"/>
              <w:ind w:right="780"/>
              <w:spacing w:after="0"/>
              <w:rPr>
                <w:sz w:val="20"/>
                <w:szCs w:val="20"/>
                <w:color w:val="auto"/>
              </w:rPr>
            </w:pPr>
            <w:r>
              <w:rPr>
                <w:rFonts w:ascii="Arial" w:cs="Arial" w:eastAsia="Arial" w:hAnsi="Arial"/>
                <w:sz w:val="12"/>
                <w:szCs w:val="12"/>
                <w:color w:val="auto"/>
              </w:rPr>
              <w:t>$</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65</w:t>
            </w:r>
          </w:p>
        </w:tc>
        <w:tc>
          <w:tcPr>
            <w:tcW w:w="220" w:type="dxa"/>
            <w:vAlign w:val="bottom"/>
            <w:vMerge w:val="restart"/>
          </w:tcPr>
          <w:p>
            <w:pPr>
              <w:jc w:val="right"/>
              <w:ind w:right="78"/>
              <w:spacing w:after="0"/>
              <w:rPr>
                <w:sz w:val="20"/>
                <w:szCs w:val="20"/>
                <w:color w:val="auto"/>
              </w:rPr>
            </w:pPr>
            <w:r>
              <w:rPr>
                <w:rFonts w:ascii="Arial" w:cs="Arial" w:eastAsia="Arial" w:hAnsi="Arial"/>
                <w:sz w:val="12"/>
                <w:szCs w:val="12"/>
                <w:color w:val="auto"/>
                <w:w w:val="89"/>
              </w:rPr>
              <w:t>$</w:t>
            </w:r>
          </w:p>
        </w:tc>
        <w:tc>
          <w:tcPr>
            <w:tcW w:w="1300" w:type="dxa"/>
            <w:vAlign w:val="bottom"/>
            <w:vMerge w:val="restart"/>
          </w:tcPr>
          <w:p>
            <w:pPr>
              <w:ind w:left="860"/>
              <w:spacing w:after="0"/>
              <w:rPr>
                <w:sz w:val="20"/>
                <w:szCs w:val="20"/>
                <w:color w:val="auto"/>
              </w:rPr>
            </w:pPr>
            <w:r>
              <w:rPr>
                <w:rFonts w:ascii="Arial" w:cs="Arial" w:eastAsia="Arial" w:hAnsi="Arial"/>
                <w:sz w:val="12"/>
                <w:szCs w:val="12"/>
                <w:color w:val="auto"/>
              </w:rPr>
              <w:t>― $</w:t>
            </w: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0"/>
                <w:szCs w:val="10"/>
                <w:color w:val="auto"/>
              </w:rPr>
            </w:pPr>
          </w:p>
        </w:tc>
        <w:tc>
          <w:tcPr>
            <w:tcW w:w="3560" w:type="dxa"/>
            <w:vAlign w:val="bottom"/>
          </w:tcPr>
          <w:p>
            <w:pPr>
              <w:ind w:left="120"/>
              <w:spacing w:after="0" w:line="123" w:lineRule="exact"/>
              <w:rPr>
                <w:sz w:val="20"/>
                <w:szCs w:val="20"/>
                <w:color w:val="auto"/>
              </w:rPr>
            </w:pPr>
            <w:r>
              <w:rPr>
                <w:rFonts w:ascii="Arial" w:cs="Arial" w:eastAsia="Arial" w:hAnsi="Arial"/>
                <w:sz w:val="12"/>
                <w:szCs w:val="12"/>
                <w:color w:val="auto"/>
              </w:rPr>
              <w:t>Net income</w:t>
            </w:r>
          </w:p>
        </w:tc>
        <w:tc>
          <w:tcPr>
            <w:tcW w:w="900" w:type="dxa"/>
            <w:vAlign w:val="bottom"/>
            <w:tcBorders>
              <w:bottom w:val="single" w:sz="8" w:color="auto"/>
            </w:tcBorders>
            <w:vMerge w:val="continue"/>
          </w:tcPr>
          <w:p>
            <w:pPr>
              <w:spacing w:after="0"/>
              <w:rPr>
                <w:sz w:val="10"/>
                <w:szCs w:val="10"/>
                <w:color w:val="auto"/>
              </w:rPr>
            </w:pPr>
          </w:p>
        </w:tc>
        <w:tc>
          <w:tcPr>
            <w:tcW w:w="32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auto"/>
            </w:tcBorders>
            <w:vMerge w:val="continue"/>
          </w:tcPr>
          <w:p>
            <w:pPr>
              <w:spacing w:after="0"/>
              <w:rPr>
                <w:sz w:val="10"/>
                <w:szCs w:val="10"/>
                <w:color w:val="auto"/>
              </w:rPr>
            </w:pPr>
          </w:p>
        </w:tc>
        <w:tc>
          <w:tcPr>
            <w:tcW w:w="1260" w:type="dxa"/>
            <w:vAlign w:val="bottom"/>
            <w:tcBorders>
              <w:bottom w:val="single" w:sz="8" w:color="auto"/>
            </w:tcBorders>
            <w:gridSpan w:val="2"/>
            <w:vMerge w:val="continue"/>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32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auto"/>
            </w:tcBorders>
            <w:vMerge w:val="continue"/>
          </w:tcPr>
          <w:p>
            <w:pPr>
              <w:spacing w:after="0"/>
              <w:rPr>
                <w:sz w:val="10"/>
                <w:szCs w:val="10"/>
                <w:color w:val="auto"/>
              </w:rPr>
            </w:pPr>
          </w:p>
        </w:tc>
        <w:tc>
          <w:tcPr>
            <w:tcW w:w="1300" w:type="dxa"/>
            <w:vAlign w:val="bottom"/>
            <w:tcBorders>
              <w:bottom w:val="single" w:sz="8" w:color="auto"/>
            </w:tcBorders>
            <w:vMerge w:val="continue"/>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ind w:left="120"/>
              <w:spacing w:after="0"/>
              <w:rPr>
                <w:sz w:val="20"/>
                <w:szCs w:val="20"/>
                <w:color w:val="auto"/>
              </w:rPr>
            </w:pPr>
            <w:r>
              <w:rPr>
                <w:rFonts w:ascii="Arial" w:cs="Arial" w:eastAsia="Arial" w:hAnsi="Arial"/>
                <w:sz w:val="12"/>
                <w:szCs w:val="12"/>
                <w:color w:val="auto"/>
              </w:rPr>
              <w:t>Comprehensive income</w:t>
            </w:r>
          </w:p>
        </w:tc>
        <w:tc>
          <w:tcPr>
            <w:tcW w:w="900" w:type="dxa"/>
            <w:vAlign w:val="bottom"/>
          </w:tcPr>
          <w:p>
            <w:pPr>
              <w:jc w:val="right"/>
              <w:ind w:right="787"/>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68</w:t>
            </w: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38"/>
              <w:spacing w:after="0"/>
              <w:rPr>
                <w:sz w:val="20"/>
                <w:szCs w:val="20"/>
                <w:color w:val="auto"/>
              </w:rPr>
            </w:pPr>
            <w:r>
              <w:rPr>
                <w:rFonts w:ascii="Arial" w:cs="Arial" w:eastAsia="Arial" w:hAnsi="Arial"/>
                <w:sz w:val="12"/>
                <w:szCs w:val="12"/>
                <w:color w:val="auto"/>
              </w:rPr>
              <w:t>― $</w:t>
            </w:r>
          </w:p>
        </w:tc>
        <w:tc>
          <w:tcPr>
            <w:tcW w:w="1220" w:type="dxa"/>
            <w:vAlign w:val="bottom"/>
          </w:tcPr>
          <w:p>
            <w:pPr>
              <w:jc w:val="right"/>
              <w:ind w:right="219"/>
              <w:spacing w:after="0"/>
              <w:rPr>
                <w:sz w:val="20"/>
                <w:szCs w:val="20"/>
                <w:color w:val="auto"/>
              </w:rPr>
            </w:pPr>
            <w:r>
              <w:rPr>
                <w:rFonts w:ascii="Arial" w:cs="Arial" w:eastAsia="Arial" w:hAnsi="Arial"/>
                <w:sz w:val="12"/>
                <w:szCs w:val="12"/>
                <w:color w:val="auto"/>
              </w:rPr>
              <w:t>68</w:t>
            </w:r>
          </w:p>
        </w:tc>
        <w:tc>
          <w:tcPr>
            <w:tcW w:w="1160" w:type="dxa"/>
            <w:vAlign w:val="bottom"/>
          </w:tcPr>
          <w:p>
            <w:pPr>
              <w:jc w:val="right"/>
              <w:ind w:right="78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65</w:t>
            </w:r>
          </w:p>
        </w:tc>
        <w:tc>
          <w:tcPr>
            <w:tcW w:w="220" w:type="dxa"/>
            <w:vAlign w:val="bottom"/>
          </w:tcPr>
          <w:p>
            <w:pPr>
              <w:jc w:val="right"/>
              <w:ind w:right="78"/>
              <w:spacing w:after="0"/>
              <w:rPr>
                <w:sz w:val="20"/>
                <w:szCs w:val="20"/>
                <w:color w:val="auto"/>
              </w:rPr>
            </w:pPr>
            <w:r>
              <w:rPr>
                <w:rFonts w:ascii="Arial" w:cs="Arial" w:eastAsia="Arial" w:hAnsi="Arial"/>
                <w:sz w:val="12"/>
                <w:szCs w:val="12"/>
                <w:color w:val="auto"/>
                <w:w w:val="89"/>
              </w:rPr>
              <w:t>$</w:t>
            </w:r>
          </w:p>
        </w:tc>
        <w:tc>
          <w:tcPr>
            <w:tcW w:w="1300" w:type="dxa"/>
            <w:vAlign w:val="bottom"/>
          </w:tcPr>
          <w:p>
            <w:pPr>
              <w:ind w:left="860"/>
              <w:spacing w:after="0"/>
              <w:rPr>
                <w:sz w:val="20"/>
                <w:szCs w:val="20"/>
                <w:color w:val="auto"/>
              </w:rPr>
            </w:pPr>
            <w:r>
              <w:rPr>
                <w:rFonts w:ascii="Arial" w:cs="Arial" w:eastAsia="Arial" w:hAnsi="Arial"/>
                <w:sz w:val="12"/>
                <w:szCs w:val="12"/>
                <w:color w:val="auto"/>
              </w:rPr>
              <w:t>― $</w:t>
            </w:r>
          </w:p>
        </w:tc>
        <w:tc>
          <w:tcPr>
            <w:tcW w:w="960" w:type="dxa"/>
            <w:vAlign w:val="bottom"/>
          </w:tcPr>
          <w:p>
            <w:pPr>
              <w:jc w:val="right"/>
              <w:spacing w:after="0"/>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279005" cy="13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ind w:left="480" w:hanging="477"/>
        <w:spacing w:after="0"/>
        <w:tabs>
          <w:tab w:leader="none" w:pos="480" w:val="left"/>
        </w:tabs>
        <w:numPr>
          <w:ilvl w:val="0"/>
          <w:numId w:val="6"/>
        </w:numPr>
        <w:rPr>
          <w:rFonts w:ascii="Arial" w:cs="Arial" w:eastAsia="Arial" w:hAnsi="Arial"/>
          <w:sz w:val="11"/>
          <w:szCs w:val="11"/>
          <w:i w:val="1"/>
          <w:iCs w:val="1"/>
          <w:color w:val="auto"/>
        </w:rPr>
      </w:pPr>
      <w:r>
        <w:rPr>
          <w:rFonts w:ascii="Arial" w:cs="Arial" w:eastAsia="Arial" w:hAnsi="Arial"/>
          <w:sz w:val="11"/>
          <w:szCs w:val="11"/>
          <w:i w:val="1"/>
          <w:iCs w:val="1"/>
          <w:color w:val="auto"/>
        </w:rPr>
        <w:t>Shareholders' equity of Sempra Energy Consolidated, SDG&amp;E, PE or SoCalGas as indicated in left margin.</w:t>
      </w:r>
    </w:p>
    <w:p>
      <w:pPr>
        <w:spacing w:after="0" w:line="7" w:lineRule="exact"/>
        <w:rPr>
          <w:rFonts w:ascii="Arial" w:cs="Arial" w:eastAsia="Arial" w:hAnsi="Arial"/>
          <w:sz w:val="11"/>
          <w:szCs w:val="11"/>
          <w:i w:val="1"/>
          <w:iCs w:val="1"/>
          <w:color w:val="auto"/>
        </w:rPr>
      </w:pPr>
    </w:p>
    <w:p>
      <w:pPr>
        <w:ind w:left="480" w:hanging="477"/>
        <w:spacing w:after="0"/>
        <w:tabs>
          <w:tab w:leader="none" w:pos="480" w:val="left"/>
        </w:tabs>
        <w:numPr>
          <w:ilvl w:val="0"/>
          <w:numId w:val="6"/>
        </w:numPr>
        <w:rPr>
          <w:rFonts w:ascii="Arial" w:cs="Arial" w:eastAsia="Arial" w:hAnsi="Arial"/>
          <w:sz w:val="11"/>
          <w:szCs w:val="11"/>
          <w:i w:val="1"/>
          <w:iCs w:val="1"/>
          <w:color w:val="auto"/>
        </w:rPr>
      </w:pPr>
      <w:r>
        <w:rPr>
          <w:rFonts w:ascii="Arial" w:cs="Arial" w:eastAsia="Arial" w:hAnsi="Arial"/>
          <w:sz w:val="11"/>
          <w:szCs w:val="11"/>
          <w:i w:val="1"/>
          <w:iCs w:val="1"/>
          <w:color w:val="auto"/>
        </w:rPr>
        <w:t>Before preferred dividends of subsidiaries.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The amounts for comprehensive income in the table above are net of income tax expense as follows: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 EXPENSE ASSOCIATED WITH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(Dollars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3"/>
          </w:tcPr>
          <w:p>
            <w:pPr>
              <w:jc w:val="right"/>
              <w:ind w:right="223"/>
              <w:spacing w:after="0"/>
              <w:rPr>
                <w:sz w:val="20"/>
                <w:szCs w:val="20"/>
                <w:color w:val="auto"/>
              </w:rPr>
            </w:pPr>
            <w:r>
              <w:rPr>
                <w:rFonts w:ascii="Arial" w:cs="Arial" w:eastAsia="Arial" w:hAnsi="Arial"/>
                <w:sz w:val="11"/>
                <w:szCs w:val="11"/>
                <w:color w:val="auto"/>
              </w:rPr>
              <w:t>Three months ended March 31,</w:t>
            </w:r>
          </w:p>
        </w:tc>
        <w:tc>
          <w:tcPr>
            <w:tcW w:w="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left="64"/>
              <w:spacing w:after="0"/>
              <w:rPr>
                <w:sz w:val="20"/>
                <w:szCs w:val="20"/>
                <w:color w:val="auto"/>
              </w:rPr>
            </w:pPr>
            <w:r>
              <w:rPr>
                <w:rFonts w:ascii="Arial" w:cs="Arial" w:eastAsia="Arial" w:hAnsi="Arial"/>
                <w:sz w:val="11"/>
                <w:szCs w:val="11"/>
                <w:color w:val="auto"/>
                <w:w w:val="97"/>
              </w:rPr>
              <w:t>2011</w:t>
            </w:r>
          </w:p>
        </w:tc>
        <w:tc>
          <w:tcPr>
            <w:tcW w:w="3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left="44"/>
              <w:spacing w:after="0"/>
              <w:rPr>
                <w:sz w:val="20"/>
                <w:szCs w:val="20"/>
                <w:color w:val="auto"/>
              </w:rPr>
            </w:pPr>
            <w:r>
              <w:rPr>
                <w:rFonts w:ascii="Arial" w:cs="Arial" w:eastAsia="Arial" w:hAnsi="Arial"/>
                <w:sz w:val="11"/>
                <w:szCs w:val="11"/>
                <w:color w:val="auto"/>
                <w:w w:val="97"/>
              </w:rPr>
              <w:t>2010</w:t>
            </w:r>
          </w:p>
        </w:tc>
        <w:tc>
          <w:tcPr>
            <w:tcW w:w="3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20" w:type="dxa"/>
            <w:vAlign w:val="bottom"/>
          </w:tcPr>
          <w:p>
            <w:pPr>
              <w:jc w:val="center"/>
              <w:ind w:left="183"/>
              <w:spacing w:after="0"/>
              <w:rPr>
                <w:sz w:val="20"/>
                <w:szCs w:val="20"/>
                <w:color w:val="auto"/>
              </w:rPr>
            </w:pPr>
            <w:r>
              <w:rPr>
                <w:rFonts w:ascii="Arial" w:cs="Arial" w:eastAsia="Arial" w:hAnsi="Arial"/>
                <w:sz w:val="11"/>
                <w:szCs w:val="11"/>
                <w:color w:val="auto"/>
                <w:w w:val="96"/>
              </w:rPr>
              <w:t>Share-</w:t>
            </w:r>
          </w:p>
        </w:tc>
        <w:tc>
          <w:tcPr>
            <w:tcW w:w="380" w:type="dxa"/>
            <w:vAlign w:val="bottom"/>
          </w:tcPr>
          <w:p>
            <w:pPr>
              <w:spacing w:after="0"/>
              <w:rPr>
                <w:sz w:val="14"/>
                <w:szCs w:val="14"/>
                <w:color w:val="auto"/>
              </w:rPr>
            </w:pPr>
          </w:p>
        </w:tc>
        <w:tc>
          <w:tcPr>
            <w:tcW w:w="800" w:type="dxa"/>
            <w:vAlign w:val="bottom"/>
          </w:tcPr>
          <w:p>
            <w:pPr>
              <w:jc w:val="center"/>
              <w:ind w:left="64"/>
              <w:spacing w:after="0"/>
              <w:rPr>
                <w:sz w:val="20"/>
                <w:szCs w:val="20"/>
                <w:color w:val="auto"/>
              </w:rPr>
            </w:pPr>
            <w:r>
              <w:rPr>
                <w:rFonts w:ascii="Arial" w:cs="Arial" w:eastAsia="Arial" w:hAnsi="Arial"/>
                <w:sz w:val="11"/>
                <w:szCs w:val="11"/>
                <w:color w:val="auto"/>
              </w:rPr>
              <w:t>Non-</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center"/>
              <w:ind w:left="283"/>
              <w:spacing w:after="0"/>
              <w:rPr>
                <w:sz w:val="20"/>
                <w:szCs w:val="20"/>
                <w:color w:val="auto"/>
              </w:rPr>
            </w:pPr>
            <w:r>
              <w:rPr>
                <w:rFonts w:ascii="Arial" w:cs="Arial" w:eastAsia="Arial" w:hAnsi="Arial"/>
                <w:sz w:val="11"/>
                <w:szCs w:val="11"/>
                <w:color w:val="auto"/>
              </w:rPr>
              <w:t>Share-</w:t>
            </w:r>
          </w:p>
        </w:tc>
        <w:tc>
          <w:tcPr>
            <w:tcW w:w="420" w:type="dxa"/>
            <w:vAlign w:val="bottom"/>
          </w:tcPr>
          <w:p>
            <w:pPr>
              <w:spacing w:after="0"/>
              <w:rPr>
                <w:sz w:val="14"/>
                <w:szCs w:val="14"/>
                <w:color w:val="auto"/>
              </w:rPr>
            </w:pPr>
          </w:p>
        </w:tc>
        <w:tc>
          <w:tcPr>
            <w:tcW w:w="820" w:type="dxa"/>
            <w:vAlign w:val="bottom"/>
          </w:tcPr>
          <w:p>
            <w:pPr>
              <w:jc w:val="center"/>
              <w:ind w:left="44"/>
              <w:spacing w:after="0"/>
              <w:rPr>
                <w:sz w:val="20"/>
                <w:szCs w:val="20"/>
                <w:color w:val="auto"/>
              </w:rPr>
            </w:pPr>
            <w:r>
              <w:rPr>
                <w:rFonts w:ascii="Arial" w:cs="Arial" w:eastAsia="Arial" w:hAnsi="Arial"/>
                <w:sz w:val="11"/>
                <w:szCs w:val="11"/>
                <w:color w:val="auto"/>
              </w:rPr>
              <w:t>Non-</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920" w:type="dxa"/>
            <w:vAlign w:val="bottom"/>
          </w:tcPr>
          <w:p>
            <w:pPr>
              <w:jc w:val="center"/>
              <w:ind w:left="183"/>
              <w:spacing w:after="0"/>
              <w:rPr>
                <w:sz w:val="20"/>
                <w:szCs w:val="20"/>
                <w:color w:val="auto"/>
              </w:rPr>
            </w:pPr>
            <w:r>
              <w:rPr>
                <w:rFonts w:ascii="Arial" w:cs="Arial" w:eastAsia="Arial" w:hAnsi="Arial"/>
                <w:sz w:val="11"/>
                <w:szCs w:val="11"/>
                <w:color w:val="auto"/>
              </w:rPr>
              <w:t>holders'</w:t>
            </w:r>
          </w:p>
        </w:tc>
        <w:tc>
          <w:tcPr>
            <w:tcW w:w="380" w:type="dxa"/>
            <w:vAlign w:val="bottom"/>
          </w:tcPr>
          <w:p>
            <w:pPr>
              <w:spacing w:after="0"/>
              <w:rPr>
                <w:sz w:val="13"/>
                <w:szCs w:val="13"/>
                <w:color w:val="auto"/>
              </w:rPr>
            </w:pPr>
          </w:p>
        </w:tc>
        <w:tc>
          <w:tcPr>
            <w:tcW w:w="800" w:type="dxa"/>
            <w:vAlign w:val="bottom"/>
          </w:tcPr>
          <w:p>
            <w:pPr>
              <w:jc w:val="center"/>
              <w:ind w:left="84"/>
              <w:spacing w:after="0"/>
              <w:rPr>
                <w:sz w:val="20"/>
                <w:szCs w:val="20"/>
                <w:color w:val="auto"/>
              </w:rPr>
            </w:pPr>
            <w:r>
              <w:rPr>
                <w:rFonts w:ascii="Arial" w:cs="Arial" w:eastAsia="Arial" w:hAnsi="Arial"/>
                <w:sz w:val="11"/>
                <w:szCs w:val="11"/>
                <w:color w:val="auto"/>
                <w:w w:val="99"/>
              </w:rPr>
              <w:t>controlling</w:t>
            </w:r>
          </w:p>
        </w:tc>
        <w:tc>
          <w:tcPr>
            <w:tcW w:w="380" w:type="dxa"/>
            <w:vAlign w:val="bottom"/>
          </w:tcPr>
          <w:p>
            <w:pPr>
              <w:spacing w:after="0"/>
              <w:rPr>
                <w:sz w:val="13"/>
                <w:szCs w:val="13"/>
                <w:color w:val="auto"/>
              </w:rPr>
            </w:pPr>
          </w:p>
        </w:tc>
        <w:tc>
          <w:tcPr>
            <w:tcW w:w="800" w:type="dxa"/>
            <w:vAlign w:val="bottom"/>
          </w:tcPr>
          <w:p>
            <w:pPr>
              <w:jc w:val="center"/>
              <w:ind w:left="83"/>
              <w:spacing w:after="0"/>
              <w:rPr>
                <w:sz w:val="20"/>
                <w:szCs w:val="20"/>
                <w:color w:val="auto"/>
              </w:rPr>
            </w:pPr>
            <w:r>
              <w:rPr>
                <w:rFonts w:ascii="Arial" w:cs="Arial" w:eastAsia="Arial" w:hAnsi="Arial"/>
                <w:sz w:val="11"/>
                <w:szCs w:val="11"/>
                <w:color w:val="auto"/>
                <w:w w:val="89"/>
              </w:rPr>
              <w:t>Total</w:t>
            </w:r>
          </w:p>
        </w:tc>
        <w:tc>
          <w:tcPr>
            <w:tcW w:w="560" w:type="dxa"/>
            <w:vAlign w:val="bottom"/>
          </w:tcPr>
          <w:p>
            <w:pPr>
              <w:spacing w:after="0"/>
              <w:rPr>
                <w:sz w:val="13"/>
                <w:szCs w:val="13"/>
                <w:color w:val="auto"/>
              </w:rPr>
            </w:pPr>
          </w:p>
        </w:tc>
        <w:tc>
          <w:tcPr>
            <w:tcW w:w="960" w:type="dxa"/>
            <w:vAlign w:val="bottom"/>
          </w:tcPr>
          <w:p>
            <w:pPr>
              <w:jc w:val="center"/>
              <w:ind w:left="283"/>
              <w:spacing w:after="0"/>
              <w:rPr>
                <w:sz w:val="20"/>
                <w:szCs w:val="20"/>
                <w:color w:val="auto"/>
              </w:rPr>
            </w:pPr>
            <w:r>
              <w:rPr>
                <w:rFonts w:ascii="Arial" w:cs="Arial" w:eastAsia="Arial" w:hAnsi="Arial"/>
                <w:sz w:val="11"/>
                <w:szCs w:val="11"/>
                <w:color w:val="auto"/>
                <w:w w:val="99"/>
              </w:rPr>
              <w:t>holders'</w:t>
            </w:r>
          </w:p>
        </w:tc>
        <w:tc>
          <w:tcPr>
            <w:tcW w:w="420" w:type="dxa"/>
            <w:vAlign w:val="bottom"/>
          </w:tcPr>
          <w:p>
            <w:pPr>
              <w:spacing w:after="0"/>
              <w:rPr>
                <w:sz w:val="13"/>
                <w:szCs w:val="13"/>
                <w:color w:val="auto"/>
              </w:rPr>
            </w:pPr>
          </w:p>
        </w:tc>
        <w:tc>
          <w:tcPr>
            <w:tcW w:w="820" w:type="dxa"/>
            <w:vAlign w:val="bottom"/>
          </w:tcPr>
          <w:p>
            <w:pPr>
              <w:jc w:val="center"/>
              <w:ind w:left="64"/>
              <w:spacing w:after="0"/>
              <w:rPr>
                <w:sz w:val="20"/>
                <w:szCs w:val="20"/>
                <w:color w:val="auto"/>
              </w:rPr>
            </w:pPr>
            <w:r>
              <w:rPr>
                <w:rFonts w:ascii="Arial" w:cs="Arial" w:eastAsia="Arial" w:hAnsi="Arial"/>
                <w:sz w:val="11"/>
                <w:szCs w:val="11"/>
                <w:color w:val="auto"/>
                <w:w w:val="99"/>
              </w:rPr>
              <w:t>controlling</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ind w:right="421"/>
              <w:spacing w:after="0"/>
              <w:rPr>
                <w:sz w:val="20"/>
                <w:szCs w:val="20"/>
                <w:color w:val="auto"/>
              </w:rPr>
            </w:pPr>
            <w:r>
              <w:rPr>
                <w:rFonts w:ascii="Arial" w:cs="Arial" w:eastAsia="Arial" w:hAnsi="Arial"/>
                <w:sz w:val="11"/>
                <w:szCs w:val="11"/>
                <w:color w:val="auto"/>
              </w:rPr>
              <w:t>Total</w:t>
            </w:r>
          </w:p>
        </w:tc>
      </w:tr>
      <w:tr>
        <w:trPr>
          <w:trHeight w:val="144"/>
        </w:trPr>
        <w:tc>
          <w:tcPr>
            <w:tcW w:w="20" w:type="dxa"/>
            <w:vAlign w:val="bottom"/>
          </w:tcPr>
          <w:p>
            <w:pPr>
              <w:spacing w:after="0"/>
              <w:rPr>
                <w:sz w:val="12"/>
                <w:szCs w:val="12"/>
                <w:color w:val="auto"/>
              </w:rPr>
            </w:pPr>
          </w:p>
        </w:tc>
        <w:tc>
          <w:tcPr>
            <w:tcW w:w="39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left="183"/>
              <w:spacing w:after="0"/>
              <w:rPr>
                <w:sz w:val="20"/>
                <w:szCs w:val="20"/>
                <w:color w:val="auto"/>
              </w:rPr>
            </w:pPr>
            <w:r>
              <w:rPr>
                <w:rFonts w:ascii="Arial" w:cs="Arial" w:eastAsia="Arial" w:hAnsi="Arial"/>
                <w:sz w:val="11"/>
                <w:szCs w:val="11"/>
                <w:color w:val="auto"/>
              </w:rPr>
              <w:t>Equity</w:t>
            </w: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left="84"/>
              <w:spacing w:after="0"/>
              <w:rPr>
                <w:sz w:val="20"/>
                <w:szCs w:val="20"/>
                <w:color w:val="auto"/>
              </w:rPr>
            </w:pPr>
            <w:r>
              <w:rPr>
                <w:rFonts w:ascii="Arial" w:cs="Arial" w:eastAsia="Arial" w:hAnsi="Arial"/>
                <w:sz w:val="11"/>
                <w:szCs w:val="11"/>
                <w:color w:val="auto"/>
                <w:w w:val="99"/>
              </w:rPr>
              <w:t>Interests</w:t>
            </w: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left="83"/>
              <w:spacing w:after="0"/>
              <w:rPr>
                <w:sz w:val="20"/>
                <w:szCs w:val="20"/>
                <w:color w:val="auto"/>
              </w:rPr>
            </w:pPr>
            <w:r>
              <w:rPr>
                <w:rFonts w:ascii="Arial" w:cs="Arial" w:eastAsia="Arial" w:hAnsi="Arial"/>
                <w:sz w:val="11"/>
                <w:szCs w:val="11"/>
                <w:color w:val="auto"/>
                <w:w w:val="97"/>
              </w:rPr>
              <w:t>Equity</w:t>
            </w:r>
          </w:p>
        </w:tc>
        <w:tc>
          <w:tcPr>
            <w:tcW w:w="5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left="283"/>
              <w:spacing w:after="0"/>
              <w:rPr>
                <w:sz w:val="20"/>
                <w:szCs w:val="20"/>
                <w:color w:val="auto"/>
              </w:rPr>
            </w:pPr>
            <w:r>
              <w:rPr>
                <w:rFonts w:ascii="Arial" w:cs="Arial" w:eastAsia="Arial" w:hAnsi="Arial"/>
                <w:sz w:val="11"/>
                <w:szCs w:val="11"/>
                <w:color w:val="auto"/>
                <w:w w:val="97"/>
              </w:rPr>
              <w:t>Equity</w:t>
            </w:r>
          </w:p>
        </w:tc>
        <w:tc>
          <w:tcPr>
            <w:tcW w:w="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left="64"/>
              <w:spacing w:after="0"/>
              <w:rPr>
                <w:sz w:val="20"/>
                <w:szCs w:val="20"/>
                <w:color w:val="auto"/>
              </w:rPr>
            </w:pPr>
            <w:r>
              <w:rPr>
                <w:rFonts w:ascii="Arial" w:cs="Arial" w:eastAsia="Arial" w:hAnsi="Arial"/>
                <w:sz w:val="11"/>
                <w:szCs w:val="11"/>
                <w:color w:val="auto"/>
                <w:w w:val="99"/>
              </w:rPr>
              <w:t>Interests</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color w:val="auto"/>
              </w:rPr>
              <w:t>Equity</w:t>
            </w:r>
          </w:p>
        </w:tc>
      </w:tr>
      <w:tr>
        <w:trPr>
          <w:trHeight w:val="125"/>
        </w:trPr>
        <w:tc>
          <w:tcPr>
            <w:tcW w:w="20" w:type="dxa"/>
            <w:vAlign w:val="bottom"/>
          </w:tcPr>
          <w:p>
            <w:pPr>
              <w:spacing w:after="0"/>
              <w:rPr>
                <w:sz w:val="10"/>
                <w:szCs w:val="10"/>
                <w:color w:val="auto"/>
              </w:rPr>
            </w:pPr>
          </w:p>
        </w:tc>
        <w:tc>
          <w:tcPr>
            <w:tcW w:w="3940" w:type="dxa"/>
            <w:vAlign w:val="bottom"/>
          </w:tcPr>
          <w:p>
            <w:pPr>
              <w:spacing w:after="0" w:line="126" w:lineRule="exact"/>
              <w:rPr>
                <w:sz w:val="20"/>
                <w:szCs w:val="20"/>
                <w:color w:val="auto"/>
              </w:rPr>
            </w:pPr>
            <w:r>
              <w:rPr>
                <w:rFonts w:ascii="Arial" w:cs="Arial" w:eastAsia="Arial" w:hAnsi="Arial"/>
                <w:sz w:val="12"/>
                <w:szCs w:val="12"/>
                <w:b w:val="1"/>
                <w:bCs w:val="1"/>
                <w:color w:val="auto"/>
              </w:rPr>
              <w:t>Sempra Energy Consolidated:</w:t>
            </w:r>
          </w:p>
        </w:tc>
        <w:tc>
          <w:tcPr>
            <w:tcW w:w="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3940" w:type="dxa"/>
            <w:vAlign w:val="bottom"/>
          </w:tcPr>
          <w:p>
            <w:pPr>
              <w:ind w:left="120"/>
              <w:spacing w:after="0" w:line="134" w:lineRule="exact"/>
              <w:rPr>
                <w:sz w:val="20"/>
                <w:szCs w:val="20"/>
                <w:color w:val="auto"/>
              </w:rPr>
            </w:pPr>
            <w:r>
              <w:rPr>
                <w:rFonts w:ascii="Arial" w:cs="Arial" w:eastAsia="Arial" w:hAnsi="Arial"/>
                <w:sz w:val="12"/>
                <w:szCs w:val="12"/>
                <w:color w:val="auto"/>
              </w:rPr>
              <w:t>Financial instruments</w:t>
            </w:r>
          </w:p>
        </w:tc>
        <w:tc>
          <w:tcPr>
            <w:tcW w:w="920" w:type="dxa"/>
            <w:vAlign w:val="bottom"/>
          </w:tcPr>
          <w:p>
            <w:pPr>
              <w:jc w:val="right"/>
              <w:ind w:right="523"/>
              <w:spacing w:after="0" w:line="134" w:lineRule="exact"/>
              <w:rPr>
                <w:sz w:val="20"/>
                <w:szCs w:val="20"/>
                <w:color w:val="auto"/>
              </w:rPr>
            </w:pPr>
            <w:r>
              <w:rPr>
                <w:rFonts w:ascii="Arial" w:cs="Arial" w:eastAsia="Arial" w:hAnsi="Arial"/>
                <w:sz w:val="12"/>
                <w:szCs w:val="12"/>
                <w:color w:val="auto"/>
              </w:rPr>
              <w:t>$</w:t>
            </w:r>
          </w:p>
        </w:tc>
        <w:tc>
          <w:tcPr>
            <w:tcW w:w="3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1</w:t>
            </w:r>
          </w:p>
        </w:tc>
        <w:tc>
          <w:tcPr>
            <w:tcW w:w="800" w:type="dxa"/>
            <w:vAlign w:val="bottom"/>
          </w:tcPr>
          <w:p>
            <w:pPr>
              <w:jc w:val="right"/>
              <w:ind w:right="524"/>
              <w:spacing w:after="0" w:line="134" w:lineRule="exact"/>
              <w:rPr>
                <w:sz w:val="20"/>
                <w:szCs w:val="20"/>
                <w:color w:val="auto"/>
              </w:rPr>
            </w:pPr>
            <w:r>
              <w:rPr>
                <w:rFonts w:ascii="Arial" w:cs="Arial" w:eastAsia="Arial" w:hAnsi="Arial"/>
                <w:sz w:val="12"/>
                <w:szCs w:val="12"/>
                <w:color w:val="auto"/>
              </w:rPr>
              <w:t>$</w:t>
            </w:r>
          </w:p>
        </w:tc>
        <w:tc>
          <w:tcPr>
            <w:tcW w:w="380" w:type="dxa"/>
            <w:vAlign w:val="bottom"/>
          </w:tcPr>
          <w:p>
            <w:pPr>
              <w:ind w:left="100"/>
              <w:spacing w:after="0" w:line="134"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523"/>
              <w:spacing w:after="0" w:line="134"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1</w:t>
            </w:r>
          </w:p>
        </w:tc>
        <w:tc>
          <w:tcPr>
            <w:tcW w:w="960" w:type="dxa"/>
            <w:vAlign w:val="bottom"/>
          </w:tcPr>
          <w:p>
            <w:pPr>
              <w:jc w:val="right"/>
              <w:ind w:right="503"/>
              <w:spacing w:after="0" w:line="134" w:lineRule="exact"/>
              <w:rPr>
                <w:sz w:val="20"/>
                <w:szCs w:val="20"/>
                <w:color w:val="auto"/>
              </w:rPr>
            </w:pPr>
            <w:r>
              <w:rPr>
                <w:rFonts w:ascii="Arial" w:cs="Arial" w:eastAsia="Arial" w:hAnsi="Arial"/>
                <w:sz w:val="12"/>
                <w:szCs w:val="12"/>
                <w:color w:val="auto"/>
              </w:rPr>
              <w:t>$</w:t>
            </w:r>
          </w:p>
        </w:tc>
        <w:tc>
          <w:tcPr>
            <w:tcW w:w="420" w:type="dxa"/>
            <w:vAlign w:val="bottom"/>
          </w:tcPr>
          <w:p>
            <w:pPr>
              <w:jc w:val="right"/>
              <w:ind w:right="98"/>
              <w:spacing w:after="0" w:line="134"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544"/>
              <w:spacing w:after="0" w:line="134" w:lineRule="exact"/>
              <w:rPr>
                <w:sz w:val="20"/>
                <w:szCs w:val="20"/>
                <w:color w:val="auto"/>
              </w:rPr>
            </w:pPr>
            <w:r>
              <w:rPr>
                <w:rFonts w:ascii="Arial" w:cs="Arial" w:eastAsia="Arial" w:hAnsi="Arial"/>
                <w:sz w:val="12"/>
                <w:szCs w:val="12"/>
                <w:color w:val="auto"/>
              </w:rPr>
              <w:t>$</w:t>
            </w:r>
          </w:p>
        </w:tc>
        <w:tc>
          <w:tcPr>
            <w:tcW w:w="380" w:type="dxa"/>
            <w:vAlign w:val="bottom"/>
          </w:tcPr>
          <w:p>
            <w:pPr>
              <w:ind w:left="80"/>
              <w:spacing w:after="0" w:line="134" w:lineRule="exact"/>
              <w:rPr>
                <w:sz w:val="20"/>
                <w:szCs w:val="20"/>
                <w:color w:val="auto"/>
              </w:rPr>
            </w:pPr>
            <w:r>
              <w:rPr>
                <w:rFonts w:ascii="Arial" w:cs="Arial" w:eastAsia="Arial" w:hAnsi="Arial"/>
                <w:sz w:val="12"/>
                <w:szCs w:val="12"/>
                <w:color w:val="auto"/>
              </w:rPr>
              <w:t>―</w:t>
            </w:r>
          </w:p>
        </w:tc>
        <w:tc>
          <w:tcPr>
            <w:tcW w:w="2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394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Net actuarial gain</w:t>
            </w:r>
          </w:p>
        </w:tc>
        <w:tc>
          <w:tcPr>
            <w:tcW w:w="9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w:t>
            </w:r>
          </w:p>
        </w:tc>
        <w:tc>
          <w:tcPr>
            <w:tcW w:w="8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1</w:t>
            </w:r>
          </w:p>
        </w:tc>
        <w:tc>
          <w:tcPr>
            <w:tcW w:w="9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w:t>
            </w:r>
          </w:p>
        </w:tc>
        <w:tc>
          <w:tcPr>
            <w:tcW w:w="8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Income tax amounts associated with other comprehensive income during the three months ended March 31, 2011 and 2010 at SDG&amp;E, PE and SoCalGas were negligible.</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SHAREHOLDERS’ EQUITY AND NONCONTROLLING INTERESTS</w:t>
      </w:r>
    </w:p>
    <w:p>
      <w:pPr>
        <w:spacing w:after="0" w:line="176" w:lineRule="exact"/>
        <w:rPr>
          <w:sz w:val="20"/>
          <w:szCs w:val="20"/>
          <w:color w:val="auto"/>
        </w:rPr>
      </w:pPr>
    </w:p>
    <w:p>
      <w:pPr>
        <w:ind w:right="420"/>
        <w:spacing w:after="0" w:line="267" w:lineRule="auto"/>
        <w:rPr>
          <w:sz w:val="20"/>
          <w:szCs w:val="20"/>
          <w:color w:val="auto"/>
        </w:rPr>
      </w:pPr>
      <w:r>
        <w:rPr>
          <w:rFonts w:ascii="Arial" w:cs="Arial" w:eastAsia="Arial" w:hAnsi="Arial"/>
          <w:sz w:val="14"/>
          <w:szCs w:val="14"/>
          <w:color w:val="auto"/>
        </w:rPr>
        <w:t>The following two tables provide a reconciliation of Sempra Energy and SDG&amp;E shareholders’ equity and noncontrolling interests for the three months ended March 31, 2011 and 2010. There were no changes in the equity of PE's noncontrolling interests for the three months ended March 31, 2011 or 2010.</w:t>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SHAREHOLDERS' EQUITY AND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(Dollars 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80" w:type="dxa"/>
            <w:vAlign w:val="bottom"/>
          </w:tcPr>
          <w:p>
            <w:pPr>
              <w:jc w:val="center"/>
              <w:ind w:left="843"/>
              <w:spacing w:after="0"/>
              <w:rPr>
                <w:sz w:val="20"/>
                <w:szCs w:val="20"/>
                <w:color w:val="auto"/>
              </w:rPr>
            </w:pPr>
            <w:r>
              <w:rPr>
                <w:rFonts w:ascii="Arial" w:cs="Arial" w:eastAsia="Arial" w:hAnsi="Arial"/>
                <w:sz w:val="11"/>
                <w:szCs w:val="11"/>
                <w:color w:val="auto"/>
                <w:w w:val="98"/>
              </w:rPr>
              <w:t>Sempra</w:t>
            </w:r>
          </w:p>
        </w:tc>
        <w:tc>
          <w:tcPr>
            <w:tcW w:w="4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80" w:type="dxa"/>
            <w:vAlign w:val="bottom"/>
          </w:tcPr>
          <w:p>
            <w:pPr>
              <w:jc w:val="center"/>
              <w:ind w:left="843"/>
              <w:spacing w:after="0"/>
              <w:rPr>
                <w:sz w:val="20"/>
                <w:szCs w:val="20"/>
                <w:color w:val="auto"/>
              </w:rPr>
            </w:pPr>
            <w:r>
              <w:rPr>
                <w:rFonts w:ascii="Arial" w:cs="Arial" w:eastAsia="Arial" w:hAnsi="Arial"/>
                <w:sz w:val="11"/>
                <w:szCs w:val="11"/>
                <w:color w:val="auto"/>
                <w:w w:val="97"/>
              </w:rPr>
              <w:t>Energy</w:t>
            </w:r>
          </w:p>
        </w:tc>
        <w:tc>
          <w:tcPr>
            <w:tcW w:w="420" w:type="dxa"/>
            <w:vAlign w:val="bottom"/>
          </w:tcPr>
          <w:p>
            <w:pPr>
              <w:spacing w:after="0"/>
              <w:rPr>
                <w:sz w:val="11"/>
                <w:szCs w:val="11"/>
                <w:color w:val="auto"/>
              </w:rPr>
            </w:pPr>
          </w:p>
        </w:tc>
        <w:tc>
          <w:tcPr>
            <w:tcW w:w="1560" w:type="dxa"/>
            <w:vAlign w:val="bottom"/>
          </w:tcPr>
          <w:p>
            <w:pPr>
              <w:jc w:val="center"/>
              <w:ind w:left="787"/>
              <w:spacing w:after="0"/>
              <w:rPr>
                <w:sz w:val="20"/>
                <w:szCs w:val="20"/>
                <w:color w:val="auto"/>
              </w:rPr>
            </w:pPr>
            <w:r>
              <w:rPr>
                <w:rFonts w:ascii="Arial" w:cs="Arial" w:eastAsia="Arial" w:hAnsi="Arial"/>
                <w:sz w:val="11"/>
                <w:szCs w:val="11"/>
                <w:color w:val="auto"/>
              </w:rPr>
              <w:t>Non-</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80" w:type="dxa"/>
            <w:vAlign w:val="bottom"/>
          </w:tcPr>
          <w:p>
            <w:pPr>
              <w:jc w:val="center"/>
              <w:ind w:left="843"/>
              <w:spacing w:after="0"/>
              <w:rPr>
                <w:sz w:val="20"/>
                <w:szCs w:val="20"/>
                <w:color w:val="auto"/>
              </w:rPr>
            </w:pPr>
            <w:r>
              <w:rPr>
                <w:rFonts w:ascii="Arial" w:cs="Arial" w:eastAsia="Arial" w:hAnsi="Arial"/>
                <w:sz w:val="11"/>
                <w:szCs w:val="11"/>
                <w:color w:val="auto"/>
                <w:w w:val="97"/>
              </w:rPr>
              <w:t>Shareholders'</w:t>
            </w:r>
          </w:p>
        </w:tc>
        <w:tc>
          <w:tcPr>
            <w:tcW w:w="420" w:type="dxa"/>
            <w:vAlign w:val="bottom"/>
          </w:tcPr>
          <w:p>
            <w:pPr>
              <w:spacing w:after="0"/>
              <w:rPr>
                <w:sz w:val="11"/>
                <w:szCs w:val="11"/>
                <w:color w:val="auto"/>
              </w:rPr>
            </w:pPr>
          </w:p>
        </w:tc>
        <w:tc>
          <w:tcPr>
            <w:tcW w:w="1560" w:type="dxa"/>
            <w:vAlign w:val="bottom"/>
          </w:tcPr>
          <w:p>
            <w:pPr>
              <w:jc w:val="center"/>
              <w:ind w:left="767"/>
              <w:spacing w:after="0"/>
              <w:rPr>
                <w:sz w:val="20"/>
                <w:szCs w:val="20"/>
                <w:color w:val="auto"/>
              </w:rPr>
            </w:pPr>
            <w:r>
              <w:rPr>
                <w:rFonts w:ascii="Arial" w:cs="Arial" w:eastAsia="Arial" w:hAnsi="Arial"/>
                <w:sz w:val="11"/>
                <w:szCs w:val="11"/>
                <w:color w:val="auto"/>
                <w:w w:val="99"/>
              </w:rPr>
              <w:t>controlling</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jc w:val="right"/>
              <w:ind w:right="459"/>
              <w:spacing w:after="0"/>
              <w:rPr>
                <w:sz w:val="20"/>
                <w:szCs w:val="20"/>
                <w:color w:val="auto"/>
              </w:rPr>
            </w:pPr>
            <w:r>
              <w:rPr>
                <w:rFonts w:ascii="Arial" w:cs="Arial" w:eastAsia="Arial" w:hAnsi="Arial"/>
                <w:sz w:val="11"/>
                <w:szCs w:val="11"/>
                <w:color w:val="auto"/>
              </w:rPr>
              <w:t>Total</w:t>
            </w:r>
          </w:p>
        </w:tc>
      </w:tr>
      <w:tr>
        <w:trPr>
          <w:trHeight w:val="124"/>
        </w:trPr>
        <w:tc>
          <w:tcPr>
            <w:tcW w:w="20" w:type="dxa"/>
            <w:vAlign w:val="bottom"/>
          </w:tcPr>
          <w:p>
            <w:pPr>
              <w:spacing w:after="0"/>
              <w:rPr>
                <w:sz w:val="10"/>
                <w:szCs w:val="10"/>
                <w:color w:val="auto"/>
              </w:rPr>
            </w:pPr>
          </w:p>
        </w:tc>
        <w:tc>
          <w:tcPr>
            <w:tcW w:w="41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jc w:val="center"/>
              <w:ind w:left="843"/>
              <w:spacing w:after="0" w:line="123" w:lineRule="exact"/>
              <w:rPr>
                <w:sz w:val="20"/>
                <w:szCs w:val="20"/>
                <w:color w:val="auto"/>
              </w:rPr>
            </w:pPr>
            <w:r>
              <w:rPr>
                <w:rFonts w:ascii="Arial" w:cs="Arial" w:eastAsia="Arial" w:hAnsi="Arial"/>
                <w:sz w:val="11"/>
                <w:szCs w:val="11"/>
                <w:color w:val="auto"/>
                <w:w w:val="97"/>
              </w:rPr>
              <w:t>Equity</w:t>
            </w:r>
          </w:p>
        </w:tc>
        <w:tc>
          <w:tcPr>
            <w:tcW w:w="4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jc w:val="center"/>
              <w:ind w:left="767"/>
              <w:spacing w:after="0" w:line="123" w:lineRule="exact"/>
              <w:rPr>
                <w:sz w:val="20"/>
                <w:szCs w:val="20"/>
                <w:color w:val="auto"/>
              </w:rPr>
            </w:pPr>
            <w:r>
              <w:rPr>
                <w:rFonts w:ascii="Arial" w:cs="Arial" w:eastAsia="Arial" w:hAnsi="Arial"/>
                <w:sz w:val="11"/>
                <w:szCs w:val="11"/>
                <w:color w:val="auto"/>
                <w:w w:val="99"/>
              </w:rPr>
              <w:t>Interests</w:t>
            </w:r>
          </w:p>
        </w:tc>
        <w:tc>
          <w:tcPr>
            <w:tcW w:w="3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439"/>
              <w:spacing w:after="0" w:line="123" w:lineRule="exact"/>
              <w:rPr>
                <w:sz w:val="20"/>
                <w:szCs w:val="20"/>
                <w:color w:val="auto"/>
              </w:rPr>
            </w:pPr>
            <w:r>
              <w:rPr>
                <w:rFonts w:ascii="Arial" w:cs="Arial" w:eastAsia="Arial" w:hAnsi="Arial"/>
                <w:sz w:val="11"/>
                <w:szCs w:val="11"/>
                <w:color w:val="auto"/>
              </w:rPr>
              <w:t>Equity</w:t>
            </w:r>
          </w:p>
        </w:tc>
      </w:tr>
      <w:tr>
        <w:trPr>
          <w:trHeight w:val="125"/>
        </w:trPr>
        <w:tc>
          <w:tcPr>
            <w:tcW w:w="20" w:type="dxa"/>
            <w:vAlign w:val="bottom"/>
          </w:tcPr>
          <w:p>
            <w:pPr>
              <w:spacing w:after="0"/>
              <w:rPr>
                <w:sz w:val="10"/>
                <w:szCs w:val="10"/>
                <w:color w:val="auto"/>
              </w:rPr>
            </w:pPr>
          </w:p>
        </w:tc>
        <w:tc>
          <w:tcPr>
            <w:tcW w:w="4160" w:type="dxa"/>
            <w:vAlign w:val="bottom"/>
          </w:tcPr>
          <w:p>
            <w:pPr>
              <w:spacing w:after="0" w:line="126" w:lineRule="exact"/>
              <w:rPr>
                <w:sz w:val="20"/>
                <w:szCs w:val="20"/>
                <w:color w:val="auto"/>
              </w:rPr>
            </w:pPr>
            <w:r>
              <w:rPr>
                <w:rFonts w:ascii="Arial" w:cs="Arial" w:eastAsia="Arial" w:hAnsi="Arial"/>
                <w:sz w:val="12"/>
                <w:szCs w:val="12"/>
                <w:color w:val="auto"/>
              </w:rPr>
              <w:t>Balance at December 31, 2010</w:t>
            </w:r>
          </w:p>
        </w:tc>
        <w:tc>
          <w:tcPr>
            <w:tcW w:w="3160" w:type="dxa"/>
            <w:vAlign w:val="bottom"/>
            <w:gridSpan w:val="2"/>
          </w:tcPr>
          <w:p>
            <w:pPr>
              <w:jc w:val="right"/>
              <w:ind w:right="1543"/>
              <w:spacing w:after="0" w:line="126" w:lineRule="exact"/>
              <w:rPr>
                <w:sz w:val="20"/>
                <w:szCs w:val="20"/>
                <w:color w:val="auto"/>
              </w:rPr>
            </w:pPr>
            <w:r>
              <w:rPr>
                <w:rFonts w:ascii="Arial" w:cs="Arial" w:eastAsia="Arial" w:hAnsi="Arial"/>
                <w:sz w:val="12"/>
                <w:szCs w:val="12"/>
                <w:color w:val="auto"/>
              </w:rPr>
              <w:t>$</w:t>
            </w:r>
          </w:p>
        </w:tc>
        <w:tc>
          <w:tcPr>
            <w:tcW w:w="420" w:type="dxa"/>
            <w:vAlign w:val="bottom"/>
          </w:tcPr>
          <w:p>
            <w:pPr>
              <w:jc w:val="right"/>
              <w:spacing w:after="0" w:line="126" w:lineRule="exact"/>
              <w:rPr>
                <w:sz w:val="20"/>
                <w:szCs w:val="20"/>
                <w:color w:val="auto"/>
              </w:rPr>
            </w:pPr>
            <w:r>
              <w:rPr>
                <w:rFonts w:ascii="Arial" w:cs="Arial" w:eastAsia="Arial" w:hAnsi="Arial"/>
                <w:sz w:val="12"/>
                <w:szCs w:val="12"/>
                <w:color w:val="auto"/>
              </w:rPr>
              <w:t>9,027</w:t>
            </w:r>
          </w:p>
        </w:tc>
        <w:tc>
          <w:tcPr>
            <w:tcW w:w="1560" w:type="dxa"/>
            <w:vAlign w:val="bottom"/>
          </w:tcPr>
          <w:p>
            <w:pPr>
              <w:jc w:val="right"/>
              <w:ind w:right="1447"/>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26" w:lineRule="exact"/>
              <w:rPr>
                <w:sz w:val="20"/>
                <w:szCs w:val="20"/>
                <w:color w:val="auto"/>
              </w:rPr>
            </w:pPr>
            <w:r>
              <w:rPr>
                <w:rFonts w:ascii="Arial" w:cs="Arial" w:eastAsia="Arial" w:hAnsi="Arial"/>
                <w:sz w:val="12"/>
                <w:szCs w:val="12"/>
                <w:color w:val="auto"/>
              </w:rPr>
              <w:t>211</w:t>
            </w:r>
          </w:p>
        </w:tc>
        <w:tc>
          <w:tcPr>
            <w:tcW w:w="520" w:type="dxa"/>
            <w:vAlign w:val="bottom"/>
          </w:tcPr>
          <w:p>
            <w:pPr>
              <w:jc w:val="right"/>
              <w:ind w:right="408"/>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line="126" w:lineRule="exact"/>
              <w:rPr>
                <w:sz w:val="20"/>
                <w:szCs w:val="20"/>
                <w:color w:val="auto"/>
              </w:rPr>
            </w:pPr>
            <w:r>
              <w:rPr>
                <w:rFonts w:ascii="Arial" w:cs="Arial" w:eastAsia="Arial" w:hAnsi="Arial"/>
                <w:sz w:val="12"/>
                <w:szCs w:val="12"/>
                <w:color w:val="auto"/>
              </w:rPr>
              <w:t>9,238</w:t>
            </w:r>
          </w:p>
        </w:tc>
      </w:tr>
      <w:tr>
        <w:trPr>
          <w:trHeight w:val="134"/>
        </w:trPr>
        <w:tc>
          <w:tcPr>
            <w:tcW w:w="4180" w:type="dxa"/>
            <w:vAlign w:val="bottom"/>
            <w:gridSpan w:val="2"/>
          </w:tcPr>
          <w:p>
            <w:pPr>
              <w:spacing w:after="0" w:line="134" w:lineRule="exact"/>
              <w:rPr>
                <w:sz w:val="20"/>
                <w:szCs w:val="20"/>
                <w:color w:val="auto"/>
              </w:rPr>
            </w:pPr>
            <w:r>
              <w:rPr>
                <w:rFonts w:ascii="Arial" w:cs="Arial" w:eastAsia="Arial" w:hAnsi="Arial"/>
                <w:sz w:val="12"/>
                <w:szCs w:val="12"/>
                <w:color w:val="auto"/>
              </w:rPr>
              <w:t>Comprehensive income</w:t>
            </w:r>
          </w:p>
        </w:tc>
        <w:tc>
          <w:tcPr>
            <w:tcW w:w="14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258</w:t>
            </w:r>
          </w:p>
        </w:tc>
        <w:tc>
          <w:tcPr>
            <w:tcW w:w="1560" w:type="dxa"/>
            <w:vAlign w:val="bottom"/>
          </w:tcPr>
          <w:p>
            <w:pPr>
              <w:spacing w:after="0"/>
              <w:rPr>
                <w:sz w:val="11"/>
                <w:szCs w:val="11"/>
                <w:color w:val="auto"/>
              </w:rPr>
            </w:pPr>
          </w:p>
        </w:tc>
        <w:tc>
          <w:tcPr>
            <w:tcW w:w="360" w:type="dxa"/>
            <w:vAlign w:val="bottom"/>
          </w:tcPr>
          <w:p>
            <w:pPr>
              <w:jc w:val="right"/>
              <w:spacing w:after="0" w:line="134" w:lineRule="exact"/>
              <w:rPr>
                <w:sz w:val="20"/>
                <w:szCs w:val="20"/>
                <w:color w:val="auto"/>
              </w:rPr>
            </w:pPr>
            <w:r>
              <w:rPr>
                <w:rFonts w:ascii="Arial" w:cs="Arial" w:eastAsia="Arial" w:hAnsi="Arial"/>
                <w:sz w:val="12"/>
                <w:szCs w:val="12"/>
                <w:color w:val="auto"/>
              </w:rPr>
              <w:t>5</w:t>
            </w:r>
          </w:p>
        </w:tc>
        <w:tc>
          <w:tcPr>
            <w:tcW w:w="520" w:type="dxa"/>
            <w:vAlign w:val="bottom"/>
          </w:tcPr>
          <w:p>
            <w:pPr>
              <w:spacing w:after="0"/>
              <w:rPr>
                <w:sz w:val="11"/>
                <w:szCs w:val="11"/>
                <w:color w:val="auto"/>
              </w:rPr>
            </w:pPr>
          </w:p>
        </w:tc>
        <w:tc>
          <w:tcPr>
            <w:tcW w:w="1260" w:type="dxa"/>
            <w:vAlign w:val="bottom"/>
          </w:tcPr>
          <w:p>
            <w:pPr>
              <w:jc w:val="right"/>
              <w:spacing w:after="0" w:line="134" w:lineRule="exact"/>
              <w:rPr>
                <w:sz w:val="20"/>
                <w:szCs w:val="20"/>
                <w:color w:val="auto"/>
              </w:rPr>
            </w:pPr>
            <w:r>
              <w:rPr>
                <w:rFonts w:ascii="Arial" w:cs="Arial" w:eastAsia="Arial" w:hAnsi="Arial"/>
                <w:sz w:val="12"/>
                <w:szCs w:val="12"/>
                <w:color w:val="auto"/>
              </w:rPr>
              <w:t>263</w:t>
            </w:r>
          </w:p>
        </w:tc>
      </w:tr>
      <w:tr>
        <w:trPr>
          <w:trHeight w:val="134"/>
        </w:trPr>
        <w:tc>
          <w:tcPr>
            <w:tcW w:w="4180" w:type="dxa"/>
            <w:vAlign w:val="bottom"/>
            <w:gridSpan w:val="2"/>
          </w:tcPr>
          <w:p>
            <w:pPr>
              <w:spacing w:after="0" w:line="134" w:lineRule="exact"/>
              <w:rPr>
                <w:sz w:val="20"/>
                <w:szCs w:val="20"/>
                <w:color w:val="auto"/>
              </w:rPr>
            </w:pPr>
            <w:r>
              <w:rPr>
                <w:rFonts w:ascii="Arial" w:cs="Arial" w:eastAsia="Arial" w:hAnsi="Arial"/>
                <w:sz w:val="12"/>
                <w:szCs w:val="12"/>
                <w:color w:val="auto"/>
              </w:rPr>
              <w:t>Share-based compensation expense</w:t>
            </w:r>
          </w:p>
        </w:tc>
        <w:tc>
          <w:tcPr>
            <w:tcW w:w="14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11</w:t>
            </w:r>
          </w:p>
        </w:tc>
        <w:tc>
          <w:tcPr>
            <w:tcW w:w="1560" w:type="dxa"/>
            <w:vAlign w:val="bottom"/>
          </w:tcPr>
          <w:p>
            <w:pPr>
              <w:spacing w:after="0"/>
              <w:rPr>
                <w:sz w:val="11"/>
                <w:szCs w:val="11"/>
                <w:color w:val="auto"/>
              </w:rPr>
            </w:pPr>
          </w:p>
        </w:tc>
        <w:tc>
          <w:tcPr>
            <w:tcW w:w="36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520" w:type="dxa"/>
            <w:vAlign w:val="bottom"/>
          </w:tcPr>
          <w:p>
            <w:pPr>
              <w:spacing w:after="0"/>
              <w:rPr>
                <w:sz w:val="11"/>
                <w:szCs w:val="11"/>
                <w:color w:val="auto"/>
              </w:rPr>
            </w:pPr>
          </w:p>
        </w:tc>
        <w:tc>
          <w:tcPr>
            <w:tcW w:w="1260" w:type="dxa"/>
            <w:vAlign w:val="bottom"/>
          </w:tcPr>
          <w:p>
            <w:pPr>
              <w:jc w:val="right"/>
              <w:spacing w:after="0" w:line="134" w:lineRule="exact"/>
              <w:rPr>
                <w:sz w:val="20"/>
                <w:szCs w:val="20"/>
                <w:color w:val="auto"/>
              </w:rPr>
            </w:pPr>
            <w:r>
              <w:rPr>
                <w:rFonts w:ascii="Arial" w:cs="Arial" w:eastAsia="Arial" w:hAnsi="Arial"/>
                <w:sz w:val="12"/>
                <w:szCs w:val="12"/>
                <w:color w:val="auto"/>
              </w:rPr>
              <w:t>11</w:t>
            </w:r>
          </w:p>
        </w:tc>
      </w:tr>
      <w:tr>
        <w:trPr>
          <w:trHeight w:val="134"/>
        </w:trPr>
        <w:tc>
          <w:tcPr>
            <w:tcW w:w="4180" w:type="dxa"/>
            <w:vAlign w:val="bottom"/>
            <w:gridSpan w:val="2"/>
          </w:tcPr>
          <w:p>
            <w:pPr>
              <w:spacing w:after="0" w:line="134" w:lineRule="exact"/>
              <w:rPr>
                <w:sz w:val="20"/>
                <w:szCs w:val="20"/>
                <w:color w:val="auto"/>
              </w:rPr>
            </w:pPr>
            <w:r>
              <w:rPr>
                <w:rFonts w:ascii="Arial" w:cs="Arial" w:eastAsia="Arial" w:hAnsi="Arial"/>
                <w:sz w:val="12"/>
                <w:szCs w:val="12"/>
                <w:color w:val="auto"/>
              </w:rPr>
              <w:t>Common stock dividends declared</w:t>
            </w:r>
          </w:p>
        </w:tc>
        <w:tc>
          <w:tcPr>
            <w:tcW w:w="14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(115)</w:t>
            </w:r>
          </w:p>
        </w:tc>
        <w:tc>
          <w:tcPr>
            <w:tcW w:w="1560" w:type="dxa"/>
            <w:vAlign w:val="bottom"/>
          </w:tcPr>
          <w:p>
            <w:pPr>
              <w:spacing w:after="0"/>
              <w:rPr>
                <w:sz w:val="11"/>
                <w:szCs w:val="11"/>
                <w:color w:val="auto"/>
              </w:rPr>
            </w:pPr>
          </w:p>
        </w:tc>
        <w:tc>
          <w:tcPr>
            <w:tcW w:w="36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520" w:type="dxa"/>
            <w:vAlign w:val="bottom"/>
          </w:tcPr>
          <w:p>
            <w:pPr>
              <w:spacing w:after="0"/>
              <w:rPr>
                <w:sz w:val="11"/>
                <w:szCs w:val="11"/>
                <w:color w:val="auto"/>
              </w:rPr>
            </w:pPr>
          </w:p>
        </w:tc>
        <w:tc>
          <w:tcPr>
            <w:tcW w:w="1260" w:type="dxa"/>
            <w:vAlign w:val="bottom"/>
          </w:tcPr>
          <w:p>
            <w:pPr>
              <w:jc w:val="right"/>
              <w:spacing w:after="0" w:line="134" w:lineRule="exact"/>
              <w:rPr>
                <w:sz w:val="20"/>
                <w:szCs w:val="20"/>
                <w:color w:val="auto"/>
              </w:rPr>
            </w:pPr>
            <w:r>
              <w:rPr>
                <w:rFonts w:ascii="Arial" w:cs="Arial" w:eastAsia="Arial" w:hAnsi="Arial"/>
                <w:sz w:val="12"/>
                <w:szCs w:val="12"/>
                <w:color w:val="auto"/>
              </w:rPr>
              <w:t>(115)</w:t>
            </w:r>
          </w:p>
        </w:tc>
      </w:tr>
      <w:tr>
        <w:trPr>
          <w:trHeight w:val="134"/>
        </w:trPr>
        <w:tc>
          <w:tcPr>
            <w:tcW w:w="4180" w:type="dxa"/>
            <w:vAlign w:val="bottom"/>
            <w:gridSpan w:val="2"/>
          </w:tcPr>
          <w:p>
            <w:pPr>
              <w:spacing w:after="0" w:line="134" w:lineRule="exact"/>
              <w:rPr>
                <w:sz w:val="20"/>
                <w:szCs w:val="20"/>
                <w:color w:val="auto"/>
              </w:rPr>
            </w:pPr>
            <w:r>
              <w:rPr>
                <w:rFonts w:ascii="Arial" w:cs="Arial" w:eastAsia="Arial" w:hAnsi="Arial"/>
                <w:sz w:val="12"/>
                <w:szCs w:val="12"/>
                <w:color w:val="auto"/>
              </w:rPr>
              <w:t>Preferred dividends of subsidiaries</w:t>
            </w:r>
          </w:p>
        </w:tc>
        <w:tc>
          <w:tcPr>
            <w:tcW w:w="14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c>
          <w:tcPr>
            <w:tcW w:w="1560" w:type="dxa"/>
            <w:vAlign w:val="bottom"/>
          </w:tcPr>
          <w:p>
            <w:pPr>
              <w:spacing w:after="0"/>
              <w:rPr>
                <w:sz w:val="11"/>
                <w:szCs w:val="11"/>
                <w:color w:val="auto"/>
              </w:rPr>
            </w:pPr>
          </w:p>
        </w:tc>
        <w:tc>
          <w:tcPr>
            <w:tcW w:w="36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520" w:type="dxa"/>
            <w:vAlign w:val="bottom"/>
          </w:tcPr>
          <w:p>
            <w:pPr>
              <w:spacing w:after="0"/>
              <w:rPr>
                <w:sz w:val="11"/>
                <w:szCs w:val="11"/>
                <w:color w:val="auto"/>
              </w:rPr>
            </w:pPr>
          </w:p>
        </w:tc>
        <w:tc>
          <w:tcPr>
            <w:tcW w:w="126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r>
      <w:tr>
        <w:trPr>
          <w:trHeight w:val="134"/>
        </w:trPr>
        <w:tc>
          <w:tcPr>
            <w:tcW w:w="4180" w:type="dxa"/>
            <w:vAlign w:val="bottom"/>
            <w:gridSpan w:val="2"/>
          </w:tcPr>
          <w:p>
            <w:pPr>
              <w:spacing w:after="0" w:line="134" w:lineRule="exact"/>
              <w:rPr>
                <w:sz w:val="20"/>
                <w:szCs w:val="20"/>
                <w:color w:val="auto"/>
              </w:rPr>
            </w:pPr>
            <w:r>
              <w:rPr>
                <w:rFonts w:ascii="Arial" w:cs="Arial" w:eastAsia="Arial" w:hAnsi="Arial"/>
                <w:sz w:val="12"/>
                <w:szCs w:val="12"/>
                <w:color w:val="auto"/>
              </w:rPr>
              <w:t>Issuance of common stock</w:t>
            </w:r>
          </w:p>
        </w:tc>
        <w:tc>
          <w:tcPr>
            <w:tcW w:w="14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15</w:t>
            </w:r>
          </w:p>
        </w:tc>
        <w:tc>
          <w:tcPr>
            <w:tcW w:w="1560" w:type="dxa"/>
            <w:vAlign w:val="bottom"/>
          </w:tcPr>
          <w:p>
            <w:pPr>
              <w:spacing w:after="0"/>
              <w:rPr>
                <w:sz w:val="11"/>
                <w:szCs w:val="11"/>
                <w:color w:val="auto"/>
              </w:rPr>
            </w:pPr>
          </w:p>
        </w:tc>
        <w:tc>
          <w:tcPr>
            <w:tcW w:w="36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520" w:type="dxa"/>
            <w:vAlign w:val="bottom"/>
          </w:tcPr>
          <w:p>
            <w:pPr>
              <w:spacing w:after="0"/>
              <w:rPr>
                <w:sz w:val="11"/>
                <w:szCs w:val="11"/>
                <w:color w:val="auto"/>
              </w:rPr>
            </w:pPr>
          </w:p>
        </w:tc>
        <w:tc>
          <w:tcPr>
            <w:tcW w:w="1260" w:type="dxa"/>
            <w:vAlign w:val="bottom"/>
          </w:tcPr>
          <w:p>
            <w:pPr>
              <w:jc w:val="right"/>
              <w:spacing w:after="0" w:line="134" w:lineRule="exact"/>
              <w:rPr>
                <w:sz w:val="20"/>
                <w:szCs w:val="20"/>
                <w:color w:val="auto"/>
              </w:rPr>
            </w:pPr>
            <w:r>
              <w:rPr>
                <w:rFonts w:ascii="Arial" w:cs="Arial" w:eastAsia="Arial" w:hAnsi="Arial"/>
                <w:sz w:val="12"/>
                <w:szCs w:val="12"/>
                <w:color w:val="auto"/>
              </w:rPr>
              <w:t>15</w:t>
            </w:r>
          </w:p>
        </w:tc>
      </w:tr>
      <w:tr>
        <w:trPr>
          <w:trHeight w:val="134"/>
        </w:trPr>
        <w:tc>
          <w:tcPr>
            <w:tcW w:w="4180" w:type="dxa"/>
            <w:vAlign w:val="bottom"/>
            <w:gridSpan w:val="2"/>
          </w:tcPr>
          <w:p>
            <w:pPr>
              <w:spacing w:after="0" w:line="134" w:lineRule="exact"/>
              <w:rPr>
                <w:sz w:val="20"/>
                <w:szCs w:val="20"/>
                <w:color w:val="auto"/>
              </w:rPr>
            </w:pPr>
            <w:r>
              <w:rPr>
                <w:rFonts w:ascii="Arial" w:cs="Arial" w:eastAsia="Arial" w:hAnsi="Arial"/>
                <w:sz w:val="12"/>
                <w:szCs w:val="12"/>
                <w:color w:val="auto"/>
              </w:rPr>
              <w:t>Tax benefit related to share-based compensation</w:t>
            </w:r>
          </w:p>
        </w:tc>
        <w:tc>
          <w:tcPr>
            <w:tcW w:w="14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c>
          <w:tcPr>
            <w:tcW w:w="1560" w:type="dxa"/>
            <w:vAlign w:val="bottom"/>
          </w:tcPr>
          <w:p>
            <w:pPr>
              <w:spacing w:after="0"/>
              <w:rPr>
                <w:sz w:val="11"/>
                <w:szCs w:val="11"/>
                <w:color w:val="auto"/>
              </w:rPr>
            </w:pPr>
          </w:p>
        </w:tc>
        <w:tc>
          <w:tcPr>
            <w:tcW w:w="36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520" w:type="dxa"/>
            <w:vAlign w:val="bottom"/>
          </w:tcPr>
          <w:p>
            <w:pPr>
              <w:spacing w:after="0"/>
              <w:rPr>
                <w:sz w:val="11"/>
                <w:szCs w:val="11"/>
                <w:color w:val="auto"/>
              </w:rPr>
            </w:pPr>
          </w:p>
        </w:tc>
        <w:tc>
          <w:tcPr>
            <w:tcW w:w="126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r>
      <w:tr>
        <w:trPr>
          <w:trHeight w:val="134"/>
        </w:trPr>
        <w:tc>
          <w:tcPr>
            <w:tcW w:w="4180" w:type="dxa"/>
            <w:vAlign w:val="bottom"/>
            <w:gridSpan w:val="2"/>
          </w:tcPr>
          <w:p>
            <w:pPr>
              <w:spacing w:after="0" w:line="134" w:lineRule="exact"/>
              <w:rPr>
                <w:sz w:val="20"/>
                <w:szCs w:val="20"/>
                <w:color w:val="auto"/>
              </w:rPr>
            </w:pPr>
            <w:r>
              <w:rPr>
                <w:rFonts w:ascii="Arial" w:cs="Arial" w:eastAsia="Arial" w:hAnsi="Arial"/>
                <w:sz w:val="12"/>
                <w:szCs w:val="12"/>
                <w:color w:val="auto"/>
              </w:rPr>
              <w:t>Repurchase of common stock</w:t>
            </w:r>
          </w:p>
        </w:tc>
        <w:tc>
          <w:tcPr>
            <w:tcW w:w="14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(17)</w:t>
            </w:r>
          </w:p>
        </w:tc>
        <w:tc>
          <w:tcPr>
            <w:tcW w:w="1560" w:type="dxa"/>
            <w:vAlign w:val="bottom"/>
          </w:tcPr>
          <w:p>
            <w:pPr>
              <w:spacing w:after="0"/>
              <w:rPr>
                <w:sz w:val="11"/>
                <w:szCs w:val="11"/>
                <w:color w:val="auto"/>
              </w:rPr>
            </w:pPr>
          </w:p>
        </w:tc>
        <w:tc>
          <w:tcPr>
            <w:tcW w:w="36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520" w:type="dxa"/>
            <w:vAlign w:val="bottom"/>
          </w:tcPr>
          <w:p>
            <w:pPr>
              <w:spacing w:after="0"/>
              <w:rPr>
                <w:sz w:val="11"/>
                <w:szCs w:val="11"/>
                <w:color w:val="auto"/>
              </w:rPr>
            </w:pPr>
          </w:p>
        </w:tc>
        <w:tc>
          <w:tcPr>
            <w:tcW w:w="1260" w:type="dxa"/>
            <w:vAlign w:val="bottom"/>
          </w:tcPr>
          <w:p>
            <w:pPr>
              <w:jc w:val="right"/>
              <w:spacing w:after="0" w:line="134" w:lineRule="exact"/>
              <w:rPr>
                <w:sz w:val="20"/>
                <w:szCs w:val="20"/>
                <w:color w:val="auto"/>
              </w:rPr>
            </w:pPr>
            <w:r>
              <w:rPr>
                <w:rFonts w:ascii="Arial" w:cs="Arial" w:eastAsia="Arial" w:hAnsi="Arial"/>
                <w:sz w:val="12"/>
                <w:szCs w:val="12"/>
                <w:color w:val="auto"/>
              </w:rPr>
              <w:t>(17)</w:t>
            </w:r>
          </w:p>
        </w:tc>
      </w:tr>
      <w:tr>
        <w:trPr>
          <w:trHeight w:val="134"/>
        </w:trPr>
        <w:tc>
          <w:tcPr>
            <w:tcW w:w="4180" w:type="dxa"/>
            <w:vAlign w:val="bottom"/>
            <w:gridSpan w:val="2"/>
          </w:tcPr>
          <w:p>
            <w:pPr>
              <w:spacing w:after="0" w:line="134" w:lineRule="exact"/>
              <w:rPr>
                <w:sz w:val="20"/>
                <w:szCs w:val="20"/>
                <w:color w:val="auto"/>
              </w:rPr>
            </w:pPr>
            <w:r>
              <w:rPr>
                <w:rFonts w:ascii="Arial" w:cs="Arial" w:eastAsia="Arial" w:hAnsi="Arial"/>
                <w:sz w:val="12"/>
                <w:szCs w:val="12"/>
                <w:color w:val="auto"/>
              </w:rPr>
              <w:t>Common stock released from ESOP</w:t>
            </w:r>
          </w:p>
        </w:tc>
        <w:tc>
          <w:tcPr>
            <w:tcW w:w="14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7</w:t>
            </w:r>
          </w:p>
        </w:tc>
        <w:tc>
          <w:tcPr>
            <w:tcW w:w="1560" w:type="dxa"/>
            <w:vAlign w:val="bottom"/>
          </w:tcPr>
          <w:p>
            <w:pPr>
              <w:spacing w:after="0"/>
              <w:rPr>
                <w:sz w:val="11"/>
                <w:szCs w:val="11"/>
                <w:color w:val="auto"/>
              </w:rPr>
            </w:pPr>
          </w:p>
        </w:tc>
        <w:tc>
          <w:tcPr>
            <w:tcW w:w="36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520" w:type="dxa"/>
            <w:vAlign w:val="bottom"/>
          </w:tcPr>
          <w:p>
            <w:pPr>
              <w:spacing w:after="0"/>
              <w:rPr>
                <w:sz w:val="11"/>
                <w:szCs w:val="11"/>
                <w:color w:val="auto"/>
              </w:rPr>
            </w:pPr>
          </w:p>
        </w:tc>
        <w:tc>
          <w:tcPr>
            <w:tcW w:w="1260" w:type="dxa"/>
            <w:vAlign w:val="bottom"/>
          </w:tcPr>
          <w:p>
            <w:pPr>
              <w:jc w:val="right"/>
              <w:spacing w:after="0" w:line="134" w:lineRule="exact"/>
              <w:rPr>
                <w:sz w:val="20"/>
                <w:szCs w:val="20"/>
                <w:color w:val="auto"/>
              </w:rPr>
            </w:pPr>
            <w:r>
              <w:rPr>
                <w:rFonts w:ascii="Arial" w:cs="Arial" w:eastAsia="Arial" w:hAnsi="Arial"/>
                <w:sz w:val="12"/>
                <w:szCs w:val="12"/>
                <w:color w:val="auto"/>
              </w:rPr>
              <w:t>7</w:t>
            </w:r>
          </w:p>
        </w:tc>
      </w:tr>
      <w:tr>
        <w:trPr>
          <w:trHeight w:val="144"/>
        </w:trPr>
        <w:tc>
          <w:tcPr>
            <w:tcW w:w="4180" w:type="dxa"/>
            <w:vAlign w:val="bottom"/>
            <w:gridSpan w:val="2"/>
          </w:tcPr>
          <w:p>
            <w:pPr>
              <w:spacing w:after="0"/>
              <w:rPr>
                <w:sz w:val="20"/>
                <w:szCs w:val="20"/>
                <w:color w:val="auto"/>
              </w:rPr>
            </w:pPr>
            <w:r>
              <w:rPr>
                <w:rFonts w:ascii="Arial" w:cs="Arial" w:eastAsia="Arial" w:hAnsi="Arial"/>
                <w:sz w:val="12"/>
                <w:szCs w:val="12"/>
                <w:color w:val="auto"/>
              </w:rPr>
              <w:t>Equity contributed by noncontrolling interests</w:t>
            </w:r>
          </w:p>
        </w:tc>
        <w:tc>
          <w:tcPr>
            <w:tcW w:w="148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5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5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r>
      <w:tr>
        <w:trPr>
          <w:trHeight w:val="135"/>
        </w:trPr>
        <w:tc>
          <w:tcPr>
            <w:tcW w:w="4180" w:type="dxa"/>
            <w:vAlign w:val="bottom"/>
            <w:gridSpan w:val="2"/>
          </w:tcPr>
          <w:p>
            <w:pPr>
              <w:spacing w:after="0" w:line="134" w:lineRule="exact"/>
              <w:rPr>
                <w:sz w:val="20"/>
                <w:szCs w:val="20"/>
                <w:color w:val="auto"/>
              </w:rPr>
            </w:pPr>
            <w:r>
              <w:rPr>
                <w:rFonts w:ascii="Arial" w:cs="Arial" w:eastAsia="Arial" w:hAnsi="Arial"/>
                <w:sz w:val="12"/>
                <w:szCs w:val="12"/>
                <w:color w:val="auto"/>
              </w:rPr>
              <w:t>Balance at March 31, 2011</w:t>
            </w:r>
          </w:p>
        </w:tc>
        <w:tc>
          <w:tcPr>
            <w:tcW w:w="1480" w:type="dxa"/>
            <w:vAlign w:val="bottom"/>
          </w:tcPr>
          <w:p>
            <w:pPr>
              <w:spacing w:after="0"/>
              <w:rPr>
                <w:sz w:val="11"/>
                <w:szCs w:val="11"/>
                <w:color w:val="auto"/>
              </w:rPr>
            </w:pPr>
          </w:p>
        </w:tc>
        <w:tc>
          <w:tcPr>
            <w:tcW w:w="1680" w:type="dxa"/>
            <w:vAlign w:val="bottom"/>
          </w:tcPr>
          <w:p>
            <w:pPr>
              <w:jc w:val="right"/>
              <w:ind w:right="1543"/>
              <w:spacing w:after="0" w:line="134" w:lineRule="exact"/>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9,186</w:t>
            </w:r>
          </w:p>
        </w:tc>
        <w:tc>
          <w:tcPr>
            <w:tcW w:w="1560" w:type="dxa"/>
            <w:vAlign w:val="bottom"/>
          </w:tcPr>
          <w:p>
            <w:pPr>
              <w:jc w:val="right"/>
              <w:ind w:right="1447"/>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34" w:lineRule="exact"/>
              <w:rPr>
                <w:sz w:val="20"/>
                <w:szCs w:val="20"/>
                <w:color w:val="auto"/>
              </w:rPr>
            </w:pPr>
            <w:r>
              <w:rPr>
                <w:rFonts w:ascii="Arial" w:cs="Arial" w:eastAsia="Arial" w:hAnsi="Arial"/>
                <w:sz w:val="12"/>
                <w:szCs w:val="12"/>
                <w:color w:val="auto"/>
              </w:rPr>
              <w:t>217</w:t>
            </w:r>
          </w:p>
        </w:tc>
        <w:tc>
          <w:tcPr>
            <w:tcW w:w="520" w:type="dxa"/>
            <w:vAlign w:val="bottom"/>
          </w:tcPr>
          <w:p>
            <w:pPr>
              <w:jc w:val="right"/>
              <w:ind w:right="408"/>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line="134" w:lineRule="exact"/>
              <w:rPr>
                <w:sz w:val="20"/>
                <w:szCs w:val="20"/>
                <w:color w:val="auto"/>
              </w:rPr>
            </w:pPr>
            <w:r>
              <w:rPr>
                <w:rFonts w:ascii="Arial" w:cs="Arial" w:eastAsia="Arial" w:hAnsi="Arial"/>
                <w:sz w:val="12"/>
                <w:szCs w:val="12"/>
                <w:color w:val="auto"/>
              </w:rPr>
              <w:t>9,403</w:t>
            </w:r>
          </w:p>
        </w:tc>
      </w:tr>
      <w:tr>
        <w:trPr>
          <w:trHeight w:val="125"/>
        </w:trPr>
        <w:tc>
          <w:tcPr>
            <w:tcW w:w="20" w:type="dxa"/>
            <w:vAlign w:val="bottom"/>
          </w:tcPr>
          <w:p>
            <w:pPr>
              <w:spacing w:after="0"/>
              <w:rPr>
                <w:sz w:val="10"/>
                <w:szCs w:val="10"/>
                <w:color w:val="auto"/>
              </w:rPr>
            </w:pPr>
          </w:p>
        </w:tc>
        <w:tc>
          <w:tcPr>
            <w:tcW w:w="4160" w:type="dxa"/>
            <w:vAlign w:val="bottom"/>
            <w:tcBorders>
              <w:top w:val="single" w:sz="8" w:color="auto"/>
            </w:tcBorders>
          </w:tcPr>
          <w:p>
            <w:pPr>
              <w:spacing w:after="0" w:line="126" w:lineRule="exact"/>
              <w:rPr>
                <w:sz w:val="20"/>
                <w:szCs w:val="20"/>
                <w:color w:val="auto"/>
              </w:rPr>
            </w:pPr>
            <w:r>
              <w:rPr>
                <w:rFonts w:ascii="Arial" w:cs="Arial" w:eastAsia="Arial" w:hAnsi="Arial"/>
                <w:sz w:val="12"/>
                <w:szCs w:val="12"/>
                <w:color w:val="auto"/>
              </w:rPr>
              <w:t>Balance at December 31, 2009</w:t>
            </w:r>
          </w:p>
        </w:tc>
        <w:tc>
          <w:tcPr>
            <w:tcW w:w="3160" w:type="dxa"/>
            <w:vAlign w:val="bottom"/>
            <w:tcBorders>
              <w:top w:val="single" w:sz="8" w:color="auto"/>
            </w:tcBorders>
            <w:gridSpan w:val="2"/>
          </w:tcPr>
          <w:p>
            <w:pPr>
              <w:jc w:val="right"/>
              <w:ind w:right="1543"/>
              <w:spacing w:after="0" w:line="126" w:lineRule="exact"/>
              <w:rPr>
                <w:sz w:val="20"/>
                <w:szCs w:val="20"/>
                <w:color w:val="auto"/>
              </w:rPr>
            </w:pPr>
            <w:r>
              <w:rPr>
                <w:rFonts w:ascii="Arial" w:cs="Arial" w:eastAsia="Arial" w:hAnsi="Arial"/>
                <w:sz w:val="12"/>
                <w:szCs w:val="12"/>
                <w:color w:val="auto"/>
              </w:rPr>
              <w:t>$</w:t>
            </w:r>
          </w:p>
        </w:tc>
        <w:tc>
          <w:tcPr>
            <w:tcW w:w="4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color w:val="auto"/>
              </w:rPr>
              <w:t>9,007</w:t>
            </w:r>
          </w:p>
        </w:tc>
        <w:tc>
          <w:tcPr>
            <w:tcW w:w="1560" w:type="dxa"/>
            <w:vAlign w:val="bottom"/>
            <w:tcBorders>
              <w:top w:val="single" w:sz="8" w:color="auto"/>
            </w:tcBorders>
          </w:tcPr>
          <w:p>
            <w:pPr>
              <w:jc w:val="right"/>
              <w:ind w:right="1447"/>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color w:val="auto"/>
              </w:rPr>
              <w:t>244</w:t>
            </w:r>
          </w:p>
        </w:tc>
        <w:tc>
          <w:tcPr>
            <w:tcW w:w="520" w:type="dxa"/>
            <w:vAlign w:val="bottom"/>
            <w:tcBorders>
              <w:top w:val="single" w:sz="8" w:color="auto"/>
            </w:tcBorders>
          </w:tcPr>
          <w:p>
            <w:pPr>
              <w:jc w:val="right"/>
              <w:ind w:right="408"/>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color w:val="auto"/>
              </w:rPr>
              <w:t>9,251</w:t>
            </w:r>
          </w:p>
        </w:tc>
      </w:tr>
      <w:tr>
        <w:trPr>
          <w:trHeight w:val="134"/>
        </w:trPr>
        <w:tc>
          <w:tcPr>
            <w:tcW w:w="4180" w:type="dxa"/>
            <w:vAlign w:val="bottom"/>
            <w:gridSpan w:val="2"/>
          </w:tcPr>
          <w:p>
            <w:pPr>
              <w:spacing w:after="0" w:line="134" w:lineRule="exact"/>
              <w:rPr>
                <w:sz w:val="20"/>
                <w:szCs w:val="20"/>
                <w:color w:val="auto"/>
              </w:rPr>
            </w:pPr>
            <w:r>
              <w:rPr>
                <w:rFonts w:ascii="Arial" w:cs="Arial" w:eastAsia="Arial" w:hAnsi="Arial"/>
                <w:sz w:val="12"/>
                <w:szCs w:val="12"/>
                <w:color w:val="auto"/>
              </w:rPr>
              <w:t>Comprehensive income (loss)</w:t>
            </w:r>
          </w:p>
        </w:tc>
        <w:tc>
          <w:tcPr>
            <w:tcW w:w="14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105</w:t>
            </w:r>
          </w:p>
        </w:tc>
        <w:tc>
          <w:tcPr>
            <w:tcW w:w="1560" w:type="dxa"/>
            <w:vAlign w:val="bottom"/>
          </w:tcPr>
          <w:p>
            <w:pPr>
              <w:spacing w:after="0"/>
              <w:rPr>
                <w:sz w:val="11"/>
                <w:szCs w:val="11"/>
                <w:color w:val="auto"/>
              </w:rPr>
            </w:pPr>
          </w:p>
        </w:tc>
        <w:tc>
          <w:tcPr>
            <w:tcW w:w="360" w:type="dxa"/>
            <w:vAlign w:val="bottom"/>
          </w:tcPr>
          <w:p>
            <w:pPr>
              <w:jc w:val="right"/>
              <w:spacing w:after="0" w:line="134" w:lineRule="exact"/>
              <w:rPr>
                <w:sz w:val="20"/>
                <w:szCs w:val="20"/>
                <w:color w:val="auto"/>
              </w:rPr>
            </w:pPr>
            <w:r>
              <w:rPr>
                <w:rFonts w:ascii="Arial" w:cs="Arial" w:eastAsia="Arial" w:hAnsi="Arial"/>
                <w:sz w:val="12"/>
                <w:szCs w:val="12"/>
                <w:color w:val="auto"/>
              </w:rPr>
              <w:t>(6)</w:t>
            </w:r>
          </w:p>
        </w:tc>
        <w:tc>
          <w:tcPr>
            <w:tcW w:w="520" w:type="dxa"/>
            <w:vAlign w:val="bottom"/>
          </w:tcPr>
          <w:p>
            <w:pPr>
              <w:spacing w:after="0"/>
              <w:rPr>
                <w:sz w:val="11"/>
                <w:szCs w:val="11"/>
                <w:color w:val="auto"/>
              </w:rPr>
            </w:pPr>
          </w:p>
        </w:tc>
        <w:tc>
          <w:tcPr>
            <w:tcW w:w="1260" w:type="dxa"/>
            <w:vAlign w:val="bottom"/>
          </w:tcPr>
          <w:p>
            <w:pPr>
              <w:jc w:val="right"/>
              <w:spacing w:after="0" w:line="134" w:lineRule="exact"/>
              <w:rPr>
                <w:sz w:val="20"/>
                <w:szCs w:val="20"/>
                <w:color w:val="auto"/>
              </w:rPr>
            </w:pPr>
            <w:r>
              <w:rPr>
                <w:rFonts w:ascii="Arial" w:cs="Arial" w:eastAsia="Arial" w:hAnsi="Arial"/>
                <w:sz w:val="12"/>
                <w:szCs w:val="12"/>
                <w:color w:val="auto"/>
              </w:rPr>
              <w:t>99</w:t>
            </w:r>
          </w:p>
        </w:tc>
      </w:tr>
      <w:tr>
        <w:trPr>
          <w:trHeight w:val="134"/>
        </w:trPr>
        <w:tc>
          <w:tcPr>
            <w:tcW w:w="4180" w:type="dxa"/>
            <w:vAlign w:val="bottom"/>
            <w:gridSpan w:val="2"/>
          </w:tcPr>
          <w:p>
            <w:pPr>
              <w:spacing w:after="0" w:line="134" w:lineRule="exact"/>
              <w:rPr>
                <w:sz w:val="20"/>
                <w:szCs w:val="20"/>
                <w:color w:val="auto"/>
              </w:rPr>
            </w:pPr>
            <w:r>
              <w:rPr>
                <w:rFonts w:ascii="Arial" w:cs="Arial" w:eastAsia="Arial" w:hAnsi="Arial"/>
                <w:sz w:val="12"/>
                <w:szCs w:val="12"/>
                <w:color w:val="auto"/>
              </w:rPr>
              <w:t>Share-based compensation expense</w:t>
            </w:r>
          </w:p>
        </w:tc>
        <w:tc>
          <w:tcPr>
            <w:tcW w:w="14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13</w:t>
            </w:r>
          </w:p>
        </w:tc>
        <w:tc>
          <w:tcPr>
            <w:tcW w:w="1560" w:type="dxa"/>
            <w:vAlign w:val="bottom"/>
          </w:tcPr>
          <w:p>
            <w:pPr>
              <w:spacing w:after="0"/>
              <w:rPr>
                <w:sz w:val="11"/>
                <w:szCs w:val="11"/>
                <w:color w:val="auto"/>
              </w:rPr>
            </w:pPr>
          </w:p>
        </w:tc>
        <w:tc>
          <w:tcPr>
            <w:tcW w:w="36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520" w:type="dxa"/>
            <w:vAlign w:val="bottom"/>
          </w:tcPr>
          <w:p>
            <w:pPr>
              <w:spacing w:after="0"/>
              <w:rPr>
                <w:sz w:val="11"/>
                <w:szCs w:val="11"/>
                <w:color w:val="auto"/>
              </w:rPr>
            </w:pPr>
          </w:p>
        </w:tc>
        <w:tc>
          <w:tcPr>
            <w:tcW w:w="1260" w:type="dxa"/>
            <w:vAlign w:val="bottom"/>
          </w:tcPr>
          <w:p>
            <w:pPr>
              <w:jc w:val="right"/>
              <w:spacing w:after="0" w:line="134" w:lineRule="exact"/>
              <w:rPr>
                <w:sz w:val="20"/>
                <w:szCs w:val="20"/>
                <w:color w:val="auto"/>
              </w:rPr>
            </w:pPr>
            <w:r>
              <w:rPr>
                <w:rFonts w:ascii="Arial" w:cs="Arial" w:eastAsia="Arial" w:hAnsi="Arial"/>
                <w:sz w:val="12"/>
                <w:szCs w:val="12"/>
                <w:color w:val="auto"/>
              </w:rPr>
              <w:t>13</w:t>
            </w:r>
          </w:p>
        </w:tc>
      </w:tr>
      <w:tr>
        <w:trPr>
          <w:trHeight w:val="134"/>
        </w:trPr>
        <w:tc>
          <w:tcPr>
            <w:tcW w:w="4180" w:type="dxa"/>
            <w:vAlign w:val="bottom"/>
            <w:gridSpan w:val="2"/>
          </w:tcPr>
          <w:p>
            <w:pPr>
              <w:spacing w:after="0" w:line="134" w:lineRule="exact"/>
              <w:rPr>
                <w:sz w:val="20"/>
                <w:szCs w:val="20"/>
                <w:color w:val="auto"/>
              </w:rPr>
            </w:pPr>
            <w:r>
              <w:rPr>
                <w:rFonts w:ascii="Arial" w:cs="Arial" w:eastAsia="Arial" w:hAnsi="Arial"/>
                <w:sz w:val="12"/>
                <w:szCs w:val="12"/>
                <w:color w:val="auto"/>
              </w:rPr>
              <w:t>Common stock dividends declared</w:t>
            </w:r>
          </w:p>
        </w:tc>
        <w:tc>
          <w:tcPr>
            <w:tcW w:w="14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(96)</w:t>
            </w:r>
          </w:p>
        </w:tc>
        <w:tc>
          <w:tcPr>
            <w:tcW w:w="1560" w:type="dxa"/>
            <w:vAlign w:val="bottom"/>
          </w:tcPr>
          <w:p>
            <w:pPr>
              <w:spacing w:after="0"/>
              <w:rPr>
                <w:sz w:val="11"/>
                <w:szCs w:val="11"/>
                <w:color w:val="auto"/>
              </w:rPr>
            </w:pPr>
          </w:p>
        </w:tc>
        <w:tc>
          <w:tcPr>
            <w:tcW w:w="36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520" w:type="dxa"/>
            <w:vAlign w:val="bottom"/>
          </w:tcPr>
          <w:p>
            <w:pPr>
              <w:spacing w:after="0"/>
              <w:rPr>
                <w:sz w:val="11"/>
                <w:szCs w:val="11"/>
                <w:color w:val="auto"/>
              </w:rPr>
            </w:pPr>
          </w:p>
        </w:tc>
        <w:tc>
          <w:tcPr>
            <w:tcW w:w="1260" w:type="dxa"/>
            <w:vAlign w:val="bottom"/>
          </w:tcPr>
          <w:p>
            <w:pPr>
              <w:jc w:val="right"/>
              <w:spacing w:after="0" w:line="134" w:lineRule="exact"/>
              <w:rPr>
                <w:sz w:val="20"/>
                <w:szCs w:val="20"/>
                <w:color w:val="auto"/>
              </w:rPr>
            </w:pPr>
            <w:r>
              <w:rPr>
                <w:rFonts w:ascii="Arial" w:cs="Arial" w:eastAsia="Arial" w:hAnsi="Arial"/>
                <w:sz w:val="12"/>
                <w:szCs w:val="12"/>
                <w:color w:val="auto"/>
              </w:rPr>
              <w:t>(96)</w:t>
            </w:r>
          </w:p>
        </w:tc>
      </w:tr>
      <w:tr>
        <w:trPr>
          <w:trHeight w:val="134"/>
        </w:trPr>
        <w:tc>
          <w:tcPr>
            <w:tcW w:w="4180" w:type="dxa"/>
            <w:vAlign w:val="bottom"/>
            <w:gridSpan w:val="2"/>
          </w:tcPr>
          <w:p>
            <w:pPr>
              <w:spacing w:after="0" w:line="134" w:lineRule="exact"/>
              <w:rPr>
                <w:sz w:val="20"/>
                <w:szCs w:val="20"/>
                <w:color w:val="auto"/>
              </w:rPr>
            </w:pPr>
            <w:r>
              <w:rPr>
                <w:rFonts w:ascii="Arial" w:cs="Arial" w:eastAsia="Arial" w:hAnsi="Arial"/>
                <w:sz w:val="12"/>
                <w:szCs w:val="12"/>
                <w:color w:val="auto"/>
              </w:rPr>
              <w:t>Preferred dividends of subsidiaries</w:t>
            </w:r>
          </w:p>
        </w:tc>
        <w:tc>
          <w:tcPr>
            <w:tcW w:w="14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c>
          <w:tcPr>
            <w:tcW w:w="1560" w:type="dxa"/>
            <w:vAlign w:val="bottom"/>
          </w:tcPr>
          <w:p>
            <w:pPr>
              <w:spacing w:after="0"/>
              <w:rPr>
                <w:sz w:val="11"/>
                <w:szCs w:val="11"/>
                <w:color w:val="auto"/>
              </w:rPr>
            </w:pPr>
          </w:p>
        </w:tc>
        <w:tc>
          <w:tcPr>
            <w:tcW w:w="36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520" w:type="dxa"/>
            <w:vAlign w:val="bottom"/>
          </w:tcPr>
          <w:p>
            <w:pPr>
              <w:spacing w:after="0"/>
              <w:rPr>
                <w:sz w:val="11"/>
                <w:szCs w:val="11"/>
                <w:color w:val="auto"/>
              </w:rPr>
            </w:pPr>
          </w:p>
        </w:tc>
        <w:tc>
          <w:tcPr>
            <w:tcW w:w="126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r>
      <w:tr>
        <w:trPr>
          <w:trHeight w:val="134"/>
        </w:trPr>
        <w:tc>
          <w:tcPr>
            <w:tcW w:w="4180" w:type="dxa"/>
            <w:vAlign w:val="bottom"/>
            <w:gridSpan w:val="2"/>
          </w:tcPr>
          <w:p>
            <w:pPr>
              <w:spacing w:after="0" w:line="134" w:lineRule="exact"/>
              <w:rPr>
                <w:sz w:val="20"/>
                <w:szCs w:val="20"/>
                <w:color w:val="auto"/>
              </w:rPr>
            </w:pPr>
            <w:r>
              <w:rPr>
                <w:rFonts w:ascii="Arial" w:cs="Arial" w:eastAsia="Arial" w:hAnsi="Arial"/>
                <w:sz w:val="12"/>
                <w:szCs w:val="12"/>
                <w:color w:val="auto"/>
              </w:rPr>
              <w:t>Issuance of common stock</w:t>
            </w:r>
          </w:p>
        </w:tc>
        <w:tc>
          <w:tcPr>
            <w:tcW w:w="14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27</w:t>
            </w:r>
          </w:p>
        </w:tc>
        <w:tc>
          <w:tcPr>
            <w:tcW w:w="1560" w:type="dxa"/>
            <w:vAlign w:val="bottom"/>
          </w:tcPr>
          <w:p>
            <w:pPr>
              <w:spacing w:after="0"/>
              <w:rPr>
                <w:sz w:val="11"/>
                <w:szCs w:val="11"/>
                <w:color w:val="auto"/>
              </w:rPr>
            </w:pPr>
          </w:p>
        </w:tc>
        <w:tc>
          <w:tcPr>
            <w:tcW w:w="36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520" w:type="dxa"/>
            <w:vAlign w:val="bottom"/>
          </w:tcPr>
          <w:p>
            <w:pPr>
              <w:spacing w:after="0"/>
              <w:rPr>
                <w:sz w:val="11"/>
                <w:szCs w:val="11"/>
                <w:color w:val="auto"/>
              </w:rPr>
            </w:pPr>
          </w:p>
        </w:tc>
        <w:tc>
          <w:tcPr>
            <w:tcW w:w="1260" w:type="dxa"/>
            <w:vAlign w:val="bottom"/>
          </w:tcPr>
          <w:p>
            <w:pPr>
              <w:jc w:val="right"/>
              <w:spacing w:after="0" w:line="134" w:lineRule="exact"/>
              <w:rPr>
                <w:sz w:val="20"/>
                <w:szCs w:val="20"/>
                <w:color w:val="auto"/>
              </w:rPr>
            </w:pPr>
            <w:r>
              <w:rPr>
                <w:rFonts w:ascii="Arial" w:cs="Arial" w:eastAsia="Arial" w:hAnsi="Arial"/>
                <w:sz w:val="12"/>
                <w:szCs w:val="12"/>
                <w:color w:val="auto"/>
              </w:rPr>
              <w:t>27</w:t>
            </w:r>
          </w:p>
        </w:tc>
      </w:tr>
      <w:tr>
        <w:trPr>
          <w:trHeight w:val="134"/>
        </w:trPr>
        <w:tc>
          <w:tcPr>
            <w:tcW w:w="4180" w:type="dxa"/>
            <w:vAlign w:val="bottom"/>
            <w:gridSpan w:val="2"/>
          </w:tcPr>
          <w:p>
            <w:pPr>
              <w:spacing w:after="0" w:line="134" w:lineRule="exact"/>
              <w:rPr>
                <w:sz w:val="20"/>
                <w:szCs w:val="20"/>
                <w:color w:val="auto"/>
              </w:rPr>
            </w:pPr>
            <w:r>
              <w:rPr>
                <w:rFonts w:ascii="Arial" w:cs="Arial" w:eastAsia="Arial" w:hAnsi="Arial"/>
                <w:sz w:val="12"/>
                <w:szCs w:val="12"/>
                <w:color w:val="auto"/>
              </w:rPr>
              <w:t>Tax benefit related to share-based compensation</w:t>
            </w:r>
          </w:p>
        </w:tc>
        <w:tc>
          <w:tcPr>
            <w:tcW w:w="14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c>
          <w:tcPr>
            <w:tcW w:w="1560" w:type="dxa"/>
            <w:vAlign w:val="bottom"/>
          </w:tcPr>
          <w:p>
            <w:pPr>
              <w:spacing w:after="0"/>
              <w:rPr>
                <w:sz w:val="11"/>
                <w:szCs w:val="11"/>
                <w:color w:val="auto"/>
              </w:rPr>
            </w:pPr>
          </w:p>
        </w:tc>
        <w:tc>
          <w:tcPr>
            <w:tcW w:w="36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520" w:type="dxa"/>
            <w:vAlign w:val="bottom"/>
          </w:tcPr>
          <w:p>
            <w:pPr>
              <w:spacing w:after="0"/>
              <w:rPr>
                <w:sz w:val="11"/>
                <w:szCs w:val="11"/>
                <w:color w:val="auto"/>
              </w:rPr>
            </w:pPr>
          </w:p>
        </w:tc>
        <w:tc>
          <w:tcPr>
            <w:tcW w:w="126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r>
      <w:tr>
        <w:trPr>
          <w:trHeight w:val="134"/>
        </w:trPr>
        <w:tc>
          <w:tcPr>
            <w:tcW w:w="4180" w:type="dxa"/>
            <w:vAlign w:val="bottom"/>
            <w:gridSpan w:val="2"/>
          </w:tcPr>
          <w:p>
            <w:pPr>
              <w:spacing w:after="0" w:line="134" w:lineRule="exact"/>
              <w:rPr>
                <w:sz w:val="20"/>
                <w:szCs w:val="20"/>
                <w:color w:val="auto"/>
              </w:rPr>
            </w:pPr>
            <w:r>
              <w:rPr>
                <w:rFonts w:ascii="Arial" w:cs="Arial" w:eastAsia="Arial" w:hAnsi="Arial"/>
                <w:sz w:val="12"/>
                <w:szCs w:val="12"/>
                <w:color w:val="auto"/>
              </w:rPr>
              <w:t>Repurchase of common stock</w:t>
            </w:r>
          </w:p>
        </w:tc>
        <w:tc>
          <w:tcPr>
            <w:tcW w:w="14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c>
          <w:tcPr>
            <w:tcW w:w="1560" w:type="dxa"/>
            <w:vAlign w:val="bottom"/>
          </w:tcPr>
          <w:p>
            <w:pPr>
              <w:spacing w:after="0"/>
              <w:rPr>
                <w:sz w:val="11"/>
                <w:szCs w:val="11"/>
                <w:color w:val="auto"/>
              </w:rPr>
            </w:pPr>
          </w:p>
        </w:tc>
        <w:tc>
          <w:tcPr>
            <w:tcW w:w="36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520" w:type="dxa"/>
            <w:vAlign w:val="bottom"/>
          </w:tcPr>
          <w:p>
            <w:pPr>
              <w:spacing w:after="0"/>
              <w:rPr>
                <w:sz w:val="11"/>
                <w:szCs w:val="11"/>
                <w:color w:val="auto"/>
              </w:rPr>
            </w:pPr>
          </w:p>
        </w:tc>
        <w:tc>
          <w:tcPr>
            <w:tcW w:w="126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r>
      <w:tr>
        <w:trPr>
          <w:trHeight w:val="134"/>
        </w:trPr>
        <w:tc>
          <w:tcPr>
            <w:tcW w:w="4180" w:type="dxa"/>
            <w:vAlign w:val="bottom"/>
            <w:gridSpan w:val="2"/>
          </w:tcPr>
          <w:p>
            <w:pPr>
              <w:spacing w:after="0" w:line="134" w:lineRule="exact"/>
              <w:rPr>
                <w:sz w:val="20"/>
                <w:szCs w:val="20"/>
                <w:color w:val="auto"/>
              </w:rPr>
            </w:pPr>
            <w:r>
              <w:rPr>
                <w:rFonts w:ascii="Arial" w:cs="Arial" w:eastAsia="Arial" w:hAnsi="Arial"/>
                <w:sz w:val="12"/>
                <w:szCs w:val="12"/>
                <w:color w:val="auto"/>
              </w:rPr>
              <w:t>Common stock released from ESOP</w:t>
            </w:r>
          </w:p>
        </w:tc>
        <w:tc>
          <w:tcPr>
            <w:tcW w:w="14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7</w:t>
            </w:r>
          </w:p>
        </w:tc>
        <w:tc>
          <w:tcPr>
            <w:tcW w:w="1560" w:type="dxa"/>
            <w:vAlign w:val="bottom"/>
          </w:tcPr>
          <w:p>
            <w:pPr>
              <w:spacing w:after="0"/>
              <w:rPr>
                <w:sz w:val="11"/>
                <w:szCs w:val="11"/>
                <w:color w:val="auto"/>
              </w:rPr>
            </w:pPr>
          </w:p>
        </w:tc>
        <w:tc>
          <w:tcPr>
            <w:tcW w:w="36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520" w:type="dxa"/>
            <w:vAlign w:val="bottom"/>
          </w:tcPr>
          <w:p>
            <w:pPr>
              <w:spacing w:after="0"/>
              <w:rPr>
                <w:sz w:val="11"/>
                <w:szCs w:val="11"/>
                <w:color w:val="auto"/>
              </w:rPr>
            </w:pPr>
          </w:p>
        </w:tc>
        <w:tc>
          <w:tcPr>
            <w:tcW w:w="1260" w:type="dxa"/>
            <w:vAlign w:val="bottom"/>
          </w:tcPr>
          <w:p>
            <w:pPr>
              <w:jc w:val="right"/>
              <w:spacing w:after="0" w:line="134" w:lineRule="exact"/>
              <w:rPr>
                <w:sz w:val="20"/>
                <w:szCs w:val="20"/>
                <w:color w:val="auto"/>
              </w:rPr>
            </w:pPr>
            <w:r>
              <w:rPr>
                <w:rFonts w:ascii="Arial" w:cs="Arial" w:eastAsia="Arial" w:hAnsi="Arial"/>
                <w:sz w:val="12"/>
                <w:szCs w:val="12"/>
                <w:color w:val="auto"/>
              </w:rPr>
              <w:t>7</w:t>
            </w:r>
          </w:p>
        </w:tc>
      </w:tr>
      <w:tr>
        <w:trPr>
          <w:trHeight w:val="144"/>
        </w:trPr>
        <w:tc>
          <w:tcPr>
            <w:tcW w:w="4180" w:type="dxa"/>
            <w:vAlign w:val="bottom"/>
            <w:gridSpan w:val="2"/>
          </w:tcPr>
          <w:p>
            <w:pPr>
              <w:spacing w:after="0"/>
              <w:rPr>
                <w:sz w:val="20"/>
                <w:szCs w:val="20"/>
                <w:color w:val="auto"/>
              </w:rPr>
            </w:pPr>
            <w:r>
              <w:rPr>
                <w:rFonts w:ascii="Arial" w:cs="Arial" w:eastAsia="Arial" w:hAnsi="Arial"/>
                <w:sz w:val="12"/>
                <w:szCs w:val="12"/>
                <w:color w:val="auto"/>
              </w:rPr>
              <w:t>Distributions to noncontrolling interests</w:t>
            </w:r>
          </w:p>
        </w:tc>
        <w:tc>
          <w:tcPr>
            <w:tcW w:w="148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5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5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r>
      <w:tr>
        <w:trPr>
          <w:trHeight w:val="134"/>
        </w:trPr>
        <w:tc>
          <w:tcPr>
            <w:tcW w:w="4180" w:type="dxa"/>
            <w:vAlign w:val="bottom"/>
            <w:gridSpan w:val="2"/>
          </w:tcPr>
          <w:p>
            <w:pPr>
              <w:spacing w:after="0" w:line="134" w:lineRule="exact"/>
              <w:rPr>
                <w:sz w:val="20"/>
                <w:szCs w:val="20"/>
                <w:color w:val="auto"/>
              </w:rPr>
            </w:pPr>
            <w:r>
              <w:rPr>
                <w:rFonts w:ascii="Arial" w:cs="Arial" w:eastAsia="Arial" w:hAnsi="Arial"/>
                <w:sz w:val="12"/>
                <w:szCs w:val="12"/>
                <w:color w:val="auto"/>
              </w:rPr>
              <w:t>Balance at March 31, 2010</w:t>
            </w:r>
          </w:p>
        </w:tc>
        <w:tc>
          <w:tcPr>
            <w:tcW w:w="1480" w:type="dxa"/>
            <w:vAlign w:val="bottom"/>
          </w:tcPr>
          <w:p>
            <w:pPr>
              <w:spacing w:after="0"/>
              <w:rPr>
                <w:sz w:val="11"/>
                <w:szCs w:val="11"/>
                <w:color w:val="auto"/>
              </w:rPr>
            </w:pPr>
          </w:p>
        </w:tc>
        <w:tc>
          <w:tcPr>
            <w:tcW w:w="1680" w:type="dxa"/>
            <w:vAlign w:val="bottom"/>
          </w:tcPr>
          <w:p>
            <w:pPr>
              <w:jc w:val="right"/>
              <w:ind w:right="1543"/>
              <w:spacing w:after="0" w:line="134" w:lineRule="exact"/>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line="134" w:lineRule="exact"/>
              <w:rPr>
                <w:sz w:val="20"/>
                <w:szCs w:val="20"/>
                <w:color w:val="auto"/>
              </w:rPr>
            </w:pPr>
            <w:r>
              <w:rPr>
                <w:rFonts w:ascii="Arial" w:cs="Arial" w:eastAsia="Arial" w:hAnsi="Arial"/>
                <w:sz w:val="12"/>
                <w:szCs w:val="12"/>
                <w:color w:val="auto"/>
              </w:rPr>
              <w:t>9,060</w:t>
            </w:r>
          </w:p>
        </w:tc>
        <w:tc>
          <w:tcPr>
            <w:tcW w:w="1560" w:type="dxa"/>
            <w:vAlign w:val="bottom"/>
          </w:tcPr>
          <w:p>
            <w:pPr>
              <w:jc w:val="right"/>
              <w:ind w:right="1447"/>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34" w:lineRule="exact"/>
              <w:rPr>
                <w:sz w:val="20"/>
                <w:szCs w:val="20"/>
                <w:color w:val="auto"/>
              </w:rPr>
            </w:pPr>
            <w:r>
              <w:rPr>
                <w:rFonts w:ascii="Arial" w:cs="Arial" w:eastAsia="Arial" w:hAnsi="Arial"/>
                <w:sz w:val="12"/>
                <w:szCs w:val="12"/>
                <w:color w:val="auto"/>
              </w:rPr>
              <w:t>235</w:t>
            </w:r>
          </w:p>
        </w:tc>
        <w:tc>
          <w:tcPr>
            <w:tcW w:w="520" w:type="dxa"/>
            <w:vAlign w:val="bottom"/>
          </w:tcPr>
          <w:p>
            <w:pPr>
              <w:jc w:val="right"/>
              <w:ind w:right="408"/>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line="134" w:lineRule="exact"/>
              <w:rPr>
                <w:sz w:val="20"/>
                <w:szCs w:val="20"/>
                <w:color w:val="auto"/>
              </w:rPr>
            </w:pPr>
            <w:r>
              <w:rPr>
                <w:rFonts w:ascii="Arial" w:cs="Arial" w:eastAsia="Arial" w:hAnsi="Arial"/>
                <w:sz w:val="12"/>
                <w:szCs w:val="12"/>
                <w:color w:val="auto"/>
              </w:rPr>
              <w:t>9,295</w:t>
            </w:r>
          </w:p>
        </w:tc>
      </w:tr>
      <w:tr>
        <w:trPr>
          <w:trHeight w:val="21"/>
        </w:trPr>
        <w:tc>
          <w:tcPr>
            <w:tcW w:w="20" w:type="dxa"/>
            <w:vAlign w:val="bottom"/>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ectPr>
          <w:pgSz w:w="11900" w:h="16878" w:orient="portrait"/>
          <w:cols w:equalWidth="0" w:num="1">
            <w:col w:w="11460"/>
          </w:cols>
          <w:pgMar w:left="220" w:top="129" w:right="219" w:bottom="0" w:gutter="0" w:footer="0" w:header="0"/>
          <w:type w:val="continuous"/>
        </w:sectPr>
      </w:pPr>
    </w:p>
    <w:bookmarkStart w:id="28" w:name="page29"/>
    <w:bookmarkEnd w:id="28"/>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SHAREHOLDER'S EQUITY AND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100" w:type="dxa"/>
            <w:vAlign w:val="bottom"/>
            <w:gridSpan w:val="2"/>
          </w:tcPr>
          <w:p>
            <w:pPr>
              <w:spacing w:after="0"/>
              <w:rPr>
                <w:sz w:val="20"/>
                <w:szCs w:val="20"/>
                <w:color w:val="auto"/>
              </w:rPr>
            </w:pPr>
            <w:r>
              <w:rPr>
                <w:rFonts w:ascii="Arial" w:cs="Arial" w:eastAsia="Arial" w:hAnsi="Arial"/>
                <w:sz w:val="11"/>
                <w:szCs w:val="11"/>
                <w:i w:val="1"/>
                <w:iCs w:val="1"/>
                <w:color w:val="auto"/>
              </w:rPr>
              <w:t>(Dollars in millions)</w:t>
            </w:r>
          </w:p>
        </w:tc>
        <w:tc>
          <w:tcPr>
            <w:tcW w:w="1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540" w:type="dxa"/>
            <w:vAlign w:val="bottom"/>
          </w:tcPr>
          <w:p>
            <w:pPr>
              <w:jc w:val="center"/>
              <w:ind w:left="727"/>
              <w:spacing w:after="0"/>
              <w:rPr>
                <w:sz w:val="20"/>
                <w:szCs w:val="20"/>
                <w:color w:val="auto"/>
              </w:rPr>
            </w:pPr>
            <w:r>
              <w:rPr>
                <w:rFonts w:ascii="Arial" w:cs="Arial" w:eastAsia="Arial" w:hAnsi="Arial"/>
                <w:sz w:val="11"/>
                <w:szCs w:val="11"/>
                <w:color w:val="auto"/>
              </w:rPr>
              <w:t>SDG&amp;E</w:t>
            </w:r>
          </w:p>
        </w:tc>
        <w:tc>
          <w:tcPr>
            <w:tcW w:w="380" w:type="dxa"/>
            <w:vAlign w:val="bottom"/>
          </w:tcPr>
          <w:p>
            <w:pPr>
              <w:spacing w:after="0"/>
              <w:rPr>
                <w:sz w:val="11"/>
                <w:szCs w:val="11"/>
                <w:color w:val="auto"/>
              </w:rPr>
            </w:pPr>
          </w:p>
        </w:tc>
        <w:tc>
          <w:tcPr>
            <w:tcW w:w="1440" w:type="dxa"/>
            <w:vAlign w:val="bottom"/>
          </w:tcPr>
          <w:p>
            <w:pPr>
              <w:jc w:val="center"/>
              <w:ind w:left="707"/>
              <w:spacing w:after="0"/>
              <w:rPr>
                <w:sz w:val="20"/>
                <w:szCs w:val="20"/>
                <w:color w:val="auto"/>
              </w:rPr>
            </w:pPr>
            <w:r>
              <w:rPr>
                <w:rFonts w:ascii="Arial" w:cs="Arial" w:eastAsia="Arial" w:hAnsi="Arial"/>
                <w:sz w:val="11"/>
                <w:szCs w:val="11"/>
                <w:color w:val="auto"/>
              </w:rPr>
              <w:t>Non-</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540" w:type="dxa"/>
            <w:vAlign w:val="bottom"/>
          </w:tcPr>
          <w:p>
            <w:pPr>
              <w:jc w:val="center"/>
              <w:ind w:left="727"/>
              <w:spacing w:after="0"/>
              <w:rPr>
                <w:sz w:val="20"/>
                <w:szCs w:val="20"/>
                <w:color w:val="auto"/>
              </w:rPr>
            </w:pPr>
            <w:r>
              <w:rPr>
                <w:rFonts w:ascii="Arial" w:cs="Arial" w:eastAsia="Arial" w:hAnsi="Arial"/>
                <w:sz w:val="11"/>
                <w:szCs w:val="11"/>
                <w:color w:val="auto"/>
              </w:rPr>
              <w:t>Shareholder's</w:t>
            </w:r>
          </w:p>
        </w:tc>
        <w:tc>
          <w:tcPr>
            <w:tcW w:w="380" w:type="dxa"/>
            <w:vAlign w:val="bottom"/>
          </w:tcPr>
          <w:p>
            <w:pPr>
              <w:spacing w:after="0"/>
              <w:rPr>
                <w:sz w:val="11"/>
                <w:szCs w:val="11"/>
                <w:color w:val="auto"/>
              </w:rPr>
            </w:pPr>
          </w:p>
        </w:tc>
        <w:tc>
          <w:tcPr>
            <w:tcW w:w="1440" w:type="dxa"/>
            <w:vAlign w:val="bottom"/>
          </w:tcPr>
          <w:p>
            <w:pPr>
              <w:jc w:val="center"/>
              <w:ind w:left="687"/>
              <w:spacing w:after="0"/>
              <w:rPr>
                <w:sz w:val="20"/>
                <w:szCs w:val="20"/>
                <w:color w:val="auto"/>
              </w:rPr>
            </w:pPr>
            <w:r>
              <w:rPr>
                <w:rFonts w:ascii="Arial" w:cs="Arial" w:eastAsia="Arial" w:hAnsi="Arial"/>
                <w:sz w:val="11"/>
                <w:szCs w:val="11"/>
                <w:color w:val="auto"/>
                <w:w w:val="99"/>
              </w:rPr>
              <w:t>controlling</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jc w:val="right"/>
              <w:ind w:right="439"/>
              <w:spacing w:after="0"/>
              <w:rPr>
                <w:sz w:val="20"/>
                <w:szCs w:val="20"/>
                <w:color w:val="auto"/>
              </w:rPr>
            </w:pPr>
            <w:r>
              <w:rPr>
                <w:rFonts w:ascii="Arial" w:cs="Arial" w:eastAsia="Arial" w:hAnsi="Arial"/>
                <w:sz w:val="11"/>
                <w:szCs w:val="11"/>
                <w:color w:val="auto"/>
              </w:rPr>
              <w:t>Total</w:t>
            </w:r>
          </w:p>
        </w:tc>
      </w:tr>
      <w:tr>
        <w:trPr>
          <w:trHeight w:val="124"/>
        </w:trPr>
        <w:tc>
          <w:tcPr>
            <w:tcW w:w="20" w:type="dxa"/>
            <w:vAlign w:val="bottom"/>
          </w:tcPr>
          <w:p>
            <w:pPr>
              <w:spacing w:after="0"/>
              <w:rPr>
                <w:sz w:val="10"/>
                <w:szCs w:val="10"/>
                <w:color w:val="auto"/>
              </w:rPr>
            </w:pPr>
          </w:p>
        </w:tc>
        <w:tc>
          <w:tcPr>
            <w:tcW w:w="60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center"/>
              <w:ind w:left="727"/>
              <w:spacing w:after="0" w:line="123" w:lineRule="exact"/>
              <w:rPr>
                <w:sz w:val="20"/>
                <w:szCs w:val="20"/>
                <w:color w:val="auto"/>
              </w:rPr>
            </w:pPr>
            <w:r>
              <w:rPr>
                <w:rFonts w:ascii="Arial" w:cs="Arial" w:eastAsia="Arial" w:hAnsi="Arial"/>
                <w:sz w:val="11"/>
                <w:szCs w:val="11"/>
                <w:color w:val="auto"/>
              </w:rPr>
              <w:t>Equity</w:t>
            </w:r>
          </w:p>
        </w:tc>
        <w:tc>
          <w:tcPr>
            <w:tcW w:w="3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center"/>
              <w:ind w:left="707"/>
              <w:spacing w:after="0" w:line="123" w:lineRule="exact"/>
              <w:rPr>
                <w:sz w:val="20"/>
                <w:szCs w:val="20"/>
                <w:color w:val="auto"/>
              </w:rPr>
            </w:pPr>
            <w:r>
              <w:rPr>
                <w:rFonts w:ascii="Arial" w:cs="Arial" w:eastAsia="Arial" w:hAnsi="Arial"/>
                <w:sz w:val="11"/>
                <w:szCs w:val="11"/>
                <w:color w:val="auto"/>
                <w:w w:val="97"/>
              </w:rPr>
              <w:t>Interest</w:t>
            </w:r>
          </w:p>
        </w:tc>
        <w:tc>
          <w:tcPr>
            <w:tcW w:w="3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399"/>
              <w:spacing w:after="0" w:line="123" w:lineRule="exact"/>
              <w:rPr>
                <w:sz w:val="20"/>
                <w:szCs w:val="20"/>
                <w:color w:val="auto"/>
              </w:rPr>
            </w:pPr>
            <w:r>
              <w:rPr>
                <w:rFonts w:ascii="Arial" w:cs="Arial" w:eastAsia="Arial" w:hAnsi="Arial"/>
                <w:sz w:val="11"/>
                <w:szCs w:val="11"/>
                <w:color w:val="auto"/>
              </w:rPr>
              <w:t>Equity</w:t>
            </w:r>
          </w:p>
        </w:tc>
      </w:tr>
      <w:tr>
        <w:trPr>
          <w:trHeight w:val="125"/>
        </w:trPr>
        <w:tc>
          <w:tcPr>
            <w:tcW w:w="20" w:type="dxa"/>
            <w:vAlign w:val="bottom"/>
          </w:tcPr>
          <w:p>
            <w:pPr>
              <w:spacing w:after="0"/>
              <w:rPr>
                <w:sz w:val="10"/>
                <w:szCs w:val="10"/>
                <w:color w:val="auto"/>
              </w:rPr>
            </w:pPr>
          </w:p>
        </w:tc>
        <w:tc>
          <w:tcPr>
            <w:tcW w:w="6080" w:type="dxa"/>
            <w:vAlign w:val="bottom"/>
          </w:tcPr>
          <w:p>
            <w:pPr>
              <w:spacing w:after="0" w:line="126" w:lineRule="exact"/>
              <w:rPr>
                <w:sz w:val="20"/>
                <w:szCs w:val="20"/>
                <w:color w:val="auto"/>
              </w:rPr>
            </w:pPr>
            <w:r>
              <w:rPr>
                <w:rFonts w:ascii="Arial" w:cs="Arial" w:eastAsia="Arial" w:hAnsi="Arial"/>
                <w:sz w:val="12"/>
                <w:szCs w:val="12"/>
                <w:color w:val="auto"/>
              </w:rPr>
              <w:t>Balance at December 31, 2010</w:t>
            </w:r>
          </w:p>
        </w:tc>
        <w:tc>
          <w:tcPr>
            <w:tcW w:w="1540" w:type="dxa"/>
            <w:vAlign w:val="bottom"/>
          </w:tcPr>
          <w:p>
            <w:pPr>
              <w:jc w:val="right"/>
              <w:ind w:right="1427"/>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26" w:lineRule="exact"/>
              <w:rPr>
                <w:sz w:val="20"/>
                <w:szCs w:val="20"/>
                <w:color w:val="auto"/>
              </w:rPr>
            </w:pPr>
            <w:r>
              <w:rPr>
                <w:rFonts w:ascii="Arial" w:cs="Arial" w:eastAsia="Arial" w:hAnsi="Arial"/>
                <w:sz w:val="12"/>
                <w:szCs w:val="12"/>
                <w:color w:val="auto"/>
              </w:rPr>
              <w:t>3,108</w:t>
            </w:r>
          </w:p>
        </w:tc>
        <w:tc>
          <w:tcPr>
            <w:tcW w:w="1440" w:type="dxa"/>
            <w:vAlign w:val="bottom"/>
          </w:tcPr>
          <w:p>
            <w:pPr>
              <w:jc w:val="right"/>
              <w:ind w:right="1327"/>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26" w:lineRule="exact"/>
              <w:rPr>
                <w:sz w:val="20"/>
                <w:szCs w:val="20"/>
                <w:color w:val="auto"/>
              </w:rPr>
            </w:pPr>
            <w:r>
              <w:rPr>
                <w:rFonts w:ascii="Arial" w:cs="Arial" w:eastAsia="Arial" w:hAnsi="Arial"/>
                <w:sz w:val="12"/>
                <w:szCs w:val="12"/>
                <w:color w:val="auto"/>
              </w:rPr>
              <w:t>113</w:t>
            </w:r>
          </w:p>
        </w:tc>
        <w:tc>
          <w:tcPr>
            <w:tcW w:w="480" w:type="dxa"/>
            <w:vAlign w:val="bottom"/>
          </w:tcPr>
          <w:p>
            <w:pPr>
              <w:jc w:val="right"/>
              <w:ind w:right="338"/>
              <w:spacing w:after="0" w:line="126" w:lineRule="exact"/>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line="126" w:lineRule="exact"/>
              <w:rPr>
                <w:sz w:val="20"/>
                <w:szCs w:val="20"/>
                <w:color w:val="auto"/>
              </w:rPr>
            </w:pPr>
            <w:r>
              <w:rPr>
                <w:rFonts w:ascii="Arial" w:cs="Arial" w:eastAsia="Arial" w:hAnsi="Arial"/>
                <w:sz w:val="12"/>
                <w:szCs w:val="12"/>
                <w:color w:val="auto"/>
              </w:rPr>
              <w:t>3,221</w:t>
            </w:r>
          </w:p>
        </w:tc>
      </w:tr>
      <w:tr>
        <w:trPr>
          <w:trHeight w:val="134"/>
        </w:trPr>
        <w:tc>
          <w:tcPr>
            <w:tcW w:w="6100" w:type="dxa"/>
            <w:vAlign w:val="bottom"/>
            <w:gridSpan w:val="2"/>
          </w:tcPr>
          <w:p>
            <w:pPr>
              <w:spacing w:after="0" w:line="134" w:lineRule="exact"/>
              <w:rPr>
                <w:sz w:val="20"/>
                <w:szCs w:val="20"/>
                <w:color w:val="auto"/>
              </w:rPr>
            </w:pPr>
            <w:r>
              <w:rPr>
                <w:rFonts w:ascii="Arial" w:cs="Arial" w:eastAsia="Arial" w:hAnsi="Arial"/>
                <w:sz w:val="12"/>
                <w:szCs w:val="12"/>
                <w:color w:val="auto"/>
              </w:rPr>
              <w:t>Comprehensive income</w:t>
            </w:r>
          </w:p>
        </w:tc>
        <w:tc>
          <w:tcPr>
            <w:tcW w:w="15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90</w:t>
            </w:r>
          </w:p>
        </w:tc>
        <w:tc>
          <w:tcPr>
            <w:tcW w:w="1440" w:type="dxa"/>
            <w:vAlign w:val="bottom"/>
          </w:tcPr>
          <w:p>
            <w:pPr>
              <w:spacing w:after="0"/>
              <w:rPr>
                <w:sz w:val="11"/>
                <w:szCs w:val="11"/>
                <w:color w:val="auto"/>
              </w:rPr>
            </w:pPr>
          </w:p>
        </w:tc>
        <w:tc>
          <w:tcPr>
            <w:tcW w:w="340" w:type="dxa"/>
            <w:vAlign w:val="bottom"/>
          </w:tcPr>
          <w:p>
            <w:pPr>
              <w:jc w:val="right"/>
              <w:spacing w:after="0" w:line="134" w:lineRule="exact"/>
              <w:rPr>
                <w:sz w:val="20"/>
                <w:szCs w:val="20"/>
                <w:color w:val="auto"/>
              </w:rPr>
            </w:pPr>
            <w:r>
              <w:rPr>
                <w:rFonts w:ascii="Arial" w:cs="Arial" w:eastAsia="Arial" w:hAnsi="Arial"/>
                <w:sz w:val="12"/>
                <w:szCs w:val="12"/>
                <w:color w:val="auto"/>
              </w:rPr>
              <w:t>5</w:t>
            </w:r>
          </w:p>
        </w:tc>
        <w:tc>
          <w:tcPr>
            <w:tcW w:w="480" w:type="dxa"/>
            <w:vAlign w:val="bottom"/>
          </w:tcPr>
          <w:p>
            <w:pPr>
              <w:spacing w:after="0"/>
              <w:rPr>
                <w:sz w:val="11"/>
                <w:szCs w:val="11"/>
                <w:color w:val="auto"/>
              </w:rPr>
            </w:pPr>
          </w:p>
        </w:tc>
        <w:tc>
          <w:tcPr>
            <w:tcW w:w="1180" w:type="dxa"/>
            <w:vAlign w:val="bottom"/>
          </w:tcPr>
          <w:p>
            <w:pPr>
              <w:jc w:val="right"/>
              <w:spacing w:after="0" w:line="134" w:lineRule="exact"/>
              <w:rPr>
                <w:sz w:val="20"/>
                <w:szCs w:val="20"/>
                <w:color w:val="auto"/>
              </w:rPr>
            </w:pPr>
            <w:r>
              <w:rPr>
                <w:rFonts w:ascii="Arial" w:cs="Arial" w:eastAsia="Arial" w:hAnsi="Arial"/>
                <w:sz w:val="12"/>
                <w:szCs w:val="12"/>
                <w:color w:val="auto"/>
              </w:rPr>
              <w:t>95</w:t>
            </w:r>
          </w:p>
        </w:tc>
      </w:tr>
      <w:tr>
        <w:trPr>
          <w:trHeight w:val="134"/>
        </w:trPr>
        <w:tc>
          <w:tcPr>
            <w:tcW w:w="6100" w:type="dxa"/>
            <w:vAlign w:val="bottom"/>
            <w:gridSpan w:val="2"/>
          </w:tcPr>
          <w:p>
            <w:pPr>
              <w:spacing w:after="0" w:line="134" w:lineRule="exact"/>
              <w:rPr>
                <w:sz w:val="20"/>
                <w:szCs w:val="20"/>
                <w:color w:val="auto"/>
              </w:rPr>
            </w:pPr>
            <w:r>
              <w:rPr>
                <w:rFonts w:ascii="Arial" w:cs="Arial" w:eastAsia="Arial" w:hAnsi="Arial"/>
                <w:sz w:val="12"/>
                <w:szCs w:val="12"/>
                <w:color w:val="auto"/>
              </w:rPr>
              <w:t>Preferred stock dividends declared</w:t>
            </w:r>
          </w:p>
        </w:tc>
        <w:tc>
          <w:tcPr>
            <w:tcW w:w="15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c>
          <w:tcPr>
            <w:tcW w:w="1440" w:type="dxa"/>
            <w:vAlign w:val="bottom"/>
          </w:tcPr>
          <w:p>
            <w:pPr>
              <w:spacing w:after="0"/>
              <w:rPr>
                <w:sz w:val="11"/>
                <w:szCs w:val="11"/>
                <w:color w:val="auto"/>
              </w:rPr>
            </w:pPr>
          </w:p>
        </w:tc>
        <w:tc>
          <w:tcPr>
            <w:tcW w:w="34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480" w:type="dxa"/>
            <w:vAlign w:val="bottom"/>
          </w:tcPr>
          <w:p>
            <w:pPr>
              <w:spacing w:after="0"/>
              <w:rPr>
                <w:sz w:val="11"/>
                <w:szCs w:val="11"/>
                <w:color w:val="auto"/>
              </w:rPr>
            </w:pPr>
          </w:p>
        </w:tc>
        <w:tc>
          <w:tcPr>
            <w:tcW w:w="118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r>
      <w:tr>
        <w:trPr>
          <w:trHeight w:val="134"/>
        </w:trPr>
        <w:tc>
          <w:tcPr>
            <w:tcW w:w="6100" w:type="dxa"/>
            <w:vAlign w:val="bottom"/>
            <w:gridSpan w:val="2"/>
          </w:tcPr>
          <w:p>
            <w:pPr>
              <w:spacing w:after="0" w:line="134" w:lineRule="exact"/>
              <w:rPr>
                <w:sz w:val="20"/>
                <w:szCs w:val="20"/>
                <w:color w:val="auto"/>
              </w:rPr>
            </w:pPr>
            <w:r>
              <w:rPr>
                <w:rFonts w:ascii="Arial" w:cs="Arial" w:eastAsia="Arial" w:hAnsi="Arial"/>
                <w:sz w:val="12"/>
                <w:szCs w:val="12"/>
                <w:color w:val="auto"/>
              </w:rPr>
              <w:t>Capital contribution</w:t>
            </w:r>
          </w:p>
        </w:tc>
        <w:tc>
          <w:tcPr>
            <w:tcW w:w="15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200</w:t>
            </w:r>
          </w:p>
        </w:tc>
        <w:tc>
          <w:tcPr>
            <w:tcW w:w="1440" w:type="dxa"/>
            <w:vAlign w:val="bottom"/>
          </w:tcPr>
          <w:p>
            <w:pPr>
              <w:spacing w:after="0"/>
              <w:rPr>
                <w:sz w:val="11"/>
                <w:szCs w:val="11"/>
                <w:color w:val="auto"/>
              </w:rPr>
            </w:pPr>
          </w:p>
        </w:tc>
        <w:tc>
          <w:tcPr>
            <w:tcW w:w="34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480" w:type="dxa"/>
            <w:vAlign w:val="bottom"/>
          </w:tcPr>
          <w:p>
            <w:pPr>
              <w:spacing w:after="0"/>
              <w:rPr>
                <w:sz w:val="11"/>
                <w:szCs w:val="11"/>
                <w:color w:val="auto"/>
              </w:rPr>
            </w:pPr>
          </w:p>
        </w:tc>
        <w:tc>
          <w:tcPr>
            <w:tcW w:w="1180" w:type="dxa"/>
            <w:vAlign w:val="bottom"/>
          </w:tcPr>
          <w:p>
            <w:pPr>
              <w:jc w:val="right"/>
              <w:spacing w:after="0" w:line="134" w:lineRule="exact"/>
              <w:rPr>
                <w:sz w:val="20"/>
                <w:szCs w:val="20"/>
                <w:color w:val="auto"/>
              </w:rPr>
            </w:pPr>
            <w:r>
              <w:rPr>
                <w:rFonts w:ascii="Arial" w:cs="Arial" w:eastAsia="Arial" w:hAnsi="Arial"/>
                <w:sz w:val="12"/>
                <w:szCs w:val="12"/>
                <w:color w:val="auto"/>
              </w:rPr>
              <w:t>200</w:t>
            </w:r>
          </w:p>
        </w:tc>
      </w:tr>
      <w:tr>
        <w:trPr>
          <w:trHeight w:val="144"/>
        </w:trPr>
        <w:tc>
          <w:tcPr>
            <w:tcW w:w="6100" w:type="dxa"/>
            <w:vAlign w:val="bottom"/>
            <w:gridSpan w:val="2"/>
          </w:tcPr>
          <w:p>
            <w:pPr>
              <w:spacing w:after="0"/>
              <w:rPr>
                <w:sz w:val="20"/>
                <w:szCs w:val="20"/>
                <w:color w:val="auto"/>
              </w:rPr>
            </w:pPr>
            <w:r>
              <w:rPr>
                <w:rFonts w:ascii="Arial" w:cs="Arial" w:eastAsia="Arial" w:hAnsi="Arial"/>
                <w:sz w:val="12"/>
                <w:szCs w:val="12"/>
                <w:color w:val="auto"/>
              </w:rPr>
              <w:t>Equity contributed by noncontrolling interest</w:t>
            </w:r>
          </w:p>
        </w:tc>
        <w:tc>
          <w:tcPr>
            <w:tcW w:w="15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4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r>
      <w:tr>
        <w:trPr>
          <w:trHeight w:val="135"/>
        </w:trPr>
        <w:tc>
          <w:tcPr>
            <w:tcW w:w="6100" w:type="dxa"/>
            <w:vAlign w:val="bottom"/>
            <w:gridSpan w:val="2"/>
          </w:tcPr>
          <w:p>
            <w:pPr>
              <w:spacing w:after="0" w:line="134" w:lineRule="exact"/>
              <w:rPr>
                <w:sz w:val="20"/>
                <w:szCs w:val="20"/>
                <w:color w:val="auto"/>
              </w:rPr>
            </w:pPr>
            <w:r>
              <w:rPr>
                <w:rFonts w:ascii="Arial" w:cs="Arial" w:eastAsia="Arial" w:hAnsi="Arial"/>
                <w:sz w:val="12"/>
                <w:szCs w:val="12"/>
                <w:color w:val="auto"/>
              </w:rPr>
              <w:t>Balance at March 31, 2011</w:t>
            </w:r>
          </w:p>
        </w:tc>
        <w:tc>
          <w:tcPr>
            <w:tcW w:w="1540" w:type="dxa"/>
            <w:vAlign w:val="bottom"/>
          </w:tcPr>
          <w:p>
            <w:pPr>
              <w:jc w:val="right"/>
              <w:ind w:right="1427"/>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3,397</w:t>
            </w:r>
          </w:p>
        </w:tc>
        <w:tc>
          <w:tcPr>
            <w:tcW w:w="1440" w:type="dxa"/>
            <w:vAlign w:val="bottom"/>
          </w:tcPr>
          <w:p>
            <w:pPr>
              <w:jc w:val="right"/>
              <w:ind w:right="1327"/>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34" w:lineRule="exact"/>
              <w:rPr>
                <w:sz w:val="20"/>
                <w:szCs w:val="20"/>
                <w:color w:val="auto"/>
              </w:rPr>
            </w:pPr>
            <w:r>
              <w:rPr>
                <w:rFonts w:ascii="Arial" w:cs="Arial" w:eastAsia="Arial" w:hAnsi="Arial"/>
                <w:sz w:val="12"/>
                <w:szCs w:val="12"/>
                <w:color w:val="auto"/>
              </w:rPr>
              <w:t>119</w:t>
            </w:r>
          </w:p>
        </w:tc>
        <w:tc>
          <w:tcPr>
            <w:tcW w:w="480" w:type="dxa"/>
            <w:vAlign w:val="bottom"/>
          </w:tcPr>
          <w:p>
            <w:pPr>
              <w:jc w:val="right"/>
              <w:ind w:right="338"/>
              <w:spacing w:after="0" w:line="134" w:lineRule="exact"/>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line="134" w:lineRule="exact"/>
              <w:rPr>
                <w:sz w:val="20"/>
                <w:szCs w:val="20"/>
                <w:color w:val="auto"/>
              </w:rPr>
            </w:pPr>
            <w:r>
              <w:rPr>
                <w:rFonts w:ascii="Arial" w:cs="Arial" w:eastAsia="Arial" w:hAnsi="Arial"/>
                <w:sz w:val="12"/>
                <w:szCs w:val="12"/>
                <w:color w:val="auto"/>
              </w:rPr>
              <w:t>3,516</w:t>
            </w:r>
          </w:p>
        </w:tc>
      </w:tr>
      <w:tr>
        <w:trPr>
          <w:trHeight w:val="125"/>
        </w:trPr>
        <w:tc>
          <w:tcPr>
            <w:tcW w:w="20" w:type="dxa"/>
            <w:vAlign w:val="bottom"/>
          </w:tcPr>
          <w:p>
            <w:pPr>
              <w:spacing w:after="0"/>
              <w:rPr>
                <w:sz w:val="10"/>
                <w:szCs w:val="10"/>
                <w:color w:val="auto"/>
              </w:rPr>
            </w:pPr>
          </w:p>
        </w:tc>
        <w:tc>
          <w:tcPr>
            <w:tcW w:w="6080" w:type="dxa"/>
            <w:vAlign w:val="bottom"/>
            <w:tcBorders>
              <w:top w:val="single" w:sz="8" w:color="auto"/>
            </w:tcBorders>
          </w:tcPr>
          <w:p>
            <w:pPr>
              <w:spacing w:after="0" w:line="126" w:lineRule="exact"/>
              <w:rPr>
                <w:sz w:val="20"/>
                <w:szCs w:val="20"/>
                <w:color w:val="auto"/>
              </w:rPr>
            </w:pPr>
            <w:r>
              <w:rPr>
                <w:rFonts w:ascii="Arial" w:cs="Arial" w:eastAsia="Arial" w:hAnsi="Arial"/>
                <w:sz w:val="12"/>
                <w:szCs w:val="12"/>
                <w:color w:val="auto"/>
              </w:rPr>
              <w:t>Balance at December 31, 2009</w:t>
            </w:r>
          </w:p>
        </w:tc>
        <w:tc>
          <w:tcPr>
            <w:tcW w:w="1540" w:type="dxa"/>
            <w:vAlign w:val="bottom"/>
            <w:tcBorders>
              <w:top w:val="single" w:sz="8" w:color="auto"/>
            </w:tcBorders>
          </w:tcPr>
          <w:p>
            <w:pPr>
              <w:jc w:val="right"/>
              <w:ind w:right="1427"/>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color w:val="auto"/>
              </w:rPr>
              <w:t>2,739</w:t>
            </w:r>
          </w:p>
        </w:tc>
        <w:tc>
          <w:tcPr>
            <w:tcW w:w="1440" w:type="dxa"/>
            <w:vAlign w:val="bottom"/>
            <w:tcBorders>
              <w:top w:val="single" w:sz="8" w:color="auto"/>
            </w:tcBorders>
          </w:tcPr>
          <w:p>
            <w:pPr>
              <w:jc w:val="right"/>
              <w:ind w:right="1327"/>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color w:val="auto"/>
              </w:rPr>
              <w:t>146</w:t>
            </w:r>
          </w:p>
        </w:tc>
        <w:tc>
          <w:tcPr>
            <w:tcW w:w="480" w:type="dxa"/>
            <w:vAlign w:val="bottom"/>
            <w:tcBorders>
              <w:top w:val="single" w:sz="8" w:color="auto"/>
            </w:tcBorders>
          </w:tcPr>
          <w:p>
            <w:pPr>
              <w:jc w:val="right"/>
              <w:ind w:right="338"/>
              <w:spacing w:after="0" w:line="126" w:lineRule="exact"/>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color w:val="auto"/>
              </w:rPr>
              <w:t>2,885</w:t>
            </w:r>
          </w:p>
        </w:tc>
      </w:tr>
      <w:tr>
        <w:trPr>
          <w:trHeight w:val="134"/>
        </w:trPr>
        <w:tc>
          <w:tcPr>
            <w:tcW w:w="6100" w:type="dxa"/>
            <w:vAlign w:val="bottom"/>
            <w:gridSpan w:val="2"/>
          </w:tcPr>
          <w:p>
            <w:pPr>
              <w:spacing w:after="0" w:line="134" w:lineRule="exact"/>
              <w:rPr>
                <w:sz w:val="20"/>
                <w:szCs w:val="20"/>
                <w:color w:val="auto"/>
              </w:rPr>
            </w:pPr>
            <w:r>
              <w:rPr>
                <w:rFonts w:ascii="Arial" w:cs="Arial" w:eastAsia="Arial" w:hAnsi="Arial"/>
                <w:sz w:val="12"/>
                <w:szCs w:val="12"/>
                <w:color w:val="auto"/>
              </w:rPr>
              <w:t>Comprehensive income (loss)</w:t>
            </w:r>
          </w:p>
        </w:tc>
        <w:tc>
          <w:tcPr>
            <w:tcW w:w="15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84</w:t>
            </w:r>
          </w:p>
        </w:tc>
        <w:tc>
          <w:tcPr>
            <w:tcW w:w="1440" w:type="dxa"/>
            <w:vAlign w:val="bottom"/>
          </w:tcPr>
          <w:p>
            <w:pPr>
              <w:spacing w:after="0"/>
              <w:rPr>
                <w:sz w:val="11"/>
                <w:szCs w:val="11"/>
                <w:color w:val="auto"/>
              </w:rPr>
            </w:pPr>
          </w:p>
        </w:tc>
        <w:tc>
          <w:tcPr>
            <w:tcW w:w="340" w:type="dxa"/>
            <w:vAlign w:val="bottom"/>
          </w:tcPr>
          <w:p>
            <w:pPr>
              <w:jc w:val="right"/>
              <w:spacing w:after="0" w:line="134" w:lineRule="exact"/>
              <w:rPr>
                <w:sz w:val="20"/>
                <w:szCs w:val="20"/>
                <w:color w:val="auto"/>
              </w:rPr>
            </w:pPr>
            <w:r>
              <w:rPr>
                <w:rFonts w:ascii="Arial" w:cs="Arial" w:eastAsia="Arial" w:hAnsi="Arial"/>
                <w:sz w:val="12"/>
                <w:szCs w:val="12"/>
                <w:color w:val="auto"/>
              </w:rPr>
              <w:t>(6)</w:t>
            </w:r>
          </w:p>
        </w:tc>
        <w:tc>
          <w:tcPr>
            <w:tcW w:w="480" w:type="dxa"/>
            <w:vAlign w:val="bottom"/>
          </w:tcPr>
          <w:p>
            <w:pPr>
              <w:spacing w:after="0"/>
              <w:rPr>
                <w:sz w:val="11"/>
                <w:szCs w:val="11"/>
                <w:color w:val="auto"/>
              </w:rPr>
            </w:pPr>
          </w:p>
        </w:tc>
        <w:tc>
          <w:tcPr>
            <w:tcW w:w="1180" w:type="dxa"/>
            <w:vAlign w:val="bottom"/>
          </w:tcPr>
          <w:p>
            <w:pPr>
              <w:jc w:val="right"/>
              <w:spacing w:after="0" w:line="134" w:lineRule="exact"/>
              <w:rPr>
                <w:sz w:val="20"/>
                <w:szCs w:val="20"/>
                <w:color w:val="auto"/>
              </w:rPr>
            </w:pPr>
            <w:r>
              <w:rPr>
                <w:rFonts w:ascii="Arial" w:cs="Arial" w:eastAsia="Arial" w:hAnsi="Arial"/>
                <w:sz w:val="12"/>
                <w:szCs w:val="12"/>
                <w:color w:val="auto"/>
              </w:rPr>
              <w:t>78</w:t>
            </w:r>
          </w:p>
        </w:tc>
      </w:tr>
      <w:tr>
        <w:trPr>
          <w:trHeight w:val="134"/>
        </w:trPr>
        <w:tc>
          <w:tcPr>
            <w:tcW w:w="6100" w:type="dxa"/>
            <w:vAlign w:val="bottom"/>
            <w:gridSpan w:val="2"/>
          </w:tcPr>
          <w:p>
            <w:pPr>
              <w:spacing w:after="0" w:line="134" w:lineRule="exact"/>
              <w:rPr>
                <w:sz w:val="20"/>
                <w:szCs w:val="20"/>
                <w:color w:val="auto"/>
              </w:rPr>
            </w:pPr>
            <w:r>
              <w:rPr>
                <w:rFonts w:ascii="Arial" w:cs="Arial" w:eastAsia="Arial" w:hAnsi="Arial"/>
                <w:sz w:val="12"/>
                <w:szCs w:val="12"/>
                <w:color w:val="auto"/>
              </w:rPr>
              <w:t>Preferred stock dividends declared</w:t>
            </w:r>
          </w:p>
        </w:tc>
        <w:tc>
          <w:tcPr>
            <w:tcW w:w="15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c>
          <w:tcPr>
            <w:tcW w:w="1440" w:type="dxa"/>
            <w:vAlign w:val="bottom"/>
          </w:tcPr>
          <w:p>
            <w:pPr>
              <w:spacing w:after="0"/>
              <w:rPr>
                <w:sz w:val="11"/>
                <w:szCs w:val="11"/>
                <w:color w:val="auto"/>
              </w:rPr>
            </w:pPr>
          </w:p>
        </w:tc>
        <w:tc>
          <w:tcPr>
            <w:tcW w:w="34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480" w:type="dxa"/>
            <w:vAlign w:val="bottom"/>
          </w:tcPr>
          <w:p>
            <w:pPr>
              <w:spacing w:after="0"/>
              <w:rPr>
                <w:sz w:val="11"/>
                <w:szCs w:val="11"/>
                <w:color w:val="auto"/>
              </w:rPr>
            </w:pPr>
          </w:p>
        </w:tc>
        <w:tc>
          <w:tcPr>
            <w:tcW w:w="118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r>
      <w:tr>
        <w:trPr>
          <w:trHeight w:val="144"/>
        </w:trPr>
        <w:tc>
          <w:tcPr>
            <w:tcW w:w="6100" w:type="dxa"/>
            <w:vAlign w:val="bottom"/>
            <w:gridSpan w:val="2"/>
          </w:tcPr>
          <w:p>
            <w:pPr>
              <w:spacing w:after="0"/>
              <w:rPr>
                <w:sz w:val="20"/>
                <w:szCs w:val="20"/>
                <w:color w:val="auto"/>
              </w:rPr>
            </w:pPr>
            <w:r>
              <w:rPr>
                <w:rFonts w:ascii="Arial" w:cs="Arial" w:eastAsia="Arial" w:hAnsi="Arial"/>
                <w:sz w:val="12"/>
                <w:szCs w:val="12"/>
                <w:color w:val="auto"/>
              </w:rPr>
              <w:t>Distributions to noncontrolling interest</w:t>
            </w:r>
          </w:p>
        </w:tc>
        <w:tc>
          <w:tcPr>
            <w:tcW w:w="15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4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r>
      <w:tr>
        <w:trPr>
          <w:trHeight w:val="134"/>
        </w:trPr>
        <w:tc>
          <w:tcPr>
            <w:tcW w:w="6100" w:type="dxa"/>
            <w:vAlign w:val="bottom"/>
            <w:gridSpan w:val="2"/>
          </w:tcPr>
          <w:p>
            <w:pPr>
              <w:spacing w:after="0" w:line="134" w:lineRule="exact"/>
              <w:rPr>
                <w:sz w:val="20"/>
                <w:szCs w:val="20"/>
                <w:color w:val="auto"/>
              </w:rPr>
            </w:pPr>
            <w:r>
              <w:rPr>
                <w:rFonts w:ascii="Arial" w:cs="Arial" w:eastAsia="Arial" w:hAnsi="Arial"/>
                <w:sz w:val="12"/>
                <w:szCs w:val="12"/>
                <w:color w:val="auto"/>
              </w:rPr>
              <w:t>Balance at March 31, 2010</w:t>
            </w:r>
          </w:p>
        </w:tc>
        <w:tc>
          <w:tcPr>
            <w:tcW w:w="1540" w:type="dxa"/>
            <w:vAlign w:val="bottom"/>
          </w:tcPr>
          <w:p>
            <w:pPr>
              <w:jc w:val="right"/>
              <w:ind w:right="1427"/>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2,822</w:t>
            </w:r>
          </w:p>
        </w:tc>
        <w:tc>
          <w:tcPr>
            <w:tcW w:w="1440" w:type="dxa"/>
            <w:vAlign w:val="bottom"/>
          </w:tcPr>
          <w:p>
            <w:pPr>
              <w:jc w:val="right"/>
              <w:ind w:right="1327"/>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34" w:lineRule="exact"/>
              <w:rPr>
                <w:sz w:val="20"/>
                <w:szCs w:val="20"/>
                <w:color w:val="auto"/>
              </w:rPr>
            </w:pPr>
            <w:r>
              <w:rPr>
                <w:rFonts w:ascii="Arial" w:cs="Arial" w:eastAsia="Arial" w:hAnsi="Arial"/>
                <w:sz w:val="12"/>
                <w:szCs w:val="12"/>
                <w:color w:val="auto"/>
              </w:rPr>
              <w:t>138</w:t>
            </w:r>
          </w:p>
        </w:tc>
        <w:tc>
          <w:tcPr>
            <w:tcW w:w="480" w:type="dxa"/>
            <w:vAlign w:val="bottom"/>
          </w:tcPr>
          <w:p>
            <w:pPr>
              <w:jc w:val="right"/>
              <w:ind w:right="338"/>
              <w:spacing w:after="0" w:line="134" w:lineRule="exact"/>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line="134" w:lineRule="exact"/>
              <w:rPr>
                <w:sz w:val="20"/>
                <w:szCs w:val="20"/>
                <w:color w:val="auto"/>
              </w:rPr>
            </w:pPr>
            <w:r>
              <w:rPr>
                <w:rFonts w:ascii="Arial" w:cs="Arial" w:eastAsia="Arial" w:hAnsi="Arial"/>
                <w:sz w:val="12"/>
                <w:szCs w:val="12"/>
                <w:color w:val="auto"/>
              </w:rPr>
              <w:t>2,960</w:t>
            </w:r>
          </w:p>
        </w:tc>
      </w:tr>
      <w:tr>
        <w:trPr>
          <w:trHeight w:val="21"/>
        </w:trPr>
        <w:tc>
          <w:tcPr>
            <w:tcW w:w="20" w:type="dxa"/>
            <w:vAlign w:val="bottom"/>
          </w:tcPr>
          <w:p>
            <w:pPr>
              <w:spacing w:after="0" w:line="20" w:lineRule="exact"/>
              <w:rPr>
                <w:sz w:val="1"/>
                <w:szCs w:val="1"/>
                <w:color w:val="auto"/>
              </w:rPr>
            </w:pPr>
          </w:p>
        </w:tc>
        <w:tc>
          <w:tcPr>
            <w:tcW w:w="60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TRANSACTIONS WITH AFFILIATES</w:t>
      </w: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Loans to Unconsolidated Affiliates</w:t>
      </w:r>
    </w:p>
    <w:p>
      <w:pPr>
        <w:spacing w:after="0" w:line="160" w:lineRule="exact"/>
        <w:rPr>
          <w:sz w:val="20"/>
          <w:szCs w:val="20"/>
          <w:color w:val="auto"/>
        </w:rPr>
      </w:pPr>
    </w:p>
    <w:p>
      <w:pPr>
        <w:ind w:right="100"/>
        <w:spacing w:after="0" w:line="256" w:lineRule="auto"/>
        <w:rPr>
          <w:sz w:val="20"/>
          <w:szCs w:val="20"/>
          <w:color w:val="auto"/>
        </w:rPr>
      </w:pPr>
      <w:r>
        <w:rPr>
          <w:rFonts w:ascii="Arial" w:cs="Arial" w:eastAsia="Arial" w:hAnsi="Arial"/>
          <w:sz w:val="14"/>
          <w:szCs w:val="14"/>
          <w:color w:val="auto"/>
        </w:rPr>
        <w:t>Sempra Pipelines &amp; Storage has a U.S. dollar-denominated loan to Camuzzi Gas del Sur S.A., an affiliate of Sempra Pipelines &amp; Storage’s Argentine investments, which we discuss in Note 4 of the Notes to Consolidated Financial Statements in the Annual Report. The loan has a $29 million balance outstanding at a variable interest rate (7.3 percent as of March 31, 2011). In May 2010, the maturity date of the loan was extended from June 2010 to June 30, 2011. The loan is fully reserved at March 31, 2011.</w:t>
      </w: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Investments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Sempra Pipelines &amp; Storage has an investment in bonds issued by Chilquinta Energía S.A. that we discuss in Note 4 of the Notes to Consolidated Financial Statements in the Annual Report.</w:t>
      </w: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Affiliate Transactions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Sempra Energy, SDG&amp;E and SoCalGas provide certain services to each other and are charged an allocable share of the cost of such services. Amounts due to/from affiliates are as follows:</w:t>
      </w:r>
    </w:p>
    <w:p>
      <w:pPr>
        <w:spacing w:after="0" w:line="3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AMOUNTS DUE TO AND FROM AFFILIATES AT SDG&amp;E, 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840" w:type="dxa"/>
            <w:vAlign w:val="bottom"/>
            <w:gridSpan w:val="2"/>
          </w:tcPr>
          <w:p>
            <w:pPr>
              <w:spacing w:after="0"/>
              <w:rPr>
                <w:sz w:val="20"/>
                <w:szCs w:val="20"/>
                <w:color w:val="auto"/>
              </w:rPr>
            </w:pPr>
            <w:r>
              <w:rPr>
                <w:rFonts w:ascii="Arial" w:cs="Arial" w:eastAsia="Arial" w:hAnsi="Arial"/>
                <w:sz w:val="11"/>
                <w:szCs w:val="11"/>
                <w:i w:val="1"/>
                <w:iCs w:val="1"/>
                <w:color w:val="auto"/>
              </w:rPr>
              <w:t>(Dollars in millions)</w:t>
            </w:r>
          </w:p>
        </w:tc>
        <w:tc>
          <w:tcPr>
            <w:tcW w:w="1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1240" w:type="dxa"/>
            <w:vAlign w:val="bottom"/>
          </w:tcPr>
          <w:p>
            <w:pPr>
              <w:jc w:val="right"/>
              <w:ind w:right="99"/>
              <w:spacing w:after="0"/>
              <w:rPr>
                <w:sz w:val="20"/>
                <w:szCs w:val="20"/>
                <w:color w:val="auto"/>
              </w:rPr>
            </w:pPr>
            <w:r>
              <w:rPr>
                <w:rFonts w:ascii="Arial" w:cs="Arial" w:eastAsia="Arial" w:hAnsi="Arial"/>
                <w:sz w:val="11"/>
                <w:szCs w:val="11"/>
                <w:color w:val="auto"/>
              </w:rPr>
              <w:t>March 31,</w:t>
            </w: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80" w:type="dxa"/>
            <w:vAlign w:val="bottom"/>
          </w:tcPr>
          <w:p>
            <w:pPr>
              <w:jc w:val="right"/>
              <w:ind w:right="419"/>
              <w:spacing w:after="0"/>
              <w:rPr>
                <w:sz w:val="20"/>
                <w:szCs w:val="20"/>
                <w:color w:val="auto"/>
              </w:rPr>
            </w:pPr>
            <w:r>
              <w:rPr>
                <w:rFonts w:ascii="Arial" w:cs="Arial" w:eastAsia="Arial" w:hAnsi="Arial"/>
                <w:sz w:val="11"/>
                <w:szCs w:val="11"/>
                <w:color w:val="auto"/>
              </w:rPr>
              <w:t>December 31,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239"/>
              <w:spacing w:after="0" w:line="123" w:lineRule="exact"/>
              <w:rPr>
                <w:sz w:val="20"/>
                <w:szCs w:val="20"/>
                <w:color w:val="auto"/>
              </w:rPr>
            </w:pPr>
            <w:r>
              <w:rPr>
                <w:rFonts w:ascii="Arial" w:cs="Arial" w:eastAsia="Arial" w:hAnsi="Arial"/>
                <w:sz w:val="11"/>
                <w:szCs w:val="11"/>
                <w:color w:val="auto"/>
              </w:rPr>
              <w:t>2011</w:t>
            </w:r>
          </w:p>
        </w:tc>
        <w:tc>
          <w:tcPr>
            <w:tcW w:w="5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jc w:val="right"/>
              <w:ind w:right="659"/>
              <w:spacing w:after="0" w:line="123" w:lineRule="exact"/>
              <w:rPr>
                <w:sz w:val="20"/>
                <w:szCs w:val="20"/>
                <w:color w:val="auto"/>
              </w:rPr>
            </w:pPr>
            <w:r>
              <w:rPr>
                <w:rFonts w:ascii="Arial" w:cs="Arial" w:eastAsia="Arial" w:hAnsi="Arial"/>
                <w:sz w:val="11"/>
                <w:szCs w:val="11"/>
                <w:color w:val="auto"/>
              </w:rPr>
              <w:t>2010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20" w:type="dxa"/>
            <w:vAlign w:val="bottom"/>
          </w:tcPr>
          <w:p>
            <w:pPr>
              <w:spacing w:after="0" w:line="126" w:lineRule="exact"/>
              <w:rPr>
                <w:sz w:val="20"/>
                <w:szCs w:val="20"/>
                <w:color w:val="auto"/>
              </w:rPr>
            </w:pPr>
            <w:r>
              <w:rPr>
                <w:rFonts w:ascii="Arial" w:cs="Arial" w:eastAsia="Arial" w:hAnsi="Arial"/>
                <w:sz w:val="12"/>
                <w:szCs w:val="12"/>
                <w:b w:val="1"/>
                <w:bCs w:val="1"/>
                <w:color w:val="auto"/>
              </w:rPr>
              <w:t>SDG&amp;E</w:t>
            </w:r>
          </w:p>
        </w:tc>
        <w:tc>
          <w:tcPr>
            <w:tcW w:w="1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840" w:type="dxa"/>
            <w:vAlign w:val="bottom"/>
            <w:gridSpan w:val="2"/>
          </w:tcPr>
          <w:p>
            <w:pPr>
              <w:spacing w:after="0" w:line="134" w:lineRule="exact"/>
              <w:rPr>
                <w:sz w:val="20"/>
                <w:szCs w:val="20"/>
                <w:color w:val="auto"/>
              </w:rPr>
            </w:pPr>
            <w:r>
              <w:rPr>
                <w:rFonts w:ascii="Arial" w:cs="Arial" w:eastAsia="Arial" w:hAnsi="Arial"/>
                <w:sz w:val="12"/>
                <w:szCs w:val="12"/>
                <w:color w:val="auto"/>
              </w:rPr>
              <w:t>Current:</w:t>
            </w:r>
          </w:p>
        </w:tc>
        <w:tc>
          <w:tcPr>
            <w:tcW w:w="1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820" w:type="dxa"/>
            <w:vAlign w:val="bottom"/>
          </w:tcPr>
          <w:p>
            <w:pPr>
              <w:ind w:left="120"/>
              <w:spacing w:after="0" w:line="134" w:lineRule="exact"/>
              <w:rPr>
                <w:sz w:val="20"/>
                <w:szCs w:val="20"/>
                <w:color w:val="auto"/>
              </w:rPr>
            </w:pPr>
            <w:r>
              <w:rPr>
                <w:rFonts w:ascii="Arial" w:cs="Arial" w:eastAsia="Arial" w:hAnsi="Arial"/>
                <w:sz w:val="12"/>
                <w:szCs w:val="12"/>
                <w:color w:val="auto"/>
              </w:rPr>
              <w:t>Due from SoCalGas</w:t>
            </w:r>
          </w:p>
        </w:tc>
        <w:tc>
          <w:tcPr>
            <w:tcW w:w="1240" w:type="dxa"/>
            <w:vAlign w:val="bottom"/>
          </w:tcPr>
          <w:p>
            <w:pPr>
              <w:jc w:val="right"/>
              <w:ind w:right="1099"/>
              <w:spacing w:after="0" w:line="134" w:lineRule="exact"/>
              <w:rPr>
                <w:sz w:val="20"/>
                <w:szCs w:val="20"/>
                <w:color w:val="auto"/>
              </w:rPr>
            </w:pPr>
            <w:r>
              <w:rPr>
                <w:rFonts w:ascii="Arial" w:cs="Arial" w:eastAsia="Arial" w:hAnsi="Arial"/>
                <w:sz w:val="12"/>
                <w:szCs w:val="12"/>
                <w:color w:val="auto"/>
                <w:w w:val="89"/>
              </w:rPr>
              <w:t>$</w:t>
            </w:r>
          </w:p>
        </w:tc>
        <w:tc>
          <w:tcPr>
            <w:tcW w:w="56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w:t>
            </w:r>
          </w:p>
        </w:tc>
        <w:tc>
          <w:tcPr>
            <w:tcW w:w="440" w:type="dxa"/>
            <w:vAlign w:val="bottom"/>
          </w:tcPr>
          <w:p>
            <w:pPr>
              <w:jc w:val="right"/>
              <w:ind w:right="158"/>
              <w:spacing w:after="0" w:line="134" w:lineRule="exact"/>
              <w:rPr>
                <w:sz w:val="20"/>
                <w:szCs w:val="20"/>
                <w:color w:val="auto"/>
              </w:rPr>
            </w:pPr>
            <w:r>
              <w:rPr>
                <w:rFonts w:ascii="Arial" w:cs="Arial" w:eastAsia="Arial" w:hAnsi="Arial"/>
                <w:sz w:val="12"/>
                <w:szCs w:val="12"/>
                <w:color w:val="auto"/>
              </w:rPr>
              <w:t>$</w:t>
            </w:r>
          </w:p>
        </w:tc>
        <w:tc>
          <w:tcPr>
            <w:tcW w:w="1380" w:type="dxa"/>
            <w:vAlign w:val="bottom"/>
          </w:tcPr>
          <w:p>
            <w:pPr>
              <w:jc w:val="right"/>
              <w:spacing w:after="0" w:line="134"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20" w:type="dxa"/>
            <w:vAlign w:val="bottom"/>
          </w:tcPr>
          <w:p>
            <w:pPr>
              <w:ind w:left="120"/>
              <w:spacing w:after="0"/>
              <w:rPr>
                <w:sz w:val="20"/>
                <w:szCs w:val="20"/>
                <w:color w:val="auto"/>
              </w:rPr>
            </w:pPr>
            <w:r>
              <w:rPr>
                <w:rFonts w:ascii="Arial" w:cs="Arial" w:eastAsia="Arial" w:hAnsi="Arial"/>
                <w:sz w:val="12"/>
                <w:szCs w:val="12"/>
                <w:color w:val="auto"/>
              </w:rPr>
              <w:t>Due from various affiliates</w:t>
            </w:r>
          </w:p>
        </w:tc>
        <w:tc>
          <w:tcPr>
            <w:tcW w:w="1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w:t>
            </w: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1240" w:type="dxa"/>
            <w:vAlign w:val="bottom"/>
            <w:tcBorders>
              <w:bottom w:val="single" w:sz="8" w:color="auto"/>
            </w:tcBorders>
          </w:tcPr>
          <w:p>
            <w:pPr>
              <w:jc w:val="right"/>
              <w:ind w:right="1099"/>
              <w:spacing w:after="0" w:line="134" w:lineRule="exact"/>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118"/>
              <w:spacing w:after="0" w:line="134" w:lineRule="exact"/>
              <w:rPr>
                <w:sz w:val="20"/>
                <w:szCs w:val="20"/>
                <w:color w:val="auto"/>
              </w:rPr>
            </w:pPr>
            <w:r>
              <w:rPr>
                <w:rFonts w:ascii="Arial" w:cs="Arial" w:eastAsia="Arial" w:hAnsi="Arial"/>
                <w:sz w:val="12"/>
                <w:szCs w:val="12"/>
                <w:color w:val="auto"/>
              </w:rPr>
              <w:t>1</w:t>
            </w:r>
          </w:p>
        </w:tc>
        <w:tc>
          <w:tcPr>
            <w:tcW w:w="440" w:type="dxa"/>
            <w:vAlign w:val="bottom"/>
            <w:tcBorders>
              <w:bottom w:val="single" w:sz="8" w:color="auto"/>
            </w:tcBorders>
          </w:tcPr>
          <w:p>
            <w:pPr>
              <w:jc w:val="right"/>
              <w:ind w:right="158"/>
              <w:spacing w:after="0" w:line="134" w:lineRule="exact"/>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820" w:type="dxa"/>
            <w:vAlign w:val="bottom"/>
          </w:tcPr>
          <w:p>
            <w:pPr>
              <w:ind w:left="120"/>
              <w:spacing w:after="0"/>
              <w:rPr>
                <w:sz w:val="20"/>
                <w:szCs w:val="20"/>
                <w:color w:val="auto"/>
              </w:rPr>
            </w:pPr>
            <w:r>
              <w:rPr>
                <w:rFonts w:ascii="Arial" w:cs="Arial" w:eastAsia="Arial" w:hAnsi="Arial"/>
                <w:sz w:val="12"/>
                <w:szCs w:val="12"/>
                <w:color w:val="auto"/>
              </w:rPr>
              <w:t>Due to Sempra Energy</w:t>
            </w:r>
          </w:p>
        </w:tc>
        <w:tc>
          <w:tcPr>
            <w:tcW w:w="1240" w:type="dxa"/>
            <w:vAlign w:val="bottom"/>
          </w:tcPr>
          <w:p>
            <w:pPr>
              <w:jc w:val="right"/>
              <w:ind w:right="1099"/>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118"/>
              <w:spacing w:after="0"/>
              <w:rPr>
                <w:sz w:val="20"/>
                <w:szCs w:val="20"/>
                <w:color w:val="auto"/>
              </w:rPr>
            </w:pPr>
            <w:r>
              <w:rPr>
                <w:rFonts w:ascii="Arial" w:cs="Arial" w:eastAsia="Arial" w:hAnsi="Arial"/>
                <w:sz w:val="12"/>
                <w:szCs w:val="12"/>
                <w:color w:val="auto"/>
              </w:rPr>
              <w:t>23</w:t>
            </w:r>
          </w:p>
        </w:tc>
        <w:tc>
          <w:tcPr>
            <w:tcW w:w="44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20" w:type="dxa"/>
            <w:vAlign w:val="bottom"/>
          </w:tcPr>
          <w:p>
            <w:pPr>
              <w:ind w:left="120"/>
              <w:spacing w:after="0"/>
              <w:rPr>
                <w:sz w:val="20"/>
                <w:szCs w:val="20"/>
                <w:color w:val="auto"/>
              </w:rPr>
            </w:pPr>
            <w:r>
              <w:rPr>
                <w:rFonts w:ascii="Arial" w:cs="Arial" w:eastAsia="Arial" w:hAnsi="Arial"/>
                <w:sz w:val="12"/>
                <w:szCs w:val="12"/>
                <w:color w:val="auto"/>
              </w:rPr>
              <w:t>Due to SoCalGas</w:t>
            </w:r>
          </w:p>
        </w:tc>
        <w:tc>
          <w:tcPr>
            <w:tcW w:w="1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21</w:t>
            </w: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1240" w:type="dxa"/>
            <w:vAlign w:val="bottom"/>
            <w:tcBorders>
              <w:bottom w:val="single" w:sz="8" w:color="auto"/>
            </w:tcBorders>
          </w:tcPr>
          <w:p>
            <w:pPr>
              <w:jc w:val="right"/>
              <w:ind w:right="1099"/>
              <w:spacing w:after="0" w:line="134" w:lineRule="exact"/>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118"/>
              <w:spacing w:after="0" w:line="134" w:lineRule="exact"/>
              <w:rPr>
                <w:sz w:val="20"/>
                <w:szCs w:val="20"/>
                <w:color w:val="auto"/>
              </w:rPr>
            </w:pPr>
            <w:r>
              <w:rPr>
                <w:rFonts w:ascii="Arial" w:cs="Arial" w:eastAsia="Arial" w:hAnsi="Arial"/>
                <w:sz w:val="12"/>
                <w:szCs w:val="12"/>
                <w:color w:val="auto"/>
              </w:rPr>
              <w:t>44</w:t>
            </w:r>
          </w:p>
        </w:tc>
        <w:tc>
          <w:tcPr>
            <w:tcW w:w="440" w:type="dxa"/>
            <w:vAlign w:val="bottom"/>
            <w:tcBorders>
              <w:bottom w:val="single" w:sz="8" w:color="auto"/>
            </w:tcBorders>
          </w:tcPr>
          <w:p>
            <w:pPr>
              <w:jc w:val="right"/>
              <w:ind w:right="158"/>
              <w:spacing w:after="0" w:line="134" w:lineRule="exact"/>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7820" w:type="dxa"/>
            <w:vAlign w:val="bottom"/>
          </w:tcPr>
          <w:p>
            <w:pPr>
              <w:ind w:left="120"/>
              <w:spacing w:after="0"/>
              <w:rPr>
                <w:sz w:val="20"/>
                <w:szCs w:val="20"/>
                <w:color w:val="auto"/>
              </w:rPr>
            </w:pPr>
            <w:r>
              <w:rPr>
                <w:rFonts w:ascii="Arial" w:cs="Arial" w:eastAsia="Arial" w:hAnsi="Arial"/>
                <w:sz w:val="12"/>
                <w:szCs w:val="12"/>
                <w:color w:val="auto"/>
              </w:rPr>
              <w:t>Income taxes due from Sempra Energy(1)</w:t>
            </w:r>
          </w:p>
        </w:tc>
        <w:tc>
          <w:tcPr>
            <w:tcW w:w="1240" w:type="dxa"/>
            <w:vAlign w:val="bottom"/>
            <w:tcBorders>
              <w:bottom w:val="single" w:sz="8" w:color="auto"/>
            </w:tcBorders>
          </w:tcPr>
          <w:p>
            <w:pPr>
              <w:jc w:val="right"/>
              <w:ind w:right="1099"/>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36</w:t>
            </w:r>
          </w:p>
        </w:tc>
        <w:tc>
          <w:tcPr>
            <w:tcW w:w="44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281"/>
        </w:trPr>
        <w:tc>
          <w:tcPr>
            <w:tcW w:w="7840" w:type="dxa"/>
            <w:vAlign w:val="bottom"/>
            <w:gridSpan w:val="2"/>
          </w:tcPr>
          <w:p>
            <w:pPr>
              <w:spacing w:after="0"/>
              <w:rPr>
                <w:sz w:val="20"/>
                <w:szCs w:val="20"/>
                <w:color w:val="auto"/>
              </w:rPr>
            </w:pPr>
            <w:r>
              <w:rPr>
                <w:rFonts w:ascii="Arial" w:cs="Arial" w:eastAsia="Arial" w:hAnsi="Arial"/>
                <w:sz w:val="12"/>
                <w:szCs w:val="12"/>
                <w:b w:val="1"/>
                <w:bCs w:val="1"/>
                <w:color w:val="auto"/>
              </w:rPr>
              <w:t>PE</w:t>
            </w: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840" w:type="dxa"/>
            <w:vAlign w:val="bottom"/>
            <w:gridSpan w:val="2"/>
          </w:tcPr>
          <w:p>
            <w:pPr>
              <w:spacing w:after="0" w:line="134" w:lineRule="exact"/>
              <w:rPr>
                <w:sz w:val="20"/>
                <w:szCs w:val="20"/>
                <w:color w:val="auto"/>
              </w:rPr>
            </w:pPr>
            <w:r>
              <w:rPr>
                <w:rFonts w:ascii="Arial" w:cs="Arial" w:eastAsia="Arial" w:hAnsi="Arial"/>
                <w:sz w:val="12"/>
                <w:szCs w:val="12"/>
                <w:color w:val="auto"/>
              </w:rPr>
              <w:t>Current:</w:t>
            </w:r>
          </w:p>
        </w:tc>
        <w:tc>
          <w:tcPr>
            <w:tcW w:w="1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820" w:type="dxa"/>
            <w:vAlign w:val="bottom"/>
          </w:tcPr>
          <w:p>
            <w:pPr>
              <w:ind w:left="120"/>
              <w:spacing w:after="0" w:line="134" w:lineRule="exact"/>
              <w:rPr>
                <w:sz w:val="20"/>
                <w:szCs w:val="20"/>
                <w:color w:val="auto"/>
              </w:rPr>
            </w:pPr>
            <w:r>
              <w:rPr>
                <w:rFonts w:ascii="Arial" w:cs="Arial" w:eastAsia="Arial" w:hAnsi="Arial"/>
                <w:sz w:val="12"/>
                <w:szCs w:val="12"/>
                <w:color w:val="auto"/>
              </w:rPr>
              <w:t>Due from Sempra Energy</w:t>
            </w:r>
          </w:p>
        </w:tc>
        <w:tc>
          <w:tcPr>
            <w:tcW w:w="1240" w:type="dxa"/>
            <w:vAlign w:val="bottom"/>
          </w:tcPr>
          <w:p>
            <w:pPr>
              <w:jc w:val="right"/>
              <w:ind w:right="1099"/>
              <w:spacing w:after="0" w:line="134" w:lineRule="exact"/>
              <w:rPr>
                <w:sz w:val="20"/>
                <w:szCs w:val="20"/>
                <w:color w:val="auto"/>
              </w:rPr>
            </w:pPr>
            <w:r>
              <w:rPr>
                <w:rFonts w:ascii="Arial" w:cs="Arial" w:eastAsia="Arial" w:hAnsi="Arial"/>
                <w:sz w:val="12"/>
                <w:szCs w:val="12"/>
                <w:color w:val="auto"/>
                <w:w w:val="89"/>
              </w:rPr>
              <w:t>$</w:t>
            </w:r>
          </w:p>
        </w:tc>
        <w:tc>
          <w:tcPr>
            <w:tcW w:w="56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357</w:t>
            </w:r>
          </w:p>
        </w:tc>
        <w:tc>
          <w:tcPr>
            <w:tcW w:w="440" w:type="dxa"/>
            <w:vAlign w:val="bottom"/>
          </w:tcPr>
          <w:p>
            <w:pPr>
              <w:jc w:val="right"/>
              <w:ind w:right="158"/>
              <w:spacing w:after="0" w:line="134" w:lineRule="exact"/>
              <w:rPr>
                <w:sz w:val="20"/>
                <w:szCs w:val="20"/>
                <w:color w:val="auto"/>
              </w:rPr>
            </w:pPr>
            <w:r>
              <w:rPr>
                <w:rFonts w:ascii="Arial" w:cs="Arial" w:eastAsia="Arial" w:hAnsi="Arial"/>
                <w:sz w:val="12"/>
                <w:szCs w:val="12"/>
                <w:color w:val="auto"/>
              </w:rPr>
              <w:t>$</w:t>
            </w:r>
          </w:p>
        </w:tc>
        <w:tc>
          <w:tcPr>
            <w:tcW w:w="1380" w:type="dxa"/>
            <w:vAlign w:val="bottom"/>
          </w:tcPr>
          <w:p>
            <w:pPr>
              <w:jc w:val="right"/>
              <w:spacing w:after="0" w:line="134" w:lineRule="exact"/>
              <w:rPr>
                <w:sz w:val="20"/>
                <w:szCs w:val="20"/>
                <w:color w:val="auto"/>
              </w:rPr>
            </w:pPr>
            <w:r>
              <w:rPr>
                <w:rFonts w:ascii="Arial" w:cs="Arial" w:eastAsia="Arial" w:hAnsi="Arial"/>
                <w:sz w:val="12"/>
                <w:szCs w:val="12"/>
                <w:color w:val="auto"/>
              </w:rPr>
              <w:t>60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820" w:type="dxa"/>
            <w:vAlign w:val="bottom"/>
          </w:tcPr>
          <w:p>
            <w:pPr>
              <w:ind w:left="120"/>
              <w:spacing w:after="0" w:line="134" w:lineRule="exact"/>
              <w:rPr>
                <w:sz w:val="20"/>
                <w:szCs w:val="20"/>
                <w:color w:val="auto"/>
              </w:rPr>
            </w:pPr>
            <w:r>
              <w:rPr>
                <w:rFonts w:ascii="Arial" w:cs="Arial" w:eastAsia="Arial" w:hAnsi="Arial"/>
                <w:sz w:val="12"/>
                <w:szCs w:val="12"/>
                <w:color w:val="auto"/>
              </w:rPr>
              <w:t>Due from SDG&amp;E</w:t>
            </w:r>
          </w:p>
        </w:tc>
        <w:tc>
          <w:tcPr>
            <w:tcW w:w="1240" w:type="dxa"/>
            <w:vAlign w:val="bottom"/>
          </w:tcPr>
          <w:p>
            <w:pPr>
              <w:spacing w:after="0"/>
              <w:rPr>
                <w:sz w:val="11"/>
                <w:szCs w:val="11"/>
                <w:color w:val="auto"/>
              </w:rPr>
            </w:pPr>
          </w:p>
        </w:tc>
        <w:tc>
          <w:tcPr>
            <w:tcW w:w="56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21</w:t>
            </w:r>
          </w:p>
        </w:tc>
        <w:tc>
          <w:tcPr>
            <w:tcW w:w="440" w:type="dxa"/>
            <w:vAlign w:val="bottom"/>
          </w:tcPr>
          <w:p>
            <w:pPr>
              <w:spacing w:after="0"/>
              <w:rPr>
                <w:sz w:val="11"/>
                <w:szCs w:val="11"/>
                <w:color w:val="auto"/>
              </w:rPr>
            </w:pPr>
          </w:p>
        </w:tc>
        <w:tc>
          <w:tcPr>
            <w:tcW w:w="13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20" w:type="dxa"/>
            <w:vAlign w:val="bottom"/>
          </w:tcPr>
          <w:p>
            <w:pPr>
              <w:ind w:left="120"/>
              <w:spacing w:after="0"/>
              <w:rPr>
                <w:sz w:val="20"/>
                <w:szCs w:val="20"/>
                <w:color w:val="auto"/>
              </w:rPr>
            </w:pPr>
            <w:r>
              <w:rPr>
                <w:rFonts w:ascii="Arial" w:cs="Arial" w:eastAsia="Arial" w:hAnsi="Arial"/>
                <w:sz w:val="12"/>
                <w:szCs w:val="12"/>
                <w:color w:val="auto"/>
              </w:rPr>
              <w:t>Due from various affiliates</w:t>
            </w:r>
          </w:p>
        </w:tc>
        <w:tc>
          <w:tcPr>
            <w:tcW w:w="1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5</w:t>
            </w: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1240" w:type="dxa"/>
            <w:vAlign w:val="bottom"/>
            <w:tcBorders>
              <w:bottom w:val="single" w:sz="8" w:color="auto"/>
            </w:tcBorders>
          </w:tcPr>
          <w:p>
            <w:pPr>
              <w:jc w:val="right"/>
              <w:ind w:right="1099"/>
              <w:spacing w:after="0" w:line="134" w:lineRule="exact"/>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118"/>
              <w:spacing w:after="0" w:line="134" w:lineRule="exact"/>
              <w:rPr>
                <w:sz w:val="20"/>
                <w:szCs w:val="20"/>
                <w:color w:val="auto"/>
              </w:rPr>
            </w:pPr>
            <w:r>
              <w:rPr>
                <w:rFonts w:ascii="Arial" w:cs="Arial" w:eastAsia="Arial" w:hAnsi="Arial"/>
                <w:sz w:val="12"/>
                <w:szCs w:val="12"/>
                <w:color w:val="auto"/>
              </w:rPr>
              <w:t>383</w:t>
            </w:r>
          </w:p>
        </w:tc>
        <w:tc>
          <w:tcPr>
            <w:tcW w:w="440" w:type="dxa"/>
            <w:vAlign w:val="bottom"/>
            <w:tcBorders>
              <w:bottom w:val="single" w:sz="8" w:color="auto"/>
            </w:tcBorders>
          </w:tcPr>
          <w:p>
            <w:pPr>
              <w:jc w:val="right"/>
              <w:ind w:right="158"/>
              <w:spacing w:after="0" w:line="134" w:lineRule="exact"/>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820" w:type="dxa"/>
            <w:vAlign w:val="bottom"/>
          </w:tcPr>
          <w:p>
            <w:pPr>
              <w:ind w:left="120"/>
              <w:spacing w:after="0"/>
              <w:rPr>
                <w:sz w:val="20"/>
                <w:szCs w:val="20"/>
                <w:color w:val="auto"/>
              </w:rPr>
            </w:pPr>
            <w:r>
              <w:rPr>
                <w:rFonts w:ascii="Arial" w:cs="Arial" w:eastAsia="Arial" w:hAnsi="Arial"/>
                <w:sz w:val="12"/>
                <w:szCs w:val="12"/>
                <w:color w:val="auto"/>
              </w:rPr>
              <w:t>Due to affiliate</w:t>
            </w:r>
          </w:p>
        </w:tc>
        <w:tc>
          <w:tcPr>
            <w:tcW w:w="1240" w:type="dxa"/>
            <w:vAlign w:val="bottom"/>
          </w:tcPr>
          <w:p>
            <w:pPr>
              <w:jc w:val="right"/>
              <w:ind w:right="1099"/>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118"/>
              <w:spacing w:after="0"/>
              <w:rPr>
                <w:sz w:val="20"/>
                <w:szCs w:val="20"/>
                <w:color w:val="auto"/>
              </w:rPr>
            </w:pPr>
            <w:r>
              <w:rPr>
                <w:rFonts w:ascii="Arial" w:cs="Arial" w:eastAsia="Arial" w:hAnsi="Arial"/>
                <w:sz w:val="12"/>
                <w:szCs w:val="12"/>
                <w:color w:val="auto"/>
              </w:rPr>
              <w:t>85</w:t>
            </w:r>
          </w:p>
        </w:tc>
        <w:tc>
          <w:tcPr>
            <w:tcW w:w="44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85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20" w:type="dxa"/>
            <w:vAlign w:val="bottom"/>
          </w:tcPr>
          <w:p>
            <w:pPr>
              <w:ind w:left="120"/>
              <w:spacing w:after="0"/>
              <w:rPr>
                <w:sz w:val="20"/>
                <w:szCs w:val="20"/>
                <w:color w:val="auto"/>
              </w:rPr>
            </w:pPr>
            <w:r>
              <w:rPr>
                <w:rFonts w:ascii="Arial" w:cs="Arial" w:eastAsia="Arial" w:hAnsi="Arial"/>
                <w:sz w:val="12"/>
                <w:szCs w:val="12"/>
                <w:color w:val="auto"/>
              </w:rPr>
              <w:t>Due to SDG&amp;E</w:t>
            </w:r>
          </w:p>
        </w:tc>
        <w:tc>
          <w:tcPr>
            <w:tcW w:w="1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1240" w:type="dxa"/>
            <w:vAlign w:val="bottom"/>
            <w:tcBorders>
              <w:bottom w:val="single" w:sz="8" w:color="auto"/>
            </w:tcBorders>
          </w:tcPr>
          <w:p>
            <w:pPr>
              <w:jc w:val="right"/>
              <w:ind w:right="1099"/>
              <w:spacing w:after="0" w:line="134" w:lineRule="exact"/>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118"/>
              <w:spacing w:after="0" w:line="134" w:lineRule="exact"/>
              <w:rPr>
                <w:sz w:val="20"/>
                <w:szCs w:val="20"/>
                <w:color w:val="auto"/>
              </w:rPr>
            </w:pPr>
            <w:r>
              <w:rPr>
                <w:rFonts w:ascii="Arial" w:cs="Arial" w:eastAsia="Arial" w:hAnsi="Arial"/>
                <w:sz w:val="12"/>
                <w:szCs w:val="12"/>
                <w:color w:val="auto"/>
              </w:rPr>
              <w:t>85</w:t>
            </w:r>
          </w:p>
        </w:tc>
        <w:tc>
          <w:tcPr>
            <w:tcW w:w="440" w:type="dxa"/>
            <w:vAlign w:val="bottom"/>
            <w:tcBorders>
              <w:bottom w:val="single" w:sz="8" w:color="auto"/>
            </w:tcBorders>
          </w:tcPr>
          <w:p>
            <w:pPr>
              <w:jc w:val="right"/>
              <w:ind w:right="158"/>
              <w:spacing w:after="0" w:line="134" w:lineRule="exact"/>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96</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7820" w:type="dxa"/>
            <w:vAlign w:val="bottom"/>
          </w:tcPr>
          <w:p>
            <w:pPr>
              <w:ind w:left="120"/>
              <w:spacing w:after="0"/>
              <w:rPr>
                <w:sz w:val="20"/>
                <w:szCs w:val="20"/>
                <w:color w:val="auto"/>
              </w:rPr>
            </w:pPr>
            <w:r>
              <w:rPr>
                <w:rFonts w:ascii="Arial" w:cs="Arial" w:eastAsia="Arial" w:hAnsi="Arial"/>
                <w:sz w:val="12"/>
                <w:szCs w:val="12"/>
                <w:color w:val="auto"/>
              </w:rPr>
              <w:t>Income taxes due from Sempra Energy(1)</w:t>
            </w:r>
          </w:p>
        </w:tc>
        <w:tc>
          <w:tcPr>
            <w:tcW w:w="1240" w:type="dxa"/>
            <w:vAlign w:val="bottom"/>
            <w:tcBorders>
              <w:bottom w:val="single" w:sz="8" w:color="auto"/>
            </w:tcBorders>
          </w:tcPr>
          <w:p>
            <w:pPr>
              <w:jc w:val="right"/>
              <w:ind w:right="1099"/>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w:t>
            </w:r>
          </w:p>
        </w:tc>
        <w:tc>
          <w:tcPr>
            <w:tcW w:w="44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81"/>
        </w:trPr>
        <w:tc>
          <w:tcPr>
            <w:tcW w:w="7840" w:type="dxa"/>
            <w:vAlign w:val="bottom"/>
            <w:gridSpan w:val="2"/>
          </w:tcPr>
          <w:p>
            <w:pPr>
              <w:spacing w:after="0"/>
              <w:rPr>
                <w:sz w:val="20"/>
                <w:szCs w:val="20"/>
                <w:color w:val="auto"/>
              </w:rPr>
            </w:pPr>
            <w:r>
              <w:rPr>
                <w:rFonts w:ascii="Arial" w:cs="Arial" w:eastAsia="Arial" w:hAnsi="Arial"/>
                <w:sz w:val="12"/>
                <w:szCs w:val="12"/>
                <w:color w:val="auto"/>
              </w:rPr>
              <w:t>Noncurrent:</w:t>
            </w: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20" w:type="dxa"/>
            <w:vAlign w:val="bottom"/>
          </w:tcPr>
          <w:p>
            <w:pPr>
              <w:ind w:left="120"/>
              <w:spacing w:after="0"/>
              <w:rPr>
                <w:sz w:val="20"/>
                <w:szCs w:val="20"/>
                <w:color w:val="auto"/>
              </w:rPr>
            </w:pPr>
            <w:r>
              <w:rPr>
                <w:rFonts w:ascii="Arial" w:cs="Arial" w:eastAsia="Arial" w:hAnsi="Arial"/>
                <w:sz w:val="12"/>
                <w:szCs w:val="12"/>
                <w:color w:val="auto"/>
              </w:rPr>
              <w:t>Promissory note due from Sempra Energy, variable rate based on</w:t>
            </w:r>
          </w:p>
        </w:tc>
        <w:tc>
          <w:tcPr>
            <w:tcW w:w="1240" w:type="dxa"/>
            <w:vAlign w:val="bottom"/>
            <w:vMerge w:val="restart"/>
          </w:tcPr>
          <w:p>
            <w:pPr>
              <w:jc w:val="right"/>
              <w:ind w:right="1099"/>
              <w:spacing w:after="0"/>
              <w:rPr>
                <w:sz w:val="20"/>
                <w:szCs w:val="20"/>
                <w:color w:val="auto"/>
              </w:rPr>
            </w:pPr>
            <w:r>
              <w:rPr>
                <w:rFonts w:ascii="Arial" w:cs="Arial" w:eastAsia="Arial" w:hAnsi="Arial"/>
                <w:sz w:val="12"/>
                <w:szCs w:val="12"/>
                <w:color w:val="auto"/>
                <w:w w:val="89"/>
              </w:rPr>
              <w:t>$</w:t>
            </w:r>
          </w:p>
        </w:tc>
        <w:tc>
          <w:tcPr>
            <w:tcW w:w="560" w:type="dxa"/>
            <w:vAlign w:val="bottom"/>
            <w:vMerge w:val="restart"/>
          </w:tcPr>
          <w:p>
            <w:pPr>
              <w:jc w:val="right"/>
              <w:ind w:right="118"/>
              <w:spacing w:after="0"/>
              <w:rPr>
                <w:sz w:val="20"/>
                <w:szCs w:val="20"/>
                <w:color w:val="auto"/>
              </w:rPr>
            </w:pPr>
            <w:r>
              <w:rPr>
                <w:rFonts w:ascii="Arial" w:cs="Arial" w:eastAsia="Arial" w:hAnsi="Arial"/>
                <w:sz w:val="12"/>
                <w:szCs w:val="12"/>
                <w:color w:val="auto"/>
              </w:rPr>
              <w:t>505</w:t>
            </w:r>
          </w:p>
        </w:tc>
        <w:tc>
          <w:tcPr>
            <w:tcW w:w="440" w:type="dxa"/>
            <w:vAlign w:val="bottom"/>
            <w:vMerge w:val="restart"/>
          </w:tcPr>
          <w:p>
            <w:pPr>
              <w:jc w:val="right"/>
              <w:ind w:right="158"/>
              <w:spacing w:after="0"/>
              <w:rPr>
                <w:sz w:val="20"/>
                <w:szCs w:val="20"/>
                <w:color w:val="auto"/>
              </w:rPr>
            </w:pPr>
            <w:r>
              <w:rPr>
                <w:rFonts w:ascii="Arial" w:cs="Arial" w:eastAsia="Arial" w:hAnsi="Arial"/>
                <w:sz w:val="12"/>
                <w:szCs w:val="12"/>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2"/>
                <w:szCs w:val="12"/>
                <w:color w:val="auto"/>
              </w:rPr>
              <w:t>502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20" w:type="dxa"/>
            <w:vAlign w:val="bottom"/>
          </w:tcPr>
          <w:p>
            <w:pPr>
              <w:ind w:left="260"/>
              <w:spacing w:after="0" w:line="130" w:lineRule="exact"/>
              <w:rPr>
                <w:sz w:val="20"/>
                <w:szCs w:val="20"/>
                <w:color w:val="auto"/>
              </w:rPr>
            </w:pPr>
            <w:r>
              <w:rPr>
                <w:rFonts w:ascii="Arial" w:cs="Arial" w:eastAsia="Arial" w:hAnsi="Arial"/>
                <w:sz w:val="12"/>
                <w:szCs w:val="12"/>
                <w:color w:val="auto"/>
              </w:rPr>
              <w:t>short-term commercial paper rates (0.19% at March 31, 2011)</w:t>
            </w:r>
          </w:p>
        </w:tc>
        <w:tc>
          <w:tcPr>
            <w:tcW w:w="124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13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7840" w:type="dxa"/>
            <w:vAlign w:val="bottom"/>
            <w:gridSpan w:val="2"/>
          </w:tcPr>
          <w:p>
            <w:pPr>
              <w:spacing w:after="0"/>
              <w:rPr>
                <w:sz w:val="20"/>
                <w:szCs w:val="20"/>
                <w:color w:val="auto"/>
              </w:rPr>
            </w:pPr>
            <w:r>
              <w:rPr>
                <w:rFonts w:ascii="Arial" w:cs="Arial" w:eastAsia="Arial" w:hAnsi="Arial"/>
                <w:sz w:val="12"/>
                <w:szCs w:val="12"/>
                <w:b w:val="1"/>
                <w:bCs w:val="1"/>
                <w:color w:val="auto"/>
              </w:rPr>
              <w:t>SoCalGas</w:t>
            </w: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840" w:type="dxa"/>
            <w:vAlign w:val="bottom"/>
            <w:gridSpan w:val="2"/>
          </w:tcPr>
          <w:p>
            <w:pPr>
              <w:spacing w:after="0" w:line="134" w:lineRule="exact"/>
              <w:rPr>
                <w:sz w:val="20"/>
                <w:szCs w:val="20"/>
                <w:color w:val="auto"/>
              </w:rPr>
            </w:pPr>
            <w:r>
              <w:rPr>
                <w:rFonts w:ascii="Arial" w:cs="Arial" w:eastAsia="Arial" w:hAnsi="Arial"/>
                <w:sz w:val="12"/>
                <w:szCs w:val="12"/>
                <w:color w:val="auto"/>
              </w:rPr>
              <w:t>Current:</w:t>
            </w:r>
          </w:p>
        </w:tc>
        <w:tc>
          <w:tcPr>
            <w:tcW w:w="1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820" w:type="dxa"/>
            <w:vAlign w:val="bottom"/>
          </w:tcPr>
          <w:p>
            <w:pPr>
              <w:ind w:left="120"/>
              <w:spacing w:after="0" w:line="134" w:lineRule="exact"/>
              <w:rPr>
                <w:sz w:val="20"/>
                <w:szCs w:val="20"/>
                <w:color w:val="auto"/>
              </w:rPr>
            </w:pPr>
            <w:r>
              <w:rPr>
                <w:rFonts w:ascii="Arial" w:cs="Arial" w:eastAsia="Arial" w:hAnsi="Arial"/>
                <w:sz w:val="12"/>
                <w:szCs w:val="12"/>
                <w:color w:val="auto"/>
              </w:rPr>
              <w:t>Due from Sempra Energy</w:t>
            </w:r>
          </w:p>
        </w:tc>
        <w:tc>
          <w:tcPr>
            <w:tcW w:w="1240" w:type="dxa"/>
            <w:vAlign w:val="bottom"/>
          </w:tcPr>
          <w:p>
            <w:pPr>
              <w:jc w:val="right"/>
              <w:ind w:right="1099"/>
              <w:spacing w:after="0" w:line="134" w:lineRule="exact"/>
              <w:rPr>
                <w:sz w:val="20"/>
                <w:szCs w:val="20"/>
                <w:color w:val="auto"/>
              </w:rPr>
            </w:pPr>
            <w:r>
              <w:rPr>
                <w:rFonts w:ascii="Arial" w:cs="Arial" w:eastAsia="Arial" w:hAnsi="Arial"/>
                <w:sz w:val="12"/>
                <w:szCs w:val="12"/>
                <w:color w:val="auto"/>
                <w:w w:val="89"/>
              </w:rPr>
              <w:t>$</w:t>
            </w:r>
          </w:p>
        </w:tc>
        <w:tc>
          <w:tcPr>
            <w:tcW w:w="56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357</w:t>
            </w:r>
          </w:p>
        </w:tc>
        <w:tc>
          <w:tcPr>
            <w:tcW w:w="440" w:type="dxa"/>
            <w:vAlign w:val="bottom"/>
          </w:tcPr>
          <w:p>
            <w:pPr>
              <w:jc w:val="right"/>
              <w:ind w:right="158"/>
              <w:spacing w:after="0" w:line="134" w:lineRule="exact"/>
              <w:rPr>
                <w:sz w:val="20"/>
                <w:szCs w:val="20"/>
                <w:color w:val="auto"/>
              </w:rPr>
            </w:pPr>
            <w:r>
              <w:rPr>
                <w:rFonts w:ascii="Arial" w:cs="Arial" w:eastAsia="Arial" w:hAnsi="Arial"/>
                <w:sz w:val="12"/>
                <w:szCs w:val="12"/>
                <w:color w:val="auto"/>
              </w:rPr>
              <w:t>$</w:t>
            </w:r>
          </w:p>
        </w:tc>
        <w:tc>
          <w:tcPr>
            <w:tcW w:w="1380" w:type="dxa"/>
            <w:vAlign w:val="bottom"/>
          </w:tcPr>
          <w:p>
            <w:pPr>
              <w:jc w:val="right"/>
              <w:spacing w:after="0" w:line="134" w:lineRule="exact"/>
              <w:rPr>
                <w:sz w:val="20"/>
                <w:szCs w:val="20"/>
                <w:color w:val="auto"/>
              </w:rPr>
            </w:pPr>
            <w:r>
              <w:rPr>
                <w:rFonts w:ascii="Arial" w:cs="Arial" w:eastAsia="Arial" w:hAnsi="Arial"/>
                <w:sz w:val="12"/>
                <w:szCs w:val="12"/>
                <w:color w:val="auto"/>
              </w:rPr>
              <w:t>60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820" w:type="dxa"/>
            <w:vAlign w:val="bottom"/>
          </w:tcPr>
          <w:p>
            <w:pPr>
              <w:ind w:left="120"/>
              <w:spacing w:after="0" w:line="134" w:lineRule="exact"/>
              <w:rPr>
                <w:sz w:val="20"/>
                <w:szCs w:val="20"/>
                <w:color w:val="auto"/>
              </w:rPr>
            </w:pPr>
            <w:r>
              <w:rPr>
                <w:rFonts w:ascii="Arial" w:cs="Arial" w:eastAsia="Arial" w:hAnsi="Arial"/>
                <w:sz w:val="12"/>
                <w:szCs w:val="12"/>
                <w:color w:val="auto"/>
              </w:rPr>
              <w:t>Due from SDG&amp;E</w:t>
            </w:r>
          </w:p>
        </w:tc>
        <w:tc>
          <w:tcPr>
            <w:tcW w:w="1240" w:type="dxa"/>
            <w:vAlign w:val="bottom"/>
          </w:tcPr>
          <w:p>
            <w:pPr>
              <w:spacing w:after="0"/>
              <w:rPr>
                <w:sz w:val="11"/>
                <w:szCs w:val="11"/>
                <w:color w:val="auto"/>
              </w:rPr>
            </w:pPr>
          </w:p>
        </w:tc>
        <w:tc>
          <w:tcPr>
            <w:tcW w:w="56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21</w:t>
            </w:r>
          </w:p>
        </w:tc>
        <w:tc>
          <w:tcPr>
            <w:tcW w:w="440" w:type="dxa"/>
            <w:vAlign w:val="bottom"/>
          </w:tcPr>
          <w:p>
            <w:pPr>
              <w:spacing w:after="0"/>
              <w:rPr>
                <w:sz w:val="11"/>
                <w:szCs w:val="11"/>
                <w:color w:val="auto"/>
              </w:rPr>
            </w:pPr>
          </w:p>
        </w:tc>
        <w:tc>
          <w:tcPr>
            <w:tcW w:w="13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20" w:type="dxa"/>
            <w:vAlign w:val="bottom"/>
          </w:tcPr>
          <w:p>
            <w:pPr>
              <w:ind w:left="120"/>
              <w:spacing w:after="0"/>
              <w:rPr>
                <w:sz w:val="20"/>
                <w:szCs w:val="20"/>
                <w:color w:val="auto"/>
              </w:rPr>
            </w:pPr>
            <w:r>
              <w:rPr>
                <w:rFonts w:ascii="Arial" w:cs="Arial" w:eastAsia="Arial" w:hAnsi="Arial"/>
                <w:sz w:val="12"/>
                <w:szCs w:val="12"/>
                <w:color w:val="auto"/>
              </w:rPr>
              <w:t>Due from various affiliates</w:t>
            </w:r>
          </w:p>
        </w:tc>
        <w:tc>
          <w:tcPr>
            <w:tcW w:w="1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1240" w:type="dxa"/>
            <w:vAlign w:val="bottom"/>
            <w:tcBorders>
              <w:bottom w:val="single" w:sz="8" w:color="auto"/>
            </w:tcBorders>
          </w:tcPr>
          <w:p>
            <w:pPr>
              <w:jc w:val="right"/>
              <w:ind w:right="1099"/>
              <w:spacing w:after="0" w:line="134" w:lineRule="exact"/>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118"/>
              <w:spacing w:after="0" w:line="134" w:lineRule="exact"/>
              <w:rPr>
                <w:sz w:val="20"/>
                <w:szCs w:val="20"/>
                <w:color w:val="auto"/>
              </w:rPr>
            </w:pPr>
            <w:r>
              <w:rPr>
                <w:rFonts w:ascii="Arial" w:cs="Arial" w:eastAsia="Arial" w:hAnsi="Arial"/>
                <w:sz w:val="12"/>
                <w:szCs w:val="12"/>
                <w:color w:val="auto"/>
              </w:rPr>
              <w:t>378</w:t>
            </w:r>
          </w:p>
        </w:tc>
        <w:tc>
          <w:tcPr>
            <w:tcW w:w="440" w:type="dxa"/>
            <w:vAlign w:val="bottom"/>
            <w:tcBorders>
              <w:bottom w:val="single" w:sz="8" w:color="auto"/>
            </w:tcBorders>
          </w:tcPr>
          <w:p>
            <w:pPr>
              <w:jc w:val="right"/>
              <w:ind w:right="158"/>
              <w:spacing w:after="0" w:line="134" w:lineRule="exact"/>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820" w:type="dxa"/>
            <w:vAlign w:val="bottom"/>
          </w:tcPr>
          <w:p>
            <w:pPr>
              <w:ind w:left="120"/>
              <w:spacing w:after="0"/>
              <w:rPr>
                <w:sz w:val="20"/>
                <w:szCs w:val="20"/>
                <w:color w:val="auto"/>
              </w:rPr>
            </w:pPr>
            <w:r>
              <w:rPr>
                <w:rFonts w:ascii="Arial" w:cs="Arial" w:eastAsia="Arial" w:hAnsi="Arial"/>
                <w:sz w:val="12"/>
                <w:szCs w:val="12"/>
                <w:color w:val="auto"/>
              </w:rPr>
              <w:t>Due to SDG&amp;E</w:t>
            </w:r>
          </w:p>
        </w:tc>
        <w:tc>
          <w:tcPr>
            <w:tcW w:w="1240" w:type="dxa"/>
            <w:vAlign w:val="bottom"/>
            <w:tcBorders>
              <w:bottom w:val="single" w:sz="8" w:color="auto"/>
            </w:tcBorders>
          </w:tcPr>
          <w:p>
            <w:pPr>
              <w:jc w:val="right"/>
              <w:ind w:right="1099"/>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7820" w:type="dxa"/>
            <w:vAlign w:val="bottom"/>
          </w:tcPr>
          <w:p>
            <w:pPr>
              <w:ind w:left="120"/>
              <w:spacing w:after="0"/>
              <w:rPr>
                <w:sz w:val="20"/>
                <w:szCs w:val="20"/>
                <w:color w:val="auto"/>
              </w:rPr>
            </w:pPr>
            <w:r>
              <w:rPr>
                <w:rFonts w:ascii="Arial" w:cs="Arial" w:eastAsia="Arial" w:hAnsi="Arial"/>
                <w:sz w:val="12"/>
                <w:szCs w:val="12"/>
                <w:color w:val="auto"/>
              </w:rPr>
              <w:t>Income taxes due to Sempra Energy(1)</w:t>
            </w:r>
          </w:p>
        </w:tc>
        <w:tc>
          <w:tcPr>
            <w:tcW w:w="1240" w:type="dxa"/>
            <w:vAlign w:val="bottom"/>
          </w:tcPr>
          <w:p>
            <w:pPr>
              <w:jc w:val="right"/>
              <w:ind w:right="1099"/>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78"/>
              <w:spacing w:after="0"/>
              <w:rPr>
                <w:sz w:val="20"/>
                <w:szCs w:val="20"/>
                <w:color w:val="auto"/>
              </w:rPr>
            </w:pPr>
            <w:r>
              <w:rPr>
                <w:rFonts w:ascii="Arial" w:cs="Arial" w:eastAsia="Arial" w:hAnsi="Arial"/>
                <w:sz w:val="12"/>
                <w:szCs w:val="12"/>
                <w:color w:val="auto"/>
              </w:rPr>
              <w:t>(4)</w:t>
            </w:r>
          </w:p>
        </w:tc>
        <w:tc>
          <w:tcPr>
            <w:tcW w:w="44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279005" cy="13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ind w:left="440" w:right="100" w:hanging="437"/>
        <w:spacing w:after="0" w:line="268" w:lineRule="auto"/>
        <w:tabs>
          <w:tab w:leader="none" w:pos="440" w:val="left"/>
        </w:tabs>
        <w:numPr>
          <w:ilvl w:val="0"/>
          <w:numId w:val="7"/>
        </w:numPr>
        <w:rPr>
          <w:rFonts w:ascii="Arial" w:cs="Arial" w:eastAsia="Arial" w:hAnsi="Arial"/>
          <w:sz w:val="11"/>
          <w:szCs w:val="11"/>
          <w:i w:val="1"/>
          <w:iCs w:val="1"/>
          <w:color w:val="auto"/>
        </w:rPr>
      </w:pPr>
      <w:r>
        <w:rPr>
          <w:rFonts w:ascii="Arial" w:cs="Arial" w:eastAsia="Arial" w:hAnsi="Arial"/>
          <w:sz w:val="11"/>
          <w:szCs w:val="11"/>
          <w:i w:val="1"/>
          <w:iCs w:val="1"/>
          <w:color w:val="auto"/>
        </w:rPr>
        <w:t>SDG&amp;E, PE and SoCalGas are included in the consolidated income tax return of Sempra Energy and are allocated income tax expense from Sempra Energy in an amount equal to that which would result from the companies' having always filed a separate return.</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Revenues from unconsolidated affiliates at the Sempra Utilities are as follows: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REVENUES FROM UNCONSOLIDATED AFFILIATES AT THE SEMPRA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(Dollars in millions)</w:t>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2"/>
          </w:tcPr>
          <w:p>
            <w:pPr>
              <w:jc w:val="right"/>
              <w:ind w:right="78"/>
              <w:spacing w:after="0" w:line="121" w:lineRule="exact"/>
              <w:rPr>
                <w:sz w:val="20"/>
                <w:szCs w:val="20"/>
                <w:color w:val="auto"/>
              </w:rPr>
            </w:pPr>
            <w:r>
              <w:rPr>
                <w:rFonts w:ascii="Arial" w:cs="Arial" w:eastAsia="Arial" w:hAnsi="Arial"/>
                <w:sz w:val="11"/>
                <w:szCs w:val="11"/>
                <w:color w:val="auto"/>
              </w:rPr>
              <w:t>Three months ended March 31,</w:t>
            </w:r>
          </w:p>
        </w:tc>
        <w:tc>
          <w:tcPr>
            <w:tcW w:w="1520" w:type="dxa"/>
            <w:vAlign w:val="bottom"/>
            <w:tcBorders>
              <w:bottom w:val="single" w:sz="8" w:color="auto"/>
            </w:tcBorders>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65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ind w:right="121"/>
              <w:spacing w:after="0"/>
              <w:rPr>
                <w:sz w:val="20"/>
                <w:szCs w:val="20"/>
                <w:color w:val="auto"/>
              </w:rPr>
            </w:pPr>
            <w:r>
              <w:rPr>
                <w:rFonts w:ascii="Arial" w:cs="Arial" w:eastAsia="Arial" w:hAnsi="Arial"/>
                <w:sz w:val="11"/>
                <w:szCs w:val="11"/>
                <w:color w:val="auto"/>
              </w:rPr>
              <w:t>2011</w:t>
            </w:r>
          </w:p>
        </w:tc>
        <w:tc>
          <w:tcPr>
            <w:tcW w:w="9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1060"/>
              <w:spacing w:after="0"/>
              <w:rPr>
                <w:sz w:val="20"/>
                <w:szCs w:val="20"/>
                <w:color w:val="auto"/>
              </w:rPr>
            </w:pPr>
            <w:r>
              <w:rPr>
                <w:rFonts w:ascii="Arial" w:cs="Arial" w:eastAsia="Arial" w:hAnsi="Arial"/>
                <w:sz w:val="11"/>
                <w:szCs w:val="11"/>
                <w:color w:val="auto"/>
              </w:rPr>
              <w:t>2010</w:t>
            </w:r>
          </w:p>
        </w:tc>
      </w:tr>
      <w:tr>
        <w:trPr>
          <w:trHeight w:val="125"/>
        </w:trPr>
        <w:tc>
          <w:tcPr>
            <w:tcW w:w="20" w:type="dxa"/>
            <w:vAlign w:val="bottom"/>
          </w:tcPr>
          <w:p>
            <w:pPr>
              <w:spacing w:after="0"/>
              <w:rPr>
                <w:sz w:val="10"/>
                <w:szCs w:val="10"/>
                <w:color w:val="auto"/>
              </w:rPr>
            </w:pPr>
          </w:p>
        </w:tc>
        <w:tc>
          <w:tcPr>
            <w:tcW w:w="6560" w:type="dxa"/>
            <w:vAlign w:val="bottom"/>
          </w:tcPr>
          <w:p>
            <w:pPr>
              <w:spacing w:after="0" w:line="126" w:lineRule="exact"/>
              <w:rPr>
                <w:sz w:val="20"/>
                <w:szCs w:val="20"/>
                <w:color w:val="auto"/>
              </w:rPr>
            </w:pPr>
            <w:r>
              <w:rPr>
                <w:rFonts w:ascii="Arial" w:cs="Arial" w:eastAsia="Arial" w:hAnsi="Arial"/>
                <w:sz w:val="12"/>
                <w:szCs w:val="12"/>
                <w:color w:val="auto"/>
              </w:rPr>
              <w:t>SDG&amp;E</w:t>
            </w:r>
          </w:p>
        </w:tc>
        <w:tc>
          <w:tcPr>
            <w:tcW w:w="1500" w:type="dxa"/>
            <w:vAlign w:val="bottom"/>
          </w:tcPr>
          <w:p>
            <w:pPr>
              <w:jc w:val="right"/>
              <w:ind w:right="1361"/>
              <w:spacing w:after="0" w:line="126" w:lineRule="exact"/>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line="126" w:lineRule="exact"/>
              <w:rPr>
                <w:sz w:val="20"/>
                <w:szCs w:val="20"/>
                <w:color w:val="auto"/>
              </w:rPr>
            </w:pPr>
            <w:r>
              <w:rPr>
                <w:rFonts w:ascii="Arial" w:cs="Arial" w:eastAsia="Arial" w:hAnsi="Arial"/>
                <w:sz w:val="12"/>
                <w:szCs w:val="12"/>
                <w:color w:val="auto"/>
              </w:rPr>
              <w:t>2</w:t>
            </w:r>
          </w:p>
        </w:tc>
        <w:tc>
          <w:tcPr>
            <w:tcW w:w="940" w:type="dxa"/>
            <w:vAlign w:val="bottom"/>
          </w:tcPr>
          <w:p>
            <w:pPr>
              <w:jc w:val="right"/>
              <w:ind w:right="798"/>
              <w:spacing w:after="0" w:line="126" w:lineRule="exact"/>
              <w:rPr>
                <w:sz w:val="20"/>
                <w:szCs w:val="20"/>
                <w:color w:val="auto"/>
              </w:rPr>
            </w:pPr>
            <w:r>
              <w:rPr>
                <w:rFonts w:ascii="Arial" w:cs="Arial" w:eastAsia="Arial" w:hAnsi="Arial"/>
                <w:sz w:val="12"/>
                <w:szCs w:val="12"/>
                <w:color w:val="auto"/>
                <w:w w:val="89"/>
              </w:rPr>
              <w:t>$</w:t>
            </w:r>
          </w:p>
        </w:tc>
        <w:tc>
          <w:tcPr>
            <w:tcW w:w="1520" w:type="dxa"/>
            <w:vAlign w:val="bottom"/>
          </w:tcPr>
          <w:p>
            <w:pPr>
              <w:jc w:val="right"/>
              <w:spacing w:after="0" w:line="126" w:lineRule="exact"/>
              <w:rPr>
                <w:sz w:val="20"/>
                <w:szCs w:val="20"/>
                <w:color w:val="auto"/>
              </w:rPr>
            </w:pPr>
            <w:r>
              <w:rPr>
                <w:rFonts w:ascii="Arial" w:cs="Arial" w:eastAsia="Arial" w:hAnsi="Arial"/>
                <w:sz w:val="12"/>
                <w:szCs w:val="12"/>
                <w:color w:val="auto"/>
              </w:rPr>
              <w:t>1</w:t>
            </w:r>
          </w:p>
        </w:tc>
      </w:tr>
      <w:tr>
        <w:trPr>
          <w:trHeight w:val="144"/>
        </w:trPr>
        <w:tc>
          <w:tcPr>
            <w:tcW w:w="65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SoCalGas</w:t>
            </w:r>
          </w:p>
        </w:tc>
        <w:tc>
          <w:tcPr>
            <w:tcW w:w="15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9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r>
    </w:tbl>
    <w:p>
      <w:pPr>
        <w:spacing w:after="0" w:line="3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Transactions with RBS Sempra Commodities</w:t>
      </w:r>
    </w:p>
    <w:p>
      <w:pPr>
        <w:spacing w:after="0" w:line="160" w:lineRule="exact"/>
        <w:rPr>
          <w:sz w:val="20"/>
          <w:szCs w:val="20"/>
          <w:color w:val="auto"/>
        </w:rPr>
      </w:pPr>
    </w:p>
    <w:p>
      <w:pPr>
        <w:ind w:right="200"/>
        <w:spacing w:after="0" w:line="256" w:lineRule="auto"/>
        <w:rPr>
          <w:sz w:val="20"/>
          <w:szCs w:val="20"/>
          <w:color w:val="auto"/>
        </w:rPr>
      </w:pPr>
      <w:r>
        <w:rPr>
          <w:rFonts w:ascii="Arial" w:cs="Arial" w:eastAsia="Arial" w:hAnsi="Arial"/>
          <w:sz w:val="14"/>
          <w:szCs w:val="14"/>
          <w:color w:val="auto"/>
        </w:rPr>
        <w:t>Several of our business units have engaged in transactions with RBS Sempra Commodities. As a result of the divestiture of substantially all of RBS Sempra Commodities’ businesses, transactions between our business units and RBS Sempra Commodities will be assigned over time to the buyers of the joint venture businesses. Amounts in our Condensed Consolidated Financial Statements related to these transactions are as follows:</w:t>
      </w:r>
    </w:p>
    <w:p>
      <w:pPr>
        <w:spacing w:after="0" w:line="3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AMOUNTS RECORDED FOR TRANSACTIONS WITH RBS SEMPRA COMMODITIES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(Dollars in millions)</w:t>
      </w:r>
    </w:p>
    <w:p>
      <w:pPr>
        <w:spacing w:after="0" w:line="132" w:lineRule="exact"/>
        <w:rPr>
          <w:sz w:val="20"/>
          <w:szCs w:val="20"/>
          <w:color w:val="auto"/>
        </w:rPr>
      </w:pPr>
    </w:p>
    <w:p>
      <w:pPr>
        <w:ind w:left="8880"/>
        <w:spacing w:after="0"/>
        <w:rPr>
          <w:sz w:val="20"/>
          <w:szCs w:val="20"/>
          <w:color w:val="auto"/>
        </w:rPr>
      </w:pPr>
      <w:r>
        <w:rPr>
          <w:rFonts w:ascii="Arial" w:cs="Arial" w:eastAsia="Arial" w:hAnsi="Arial"/>
          <w:sz w:val="11"/>
          <w:szCs w:val="1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4963795</wp:posOffset>
            </wp:positionH>
            <wp:positionV relativeFrom="paragraph">
              <wp:posOffset>-3175</wp:posOffset>
            </wp:positionV>
            <wp:extent cx="231711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17115" cy="7620"/>
                    </a:xfrm>
                    <a:prstGeom prst="rect">
                      <a:avLst/>
                    </a:prstGeom>
                    <a:noFill/>
                  </pic:spPr>
                </pic:pic>
              </a:graphicData>
            </a:graphic>
          </wp:anchor>
        </w:drawing>
      </w:r>
    </w:p>
    <w:p>
      <w:pPr>
        <w:sectPr>
          <w:pgSz w:w="11900" w:h="16894" w:orient="portrait"/>
          <w:cols w:equalWidth="0" w:num="1">
            <w:col w:w="11460"/>
          </w:cols>
          <w:pgMar w:left="220" w:top="685" w:right="219" w:bottom="0" w:gutter="0" w:footer="0" w:header="0"/>
        </w:sectPr>
      </w:pPr>
    </w:p>
    <w:bookmarkStart w:id="29" w:name="page30"/>
    <w:bookmarkEnd w:id="29"/>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78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1"/>
                <w:szCs w:val="11"/>
                <w:color w:val="auto"/>
              </w:rPr>
              <w:t>2011</w:t>
            </w:r>
          </w:p>
        </w:tc>
        <w:tc>
          <w:tcPr>
            <w:tcW w:w="6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739"/>
              <w:spacing w:after="0"/>
              <w:rPr>
                <w:sz w:val="20"/>
                <w:szCs w:val="20"/>
                <w:color w:val="auto"/>
              </w:rPr>
            </w:pPr>
            <w:r>
              <w:rPr>
                <w:rFonts w:ascii="Arial" w:cs="Arial" w:eastAsia="Arial" w:hAnsi="Arial"/>
                <w:sz w:val="11"/>
                <w:szCs w:val="11"/>
                <w:color w:val="auto"/>
              </w:rPr>
              <w:t>2010</w:t>
            </w:r>
          </w:p>
        </w:tc>
      </w:tr>
      <w:tr>
        <w:trPr>
          <w:trHeight w:val="125"/>
        </w:trPr>
        <w:tc>
          <w:tcPr>
            <w:tcW w:w="20" w:type="dxa"/>
            <w:vAlign w:val="bottom"/>
          </w:tcPr>
          <w:p>
            <w:pPr>
              <w:spacing w:after="0"/>
              <w:rPr>
                <w:sz w:val="10"/>
                <w:szCs w:val="10"/>
                <w:color w:val="auto"/>
              </w:rPr>
            </w:pPr>
          </w:p>
        </w:tc>
        <w:tc>
          <w:tcPr>
            <w:tcW w:w="7800" w:type="dxa"/>
            <w:vAlign w:val="bottom"/>
          </w:tcPr>
          <w:p>
            <w:pPr>
              <w:spacing w:after="0" w:line="126" w:lineRule="exact"/>
              <w:rPr>
                <w:sz w:val="20"/>
                <w:szCs w:val="20"/>
                <w:color w:val="auto"/>
              </w:rPr>
            </w:pPr>
            <w:r>
              <w:rPr>
                <w:rFonts w:ascii="Arial" w:cs="Arial" w:eastAsia="Arial" w:hAnsi="Arial"/>
                <w:sz w:val="12"/>
                <w:szCs w:val="12"/>
                <w:color w:val="auto"/>
              </w:rPr>
              <w:t>Revenues:</w:t>
            </w:r>
          </w:p>
        </w:tc>
        <w:tc>
          <w:tcPr>
            <w:tcW w:w="1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48"/>
        </w:trPr>
        <w:tc>
          <w:tcPr>
            <w:tcW w:w="20" w:type="dxa"/>
            <w:vAlign w:val="bottom"/>
          </w:tcPr>
          <w:p>
            <w:pPr>
              <w:spacing w:after="0"/>
              <w:rPr>
                <w:sz w:val="12"/>
                <w:szCs w:val="12"/>
                <w:color w:val="auto"/>
              </w:rPr>
            </w:pPr>
          </w:p>
        </w:tc>
        <w:tc>
          <w:tcPr>
            <w:tcW w:w="7800" w:type="dxa"/>
            <w:vAlign w:val="bottom"/>
          </w:tcPr>
          <w:p>
            <w:pPr>
              <w:ind w:left="120"/>
              <w:spacing w:after="0"/>
              <w:rPr>
                <w:sz w:val="20"/>
                <w:szCs w:val="20"/>
                <w:color w:val="auto"/>
              </w:rPr>
            </w:pPr>
            <w:r>
              <w:rPr>
                <w:rFonts w:ascii="Arial" w:cs="Arial" w:eastAsia="Arial" w:hAnsi="Arial"/>
                <w:sz w:val="12"/>
                <w:szCs w:val="12"/>
                <w:color w:val="auto"/>
              </w:rPr>
              <w:t>SoCalGas</w:t>
            </w:r>
          </w:p>
        </w:tc>
        <w:tc>
          <w:tcPr>
            <w:tcW w:w="1320" w:type="dxa"/>
            <w:vAlign w:val="bottom"/>
          </w:tcPr>
          <w:p>
            <w:pPr>
              <w:jc w:val="right"/>
              <w:ind w:right="939"/>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55"/>
        </w:trPr>
        <w:tc>
          <w:tcPr>
            <w:tcW w:w="20" w:type="dxa"/>
            <w:vAlign w:val="bottom"/>
          </w:tcPr>
          <w:p>
            <w:pPr>
              <w:spacing w:after="0"/>
              <w:rPr>
                <w:sz w:val="13"/>
                <w:szCs w:val="13"/>
                <w:color w:val="auto"/>
              </w:rPr>
            </w:pPr>
          </w:p>
        </w:tc>
        <w:tc>
          <w:tcPr>
            <w:tcW w:w="7800" w:type="dxa"/>
            <w:vAlign w:val="bottom"/>
          </w:tcPr>
          <w:p>
            <w:pPr>
              <w:ind w:left="120"/>
              <w:spacing w:after="0"/>
              <w:rPr>
                <w:sz w:val="20"/>
                <w:szCs w:val="20"/>
                <w:color w:val="auto"/>
              </w:rPr>
            </w:pPr>
            <w:r>
              <w:rPr>
                <w:rFonts w:ascii="Arial" w:cs="Arial" w:eastAsia="Arial" w:hAnsi="Arial"/>
                <w:sz w:val="12"/>
                <w:szCs w:val="12"/>
                <w:color w:val="auto"/>
              </w:rPr>
              <w:t>Sempra Generation(1)</w:t>
            </w:r>
          </w:p>
        </w:tc>
        <w:tc>
          <w:tcPr>
            <w:tcW w:w="1320" w:type="dxa"/>
            <w:vAlign w:val="bottom"/>
          </w:tcPr>
          <w:p>
            <w:pPr>
              <w:spacing w:after="0"/>
              <w:rPr>
                <w:sz w:val="13"/>
                <w:szCs w:val="13"/>
                <w:color w:val="auto"/>
              </w:rPr>
            </w:pPr>
          </w:p>
        </w:tc>
        <w:tc>
          <w:tcPr>
            <w:tcW w:w="600" w:type="dxa"/>
            <w:vAlign w:val="bottom"/>
          </w:tcPr>
          <w:p>
            <w:pPr>
              <w:jc w:val="right"/>
              <w:ind w:right="78"/>
              <w:spacing w:after="0"/>
              <w:rPr>
                <w:sz w:val="20"/>
                <w:szCs w:val="20"/>
                <w:color w:val="auto"/>
              </w:rPr>
            </w:pPr>
            <w:r>
              <w:rPr>
                <w:rFonts w:ascii="Arial" w:cs="Arial" w:eastAsia="Arial" w:hAnsi="Arial"/>
                <w:sz w:val="12"/>
                <w:szCs w:val="12"/>
                <w:color w:val="auto"/>
              </w:rPr>
              <w:t>9</w:t>
            </w:r>
          </w:p>
        </w:tc>
        <w:tc>
          <w:tcPr>
            <w:tcW w:w="4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151"/>
        </w:trPr>
        <w:tc>
          <w:tcPr>
            <w:tcW w:w="20" w:type="dxa"/>
            <w:vAlign w:val="bottom"/>
          </w:tcPr>
          <w:p>
            <w:pPr>
              <w:spacing w:after="0"/>
              <w:rPr>
                <w:sz w:val="13"/>
                <w:szCs w:val="13"/>
                <w:color w:val="auto"/>
              </w:rPr>
            </w:pPr>
          </w:p>
        </w:tc>
        <w:tc>
          <w:tcPr>
            <w:tcW w:w="7800" w:type="dxa"/>
            <w:vAlign w:val="bottom"/>
          </w:tcPr>
          <w:p>
            <w:pPr>
              <w:ind w:left="120"/>
              <w:spacing w:after="0"/>
              <w:rPr>
                <w:sz w:val="20"/>
                <w:szCs w:val="20"/>
                <w:color w:val="auto"/>
              </w:rPr>
            </w:pPr>
            <w:r>
              <w:rPr>
                <w:rFonts w:ascii="Arial" w:cs="Arial" w:eastAsia="Arial" w:hAnsi="Arial"/>
                <w:sz w:val="12"/>
                <w:szCs w:val="12"/>
                <w:color w:val="auto"/>
              </w:rPr>
              <w:t>Sempra LNG</w:t>
            </w:r>
          </w:p>
        </w:tc>
        <w:tc>
          <w:tcPr>
            <w:tcW w:w="1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36</w:t>
            </w:r>
          </w:p>
        </w:tc>
        <w:tc>
          <w:tcPr>
            <w:tcW w:w="4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w:t>
            </w:r>
          </w:p>
        </w:tc>
      </w:tr>
      <w:tr>
        <w:trPr>
          <w:trHeight w:val="135"/>
        </w:trPr>
        <w:tc>
          <w:tcPr>
            <w:tcW w:w="20" w:type="dxa"/>
            <w:vAlign w:val="bottom"/>
          </w:tcPr>
          <w:p>
            <w:pPr>
              <w:spacing w:after="0"/>
              <w:rPr>
                <w:sz w:val="11"/>
                <w:szCs w:val="11"/>
                <w:color w:val="auto"/>
              </w:rPr>
            </w:pPr>
          </w:p>
        </w:tc>
        <w:tc>
          <w:tcPr>
            <w:tcW w:w="7800" w:type="dxa"/>
            <w:vAlign w:val="bottom"/>
          </w:tcPr>
          <w:p>
            <w:pPr>
              <w:ind w:left="260"/>
              <w:spacing w:after="0" w:line="134" w:lineRule="exact"/>
              <w:rPr>
                <w:sz w:val="20"/>
                <w:szCs w:val="20"/>
                <w:color w:val="auto"/>
              </w:rPr>
            </w:pPr>
            <w:r>
              <w:rPr>
                <w:rFonts w:ascii="Arial" w:cs="Arial" w:eastAsia="Arial" w:hAnsi="Arial"/>
                <w:sz w:val="12"/>
                <w:szCs w:val="12"/>
                <w:color w:val="auto"/>
              </w:rPr>
              <w:t>Total revenues</w:t>
            </w:r>
          </w:p>
        </w:tc>
        <w:tc>
          <w:tcPr>
            <w:tcW w:w="1320" w:type="dxa"/>
            <w:vAlign w:val="bottom"/>
            <w:tcBorders>
              <w:bottom w:val="single" w:sz="8" w:color="auto"/>
            </w:tcBorders>
          </w:tcPr>
          <w:p>
            <w:pPr>
              <w:jc w:val="right"/>
              <w:ind w:right="939"/>
              <w:spacing w:after="0" w:line="134" w:lineRule="exact"/>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tcPr>
          <w:p>
            <w:pPr>
              <w:jc w:val="right"/>
              <w:ind w:right="78"/>
              <w:spacing w:after="0" w:line="134" w:lineRule="exact"/>
              <w:rPr>
                <w:sz w:val="20"/>
                <w:szCs w:val="20"/>
                <w:color w:val="auto"/>
              </w:rPr>
            </w:pPr>
            <w:r>
              <w:rPr>
                <w:rFonts w:ascii="Arial" w:cs="Arial" w:eastAsia="Arial" w:hAnsi="Arial"/>
                <w:sz w:val="12"/>
                <w:szCs w:val="12"/>
                <w:color w:val="auto"/>
              </w:rPr>
              <w:t>45</w:t>
            </w:r>
          </w:p>
        </w:tc>
        <w:tc>
          <w:tcPr>
            <w:tcW w:w="440" w:type="dxa"/>
            <w:vAlign w:val="bottom"/>
            <w:tcBorders>
              <w:bottom w:val="single" w:sz="8" w:color="auto"/>
            </w:tcBorders>
          </w:tcPr>
          <w:p>
            <w:pPr>
              <w:jc w:val="right"/>
              <w:ind w:right="158"/>
              <w:spacing w:after="0" w:line="134" w:lineRule="exact"/>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86</w:t>
            </w:r>
          </w:p>
        </w:tc>
      </w:tr>
      <w:tr>
        <w:trPr>
          <w:trHeight w:val="281"/>
        </w:trPr>
        <w:tc>
          <w:tcPr>
            <w:tcW w:w="7820" w:type="dxa"/>
            <w:vAlign w:val="bottom"/>
            <w:gridSpan w:val="2"/>
          </w:tcPr>
          <w:p>
            <w:pPr>
              <w:spacing w:after="0"/>
              <w:rPr>
                <w:sz w:val="20"/>
                <w:szCs w:val="20"/>
                <w:color w:val="auto"/>
              </w:rPr>
            </w:pPr>
            <w:r>
              <w:rPr>
                <w:rFonts w:ascii="Arial" w:cs="Arial" w:eastAsia="Arial" w:hAnsi="Arial"/>
                <w:sz w:val="12"/>
                <w:szCs w:val="12"/>
                <w:color w:val="auto"/>
              </w:rPr>
              <w:t>Cost of natural gas:</w:t>
            </w: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48"/>
        </w:trPr>
        <w:tc>
          <w:tcPr>
            <w:tcW w:w="20" w:type="dxa"/>
            <w:vAlign w:val="bottom"/>
          </w:tcPr>
          <w:p>
            <w:pPr>
              <w:spacing w:after="0"/>
              <w:rPr>
                <w:sz w:val="12"/>
                <w:szCs w:val="12"/>
                <w:color w:val="auto"/>
              </w:rPr>
            </w:pPr>
          </w:p>
        </w:tc>
        <w:tc>
          <w:tcPr>
            <w:tcW w:w="7800" w:type="dxa"/>
            <w:vAlign w:val="bottom"/>
          </w:tcPr>
          <w:p>
            <w:pPr>
              <w:ind w:left="120"/>
              <w:spacing w:after="0"/>
              <w:rPr>
                <w:sz w:val="20"/>
                <w:szCs w:val="20"/>
                <w:color w:val="auto"/>
              </w:rPr>
            </w:pPr>
            <w:r>
              <w:rPr>
                <w:rFonts w:ascii="Arial" w:cs="Arial" w:eastAsia="Arial" w:hAnsi="Arial"/>
                <w:sz w:val="12"/>
                <w:szCs w:val="12"/>
                <w:color w:val="auto"/>
              </w:rPr>
              <w:t>SDG&amp;E</w:t>
            </w:r>
          </w:p>
        </w:tc>
        <w:tc>
          <w:tcPr>
            <w:tcW w:w="1320" w:type="dxa"/>
            <w:vAlign w:val="bottom"/>
          </w:tcPr>
          <w:p>
            <w:pPr>
              <w:jc w:val="right"/>
              <w:ind w:right="939"/>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55"/>
        </w:trPr>
        <w:tc>
          <w:tcPr>
            <w:tcW w:w="20" w:type="dxa"/>
            <w:vAlign w:val="bottom"/>
          </w:tcPr>
          <w:p>
            <w:pPr>
              <w:spacing w:after="0"/>
              <w:rPr>
                <w:sz w:val="13"/>
                <w:szCs w:val="13"/>
                <w:color w:val="auto"/>
              </w:rPr>
            </w:pPr>
          </w:p>
        </w:tc>
        <w:tc>
          <w:tcPr>
            <w:tcW w:w="7800" w:type="dxa"/>
            <w:vAlign w:val="bottom"/>
          </w:tcPr>
          <w:p>
            <w:pPr>
              <w:ind w:left="120"/>
              <w:spacing w:after="0"/>
              <w:rPr>
                <w:sz w:val="20"/>
                <w:szCs w:val="20"/>
                <w:color w:val="auto"/>
              </w:rPr>
            </w:pPr>
            <w:r>
              <w:rPr>
                <w:rFonts w:ascii="Arial" w:cs="Arial" w:eastAsia="Arial" w:hAnsi="Arial"/>
                <w:sz w:val="12"/>
                <w:szCs w:val="12"/>
                <w:color w:val="auto"/>
              </w:rPr>
              <w:t>SoCalGas</w:t>
            </w:r>
          </w:p>
        </w:tc>
        <w:tc>
          <w:tcPr>
            <w:tcW w:w="1320" w:type="dxa"/>
            <w:vAlign w:val="bottom"/>
          </w:tcPr>
          <w:p>
            <w:pPr>
              <w:spacing w:after="0"/>
              <w:rPr>
                <w:sz w:val="13"/>
                <w:szCs w:val="13"/>
                <w:color w:val="auto"/>
              </w:rPr>
            </w:pPr>
          </w:p>
        </w:tc>
        <w:tc>
          <w:tcPr>
            <w:tcW w:w="6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41"/>
        </w:trPr>
        <w:tc>
          <w:tcPr>
            <w:tcW w:w="20" w:type="dxa"/>
            <w:vAlign w:val="bottom"/>
          </w:tcPr>
          <w:p>
            <w:pPr>
              <w:spacing w:after="0"/>
              <w:rPr>
                <w:sz w:val="12"/>
                <w:szCs w:val="12"/>
                <w:color w:val="auto"/>
              </w:rPr>
            </w:pPr>
          </w:p>
        </w:tc>
        <w:tc>
          <w:tcPr>
            <w:tcW w:w="7800" w:type="dxa"/>
            <w:vAlign w:val="bottom"/>
          </w:tcPr>
          <w:p>
            <w:pPr>
              <w:ind w:left="120"/>
              <w:spacing w:after="0"/>
              <w:rPr>
                <w:sz w:val="20"/>
                <w:szCs w:val="20"/>
                <w:color w:val="auto"/>
              </w:rPr>
            </w:pPr>
            <w:r>
              <w:rPr>
                <w:rFonts w:ascii="Arial" w:cs="Arial" w:eastAsia="Arial" w:hAnsi="Arial"/>
                <w:sz w:val="12"/>
                <w:szCs w:val="12"/>
                <w:color w:val="auto"/>
              </w:rPr>
              <w:t>Sempra Generation</w:t>
            </w:r>
          </w:p>
        </w:tc>
        <w:tc>
          <w:tcPr>
            <w:tcW w:w="1320" w:type="dxa"/>
            <w:vAlign w:val="bottom"/>
          </w:tcPr>
          <w:p>
            <w:pPr>
              <w:spacing w:after="0"/>
              <w:rPr>
                <w:sz w:val="12"/>
                <w:szCs w:val="12"/>
                <w:color w:val="auto"/>
              </w:rPr>
            </w:pPr>
          </w:p>
        </w:tc>
        <w:tc>
          <w:tcPr>
            <w:tcW w:w="600" w:type="dxa"/>
            <w:vAlign w:val="bottom"/>
          </w:tcPr>
          <w:p>
            <w:pPr>
              <w:jc w:val="right"/>
              <w:ind w:right="78"/>
              <w:spacing w:after="0"/>
              <w:rPr>
                <w:sz w:val="20"/>
                <w:szCs w:val="20"/>
                <w:color w:val="auto"/>
              </w:rPr>
            </w:pPr>
            <w:r>
              <w:rPr>
                <w:rFonts w:ascii="Arial" w:cs="Arial" w:eastAsia="Arial" w:hAnsi="Arial"/>
                <w:sz w:val="12"/>
                <w:szCs w:val="12"/>
                <w:color w:val="auto"/>
              </w:rPr>
              <w:t>26</w:t>
            </w:r>
          </w:p>
        </w:tc>
        <w:tc>
          <w:tcPr>
            <w:tcW w:w="44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134"/>
        </w:trPr>
        <w:tc>
          <w:tcPr>
            <w:tcW w:w="20" w:type="dxa"/>
            <w:vAlign w:val="bottom"/>
          </w:tcPr>
          <w:p>
            <w:pPr>
              <w:spacing w:after="0"/>
              <w:rPr>
                <w:sz w:val="11"/>
                <w:szCs w:val="11"/>
                <w:color w:val="auto"/>
              </w:rPr>
            </w:pPr>
          </w:p>
        </w:tc>
        <w:tc>
          <w:tcPr>
            <w:tcW w:w="7800" w:type="dxa"/>
            <w:vAlign w:val="bottom"/>
          </w:tcPr>
          <w:p>
            <w:pPr>
              <w:ind w:left="120"/>
              <w:spacing w:after="0" w:line="134" w:lineRule="exact"/>
              <w:rPr>
                <w:sz w:val="20"/>
                <w:szCs w:val="20"/>
                <w:color w:val="auto"/>
              </w:rPr>
            </w:pPr>
            <w:r>
              <w:rPr>
                <w:rFonts w:ascii="Arial" w:cs="Arial" w:eastAsia="Arial" w:hAnsi="Arial"/>
                <w:sz w:val="12"/>
                <w:szCs w:val="12"/>
                <w:color w:val="auto"/>
              </w:rPr>
              <w:t>Sempra Pipelines &amp; Storage</w:t>
            </w:r>
          </w:p>
        </w:tc>
        <w:tc>
          <w:tcPr>
            <w:tcW w:w="1320" w:type="dxa"/>
            <w:vAlign w:val="bottom"/>
          </w:tcPr>
          <w:p>
            <w:pPr>
              <w:spacing w:after="0"/>
              <w:rPr>
                <w:sz w:val="11"/>
                <w:szCs w:val="11"/>
                <w:color w:val="auto"/>
              </w:rPr>
            </w:pPr>
          </w:p>
        </w:tc>
        <w:tc>
          <w:tcPr>
            <w:tcW w:w="600" w:type="dxa"/>
            <w:vAlign w:val="bottom"/>
          </w:tcPr>
          <w:p>
            <w:pPr>
              <w:jc w:val="right"/>
              <w:ind w:right="78"/>
              <w:spacing w:after="0" w:line="134" w:lineRule="exact"/>
              <w:rPr>
                <w:sz w:val="20"/>
                <w:szCs w:val="20"/>
                <w:color w:val="auto"/>
              </w:rPr>
            </w:pPr>
            <w:r>
              <w:rPr>
                <w:rFonts w:ascii="Arial" w:cs="Arial" w:eastAsia="Arial" w:hAnsi="Arial"/>
                <w:sz w:val="12"/>
                <w:szCs w:val="12"/>
                <w:color w:val="auto"/>
              </w:rPr>
              <w:t>7</w:t>
            </w:r>
          </w:p>
        </w:tc>
        <w:tc>
          <w:tcPr>
            <w:tcW w:w="440" w:type="dxa"/>
            <w:vAlign w:val="bottom"/>
          </w:tcPr>
          <w:p>
            <w:pPr>
              <w:spacing w:after="0"/>
              <w:rPr>
                <w:sz w:val="11"/>
                <w:szCs w:val="11"/>
                <w:color w:val="auto"/>
              </w:rPr>
            </w:pPr>
          </w:p>
        </w:tc>
        <w:tc>
          <w:tcPr>
            <w:tcW w:w="1280" w:type="dxa"/>
            <w:vAlign w:val="bottom"/>
          </w:tcPr>
          <w:p>
            <w:pPr>
              <w:jc w:val="right"/>
              <w:spacing w:after="0" w:line="134" w:lineRule="exact"/>
              <w:rPr>
                <w:sz w:val="20"/>
                <w:szCs w:val="20"/>
                <w:color w:val="auto"/>
              </w:rPr>
            </w:pPr>
            <w:r>
              <w:rPr>
                <w:rFonts w:ascii="Arial" w:cs="Arial" w:eastAsia="Arial" w:hAnsi="Arial"/>
                <w:sz w:val="12"/>
                <w:szCs w:val="12"/>
                <w:color w:val="auto"/>
              </w:rPr>
              <w:t>9</w:t>
            </w:r>
          </w:p>
        </w:tc>
      </w:tr>
      <w:tr>
        <w:trPr>
          <w:trHeight w:val="144"/>
        </w:trPr>
        <w:tc>
          <w:tcPr>
            <w:tcW w:w="20" w:type="dxa"/>
            <w:vAlign w:val="bottom"/>
          </w:tcPr>
          <w:p>
            <w:pPr>
              <w:spacing w:after="0"/>
              <w:rPr>
                <w:sz w:val="12"/>
                <w:szCs w:val="12"/>
                <w:color w:val="auto"/>
              </w:rPr>
            </w:pPr>
          </w:p>
        </w:tc>
        <w:tc>
          <w:tcPr>
            <w:tcW w:w="7800" w:type="dxa"/>
            <w:vAlign w:val="bottom"/>
          </w:tcPr>
          <w:p>
            <w:pPr>
              <w:ind w:left="120"/>
              <w:spacing w:after="0"/>
              <w:rPr>
                <w:sz w:val="20"/>
                <w:szCs w:val="20"/>
                <w:color w:val="auto"/>
              </w:rPr>
            </w:pPr>
            <w:r>
              <w:rPr>
                <w:rFonts w:ascii="Arial" w:cs="Arial" w:eastAsia="Arial" w:hAnsi="Arial"/>
                <w:sz w:val="12"/>
                <w:szCs w:val="12"/>
                <w:color w:val="auto"/>
              </w:rPr>
              <w:t>Sempra LNG</w:t>
            </w:r>
          </w:p>
        </w:tc>
        <w:tc>
          <w:tcPr>
            <w:tcW w:w="1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28</w:t>
            </w:r>
          </w:p>
        </w:tc>
        <w:tc>
          <w:tcPr>
            <w:tcW w:w="4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w:t>
            </w:r>
          </w:p>
        </w:tc>
      </w:tr>
      <w:tr>
        <w:trPr>
          <w:trHeight w:val="148"/>
        </w:trPr>
        <w:tc>
          <w:tcPr>
            <w:tcW w:w="20" w:type="dxa"/>
            <w:vAlign w:val="bottom"/>
          </w:tcPr>
          <w:p>
            <w:pPr>
              <w:spacing w:after="0"/>
              <w:rPr>
                <w:sz w:val="12"/>
                <w:szCs w:val="12"/>
                <w:color w:val="auto"/>
              </w:rPr>
            </w:pPr>
          </w:p>
        </w:tc>
        <w:tc>
          <w:tcPr>
            <w:tcW w:w="7800" w:type="dxa"/>
            <w:vAlign w:val="bottom"/>
          </w:tcPr>
          <w:p>
            <w:pPr>
              <w:ind w:left="260"/>
              <w:spacing w:after="0"/>
              <w:rPr>
                <w:sz w:val="20"/>
                <w:szCs w:val="20"/>
                <w:color w:val="auto"/>
              </w:rPr>
            </w:pPr>
            <w:r>
              <w:rPr>
                <w:rFonts w:ascii="Arial" w:cs="Arial" w:eastAsia="Arial" w:hAnsi="Arial"/>
                <w:sz w:val="12"/>
                <w:szCs w:val="12"/>
                <w:color w:val="auto"/>
              </w:rPr>
              <w:t>Total cost of natural gas</w:t>
            </w:r>
          </w:p>
        </w:tc>
        <w:tc>
          <w:tcPr>
            <w:tcW w:w="1320" w:type="dxa"/>
            <w:vAlign w:val="bottom"/>
          </w:tcPr>
          <w:p>
            <w:pPr>
              <w:jc w:val="right"/>
              <w:ind w:right="939"/>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78"/>
              <w:spacing w:after="0"/>
              <w:rPr>
                <w:sz w:val="20"/>
                <w:szCs w:val="20"/>
                <w:color w:val="auto"/>
              </w:rPr>
            </w:pPr>
            <w:r>
              <w:rPr>
                <w:rFonts w:ascii="Arial" w:cs="Arial" w:eastAsia="Arial" w:hAnsi="Arial"/>
                <w:sz w:val="12"/>
                <w:szCs w:val="12"/>
                <w:color w:val="auto"/>
              </w:rPr>
              <w:t>61</w:t>
            </w:r>
          </w:p>
        </w:tc>
        <w:tc>
          <w:tcPr>
            <w:tcW w:w="44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279005" cy="13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ind w:left="660" w:hanging="394"/>
        <w:spacing w:after="0"/>
        <w:tabs>
          <w:tab w:leader="none" w:pos="660" w:val="left"/>
        </w:tabs>
        <w:numPr>
          <w:ilvl w:val="0"/>
          <w:numId w:val="8"/>
        </w:numPr>
        <w:rPr>
          <w:rFonts w:ascii="Arial" w:cs="Arial" w:eastAsia="Arial" w:hAnsi="Arial"/>
          <w:sz w:val="11"/>
          <w:szCs w:val="11"/>
          <w:i w:val="1"/>
          <w:iCs w:val="1"/>
          <w:color w:val="auto"/>
        </w:rPr>
      </w:pPr>
      <w:r>
        <w:rPr>
          <w:rFonts w:ascii="Arial" w:cs="Arial" w:eastAsia="Arial" w:hAnsi="Arial"/>
          <w:sz w:val="11"/>
          <w:szCs w:val="11"/>
          <w:i w:val="1"/>
          <w:iCs w:val="1"/>
          <w:color w:val="auto"/>
        </w:rPr>
        <w:t>Includes amounts in 2010 for Sempra Rockies Marketing, previously reported in the Sempra Commodities segment, as we discuss in Note 11.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1380" w:type="dxa"/>
            <w:vAlign w:val="bottom"/>
          </w:tcPr>
          <w:p>
            <w:pPr>
              <w:jc w:val="right"/>
              <w:ind w:right="160"/>
              <w:spacing w:after="0"/>
              <w:rPr>
                <w:sz w:val="20"/>
                <w:szCs w:val="20"/>
                <w:color w:val="auto"/>
              </w:rPr>
            </w:pPr>
            <w:r>
              <w:rPr>
                <w:rFonts w:ascii="Arial" w:cs="Arial" w:eastAsia="Arial" w:hAnsi="Arial"/>
                <w:sz w:val="11"/>
                <w:szCs w:val="11"/>
                <w:color w:val="auto"/>
              </w:rPr>
              <w:t>March 31,</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jc w:val="right"/>
              <w:ind w:right="499"/>
              <w:spacing w:after="0"/>
              <w:rPr>
                <w:sz w:val="20"/>
                <w:szCs w:val="20"/>
                <w:color w:val="auto"/>
              </w:rPr>
            </w:pPr>
            <w:r>
              <w:rPr>
                <w:rFonts w:ascii="Arial" w:cs="Arial" w:eastAsia="Arial" w:hAnsi="Arial"/>
                <w:sz w:val="11"/>
                <w:szCs w:val="11"/>
                <w:color w:val="auto"/>
              </w:rPr>
              <w:t>December 31,</w:t>
            </w:r>
          </w:p>
        </w:tc>
      </w:tr>
      <w:tr>
        <w:trPr>
          <w:trHeight w:val="124"/>
        </w:trPr>
        <w:tc>
          <w:tcPr>
            <w:tcW w:w="20" w:type="dxa"/>
            <w:vAlign w:val="bottom"/>
          </w:tcPr>
          <w:p>
            <w:pPr>
              <w:spacing w:after="0"/>
              <w:rPr>
                <w:sz w:val="10"/>
                <w:szCs w:val="10"/>
                <w:color w:val="auto"/>
              </w:rPr>
            </w:pPr>
          </w:p>
        </w:tc>
        <w:tc>
          <w:tcPr>
            <w:tcW w:w="78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jc w:val="right"/>
              <w:ind w:right="300"/>
              <w:spacing w:after="0" w:line="123" w:lineRule="exact"/>
              <w:rPr>
                <w:sz w:val="20"/>
                <w:szCs w:val="20"/>
                <w:color w:val="auto"/>
              </w:rPr>
            </w:pPr>
            <w:r>
              <w:rPr>
                <w:rFonts w:ascii="Arial" w:cs="Arial" w:eastAsia="Arial" w:hAnsi="Arial"/>
                <w:sz w:val="11"/>
                <w:szCs w:val="11"/>
                <w:color w:val="auto"/>
              </w:rPr>
              <w:t>2011</w:t>
            </w:r>
          </w:p>
        </w:tc>
        <w:tc>
          <w:tcPr>
            <w:tcW w:w="5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jc w:val="right"/>
              <w:ind w:right="739"/>
              <w:spacing w:after="0" w:line="123" w:lineRule="exact"/>
              <w:rPr>
                <w:sz w:val="20"/>
                <w:szCs w:val="20"/>
                <w:color w:val="auto"/>
              </w:rPr>
            </w:pPr>
            <w:r>
              <w:rPr>
                <w:rFonts w:ascii="Arial" w:cs="Arial" w:eastAsia="Arial" w:hAnsi="Arial"/>
                <w:sz w:val="11"/>
                <w:szCs w:val="11"/>
                <w:color w:val="auto"/>
              </w:rPr>
              <w:t>2010</w:t>
            </w:r>
          </w:p>
        </w:tc>
      </w:tr>
      <w:tr>
        <w:trPr>
          <w:trHeight w:val="125"/>
        </w:trPr>
        <w:tc>
          <w:tcPr>
            <w:tcW w:w="20" w:type="dxa"/>
            <w:vAlign w:val="bottom"/>
          </w:tcPr>
          <w:p>
            <w:pPr>
              <w:spacing w:after="0"/>
              <w:rPr>
                <w:sz w:val="10"/>
                <w:szCs w:val="10"/>
                <w:color w:val="auto"/>
              </w:rPr>
            </w:pPr>
          </w:p>
        </w:tc>
        <w:tc>
          <w:tcPr>
            <w:tcW w:w="7800" w:type="dxa"/>
            <w:vAlign w:val="bottom"/>
          </w:tcPr>
          <w:p>
            <w:pPr>
              <w:spacing w:after="0" w:line="126" w:lineRule="exact"/>
              <w:rPr>
                <w:sz w:val="20"/>
                <w:szCs w:val="20"/>
                <w:color w:val="auto"/>
              </w:rPr>
            </w:pPr>
            <w:r>
              <w:rPr>
                <w:rFonts w:ascii="Arial" w:cs="Arial" w:eastAsia="Arial" w:hAnsi="Arial"/>
                <w:sz w:val="12"/>
                <w:szCs w:val="12"/>
                <w:color w:val="auto"/>
              </w:rPr>
              <w:t>Fixed-price contracts and other derivatives - Net Asset (Liability):</w:t>
            </w:r>
          </w:p>
        </w:tc>
        <w:tc>
          <w:tcPr>
            <w:tcW w:w="1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7800" w:type="dxa"/>
            <w:vAlign w:val="bottom"/>
          </w:tcPr>
          <w:p>
            <w:pPr>
              <w:ind w:left="120"/>
              <w:spacing w:after="0" w:line="134" w:lineRule="exact"/>
              <w:rPr>
                <w:sz w:val="20"/>
                <w:szCs w:val="20"/>
                <w:color w:val="auto"/>
              </w:rPr>
            </w:pPr>
            <w:r>
              <w:rPr>
                <w:rFonts w:ascii="Arial" w:cs="Arial" w:eastAsia="Arial" w:hAnsi="Arial"/>
                <w:sz w:val="12"/>
                <w:szCs w:val="12"/>
                <w:color w:val="auto"/>
              </w:rPr>
              <w:t>Sempra Generation</w:t>
            </w:r>
          </w:p>
        </w:tc>
        <w:tc>
          <w:tcPr>
            <w:tcW w:w="1380" w:type="dxa"/>
            <w:vAlign w:val="bottom"/>
          </w:tcPr>
          <w:p>
            <w:pPr>
              <w:jc w:val="right"/>
              <w:ind w:right="1000"/>
              <w:spacing w:after="0" w:line="134"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98"/>
              <w:spacing w:after="0" w:line="134" w:lineRule="exact"/>
              <w:rPr>
                <w:sz w:val="20"/>
                <w:szCs w:val="20"/>
                <w:color w:val="auto"/>
              </w:rPr>
            </w:pPr>
            <w:r>
              <w:rPr>
                <w:rFonts w:ascii="Arial" w:cs="Arial" w:eastAsia="Arial" w:hAnsi="Arial"/>
                <w:sz w:val="12"/>
                <w:szCs w:val="12"/>
                <w:color w:val="auto"/>
              </w:rPr>
              <w:t>19</w:t>
            </w:r>
          </w:p>
        </w:tc>
        <w:tc>
          <w:tcPr>
            <w:tcW w:w="320" w:type="dxa"/>
            <w:vAlign w:val="bottom"/>
          </w:tcPr>
          <w:p>
            <w:pPr>
              <w:jc w:val="right"/>
              <w:ind w:right="58"/>
              <w:spacing w:after="0" w:line="134" w:lineRule="exact"/>
              <w:rPr>
                <w:sz w:val="20"/>
                <w:szCs w:val="20"/>
                <w:color w:val="auto"/>
              </w:rPr>
            </w:pPr>
            <w:r>
              <w:rPr>
                <w:rFonts w:ascii="Arial" w:cs="Arial" w:eastAsia="Arial" w:hAnsi="Arial"/>
                <w:sz w:val="12"/>
                <w:szCs w:val="12"/>
                <w:color w:val="auto"/>
              </w:rPr>
              <w:t>$</w:t>
            </w:r>
          </w:p>
        </w:tc>
        <w:tc>
          <w:tcPr>
            <w:tcW w:w="1380" w:type="dxa"/>
            <w:vAlign w:val="bottom"/>
          </w:tcPr>
          <w:p>
            <w:pPr>
              <w:jc w:val="right"/>
              <w:spacing w:after="0" w:line="134" w:lineRule="exact"/>
              <w:rPr>
                <w:sz w:val="20"/>
                <w:szCs w:val="20"/>
                <w:color w:val="auto"/>
              </w:rPr>
            </w:pPr>
            <w:r>
              <w:rPr>
                <w:rFonts w:ascii="Arial" w:cs="Arial" w:eastAsia="Arial" w:hAnsi="Arial"/>
                <w:sz w:val="12"/>
                <w:szCs w:val="12"/>
                <w:color w:val="auto"/>
              </w:rPr>
              <w:t>17</w:t>
            </w:r>
          </w:p>
        </w:tc>
      </w:tr>
      <w:tr>
        <w:trPr>
          <w:trHeight w:val="144"/>
        </w:trPr>
        <w:tc>
          <w:tcPr>
            <w:tcW w:w="20" w:type="dxa"/>
            <w:vAlign w:val="bottom"/>
          </w:tcPr>
          <w:p>
            <w:pPr>
              <w:spacing w:after="0"/>
              <w:rPr>
                <w:sz w:val="12"/>
                <w:szCs w:val="12"/>
                <w:color w:val="auto"/>
              </w:rPr>
            </w:pPr>
          </w:p>
        </w:tc>
        <w:tc>
          <w:tcPr>
            <w:tcW w:w="7800" w:type="dxa"/>
            <w:vAlign w:val="bottom"/>
          </w:tcPr>
          <w:p>
            <w:pPr>
              <w:ind w:left="120"/>
              <w:spacing w:after="0"/>
              <w:rPr>
                <w:sz w:val="20"/>
                <w:szCs w:val="20"/>
                <w:color w:val="auto"/>
              </w:rPr>
            </w:pPr>
            <w:r>
              <w:rPr>
                <w:rFonts w:ascii="Arial" w:cs="Arial" w:eastAsia="Arial" w:hAnsi="Arial"/>
                <w:sz w:val="12"/>
                <w:szCs w:val="12"/>
                <w:color w:val="auto"/>
              </w:rPr>
              <w:t>Sempra LNG</w:t>
            </w:r>
          </w:p>
        </w:tc>
        <w:tc>
          <w:tcPr>
            <w:tcW w:w="13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(28)</w:t>
            </w:r>
          </w:p>
        </w:tc>
        <w:tc>
          <w:tcPr>
            <w:tcW w:w="3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w:t>
            </w:r>
          </w:p>
        </w:tc>
      </w:tr>
      <w:tr>
        <w:trPr>
          <w:trHeight w:val="135"/>
        </w:trPr>
        <w:tc>
          <w:tcPr>
            <w:tcW w:w="20" w:type="dxa"/>
            <w:vAlign w:val="bottom"/>
          </w:tcPr>
          <w:p>
            <w:pPr>
              <w:spacing w:after="0"/>
              <w:rPr>
                <w:sz w:val="11"/>
                <w:szCs w:val="11"/>
                <w:color w:val="auto"/>
              </w:rPr>
            </w:pPr>
          </w:p>
        </w:tc>
        <w:tc>
          <w:tcPr>
            <w:tcW w:w="7800" w:type="dxa"/>
            <w:vAlign w:val="bottom"/>
          </w:tcPr>
          <w:p>
            <w:pPr>
              <w:ind w:left="260"/>
              <w:spacing w:after="0" w:line="134" w:lineRule="exact"/>
              <w:rPr>
                <w:sz w:val="20"/>
                <w:szCs w:val="20"/>
                <w:color w:val="auto"/>
              </w:rPr>
            </w:pPr>
            <w:r>
              <w:rPr>
                <w:rFonts w:ascii="Arial" w:cs="Arial" w:eastAsia="Arial" w:hAnsi="Arial"/>
                <w:sz w:val="12"/>
                <w:szCs w:val="12"/>
                <w:color w:val="auto"/>
              </w:rPr>
              <w:t>Total</w:t>
            </w:r>
          </w:p>
        </w:tc>
        <w:tc>
          <w:tcPr>
            <w:tcW w:w="1380" w:type="dxa"/>
            <w:vAlign w:val="bottom"/>
            <w:tcBorders>
              <w:bottom w:val="single" w:sz="8" w:color="auto"/>
            </w:tcBorders>
          </w:tcPr>
          <w:p>
            <w:pPr>
              <w:jc w:val="right"/>
              <w:ind w:right="1000"/>
              <w:spacing w:after="0" w:line="134" w:lineRule="exact"/>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ind w:right="58"/>
              <w:spacing w:after="0" w:line="134" w:lineRule="exact"/>
              <w:rPr>
                <w:sz w:val="20"/>
                <w:szCs w:val="20"/>
                <w:color w:val="auto"/>
              </w:rPr>
            </w:pPr>
            <w:r>
              <w:rPr>
                <w:rFonts w:ascii="Arial" w:cs="Arial" w:eastAsia="Arial" w:hAnsi="Arial"/>
                <w:sz w:val="12"/>
                <w:szCs w:val="12"/>
                <w:color w:val="auto"/>
              </w:rPr>
              <w:t>(9)</w:t>
            </w:r>
          </w:p>
        </w:tc>
        <w:tc>
          <w:tcPr>
            <w:tcW w:w="320" w:type="dxa"/>
            <w:vAlign w:val="bottom"/>
            <w:tcBorders>
              <w:bottom w:val="single" w:sz="8" w:color="auto"/>
            </w:tcBorders>
          </w:tcPr>
          <w:p>
            <w:pPr>
              <w:jc w:val="right"/>
              <w:ind w:right="58"/>
              <w:spacing w:after="0" w:line="134" w:lineRule="exact"/>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(18)</w:t>
            </w:r>
          </w:p>
        </w:tc>
      </w:tr>
      <w:tr>
        <w:trPr>
          <w:trHeight w:val="260"/>
        </w:trPr>
        <w:tc>
          <w:tcPr>
            <w:tcW w:w="7820" w:type="dxa"/>
            <w:vAlign w:val="bottom"/>
            <w:gridSpan w:val="2"/>
          </w:tcPr>
          <w:p>
            <w:pPr>
              <w:spacing w:after="0"/>
              <w:rPr>
                <w:sz w:val="20"/>
                <w:szCs w:val="20"/>
                <w:color w:val="auto"/>
              </w:rPr>
            </w:pPr>
            <w:r>
              <w:rPr>
                <w:rFonts w:ascii="Arial" w:cs="Arial" w:eastAsia="Arial" w:hAnsi="Arial"/>
                <w:sz w:val="12"/>
                <w:szCs w:val="12"/>
                <w:color w:val="auto"/>
              </w:rPr>
              <w:t>Due to unconsolidated affiliates:</w:t>
            </w:r>
          </w:p>
        </w:tc>
        <w:tc>
          <w:tcPr>
            <w:tcW w:w="1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7800" w:type="dxa"/>
            <w:vAlign w:val="bottom"/>
          </w:tcPr>
          <w:p>
            <w:pPr>
              <w:ind w:left="120"/>
              <w:spacing w:after="0"/>
              <w:rPr>
                <w:sz w:val="20"/>
                <w:szCs w:val="20"/>
                <w:color w:val="auto"/>
              </w:rPr>
            </w:pPr>
            <w:r>
              <w:rPr>
                <w:rFonts w:ascii="Arial" w:cs="Arial" w:eastAsia="Arial" w:hAnsi="Arial"/>
                <w:sz w:val="12"/>
                <w:szCs w:val="12"/>
                <w:color w:val="auto"/>
              </w:rPr>
              <w:t>Sempra Generation</w:t>
            </w:r>
          </w:p>
        </w:tc>
        <w:tc>
          <w:tcPr>
            <w:tcW w:w="1380" w:type="dxa"/>
            <w:vAlign w:val="bottom"/>
          </w:tcPr>
          <w:p>
            <w:pPr>
              <w:jc w:val="right"/>
              <w:ind w:right="100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98"/>
              <w:spacing w:after="0"/>
              <w:rPr>
                <w:sz w:val="20"/>
                <w:szCs w:val="20"/>
                <w:color w:val="auto"/>
              </w:rPr>
            </w:pPr>
            <w:r>
              <w:rPr>
                <w:rFonts w:ascii="Arial" w:cs="Arial" w:eastAsia="Arial" w:hAnsi="Arial"/>
                <w:sz w:val="12"/>
                <w:szCs w:val="12"/>
                <w:color w:val="auto"/>
              </w:rPr>
              <w:t>7</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41"/>
        </w:trPr>
        <w:tc>
          <w:tcPr>
            <w:tcW w:w="20" w:type="dxa"/>
            <w:vAlign w:val="bottom"/>
          </w:tcPr>
          <w:p>
            <w:pPr>
              <w:spacing w:after="0"/>
              <w:rPr>
                <w:sz w:val="12"/>
                <w:szCs w:val="12"/>
                <w:color w:val="auto"/>
              </w:rPr>
            </w:pPr>
          </w:p>
        </w:tc>
        <w:tc>
          <w:tcPr>
            <w:tcW w:w="7800" w:type="dxa"/>
            <w:vAlign w:val="bottom"/>
          </w:tcPr>
          <w:p>
            <w:pPr>
              <w:ind w:left="120"/>
              <w:spacing w:after="0"/>
              <w:rPr>
                <w:sz w:val="20"/>
                <w:szCs w:val="20"/>
                <w:color w:val="auto"/>
              </w:rPr>
            </w:pPr>
            <w:r>
              <w:rPr>
                <w:rFonts w:ascii="Arial" w:cs="Arial" w:eastAsia="Arial" w:hAnsi="Arial"/>
                <w:sz w:val="12"/>
                <w:szCs w:val="12"/>
                <w:color w:val="auto"/>
              </w:rPr>
              <w:t>Sempra LNG</w:t>
            </w:r>
          </w:p>
        </w:tc>
        <w:tc>
          <w:tcPr>
            <w:tcW w:w="1380" w:type="dxa"/>
            <w:vAlign w:val="bottom"/>
          </w:tcPr>
          <w:p>
            <w:pPr>
              <w:spacing w:after="0"/>
              <w:rPr>
                <w:sz w:val="12"/>
                <w:szCs w:val="12"/>
                <w:color w:val="auto"/>
              </w:rPr>
            </w:pPr>
          </w:p>
        </w:tc>
        <w:tc>
          <w:tcPr>
            <w:tcW w:w="560" w:type="dxa"/>
            <w:vAlign w:val="bottom"/>
          </w:tcPr>
          <w:p>
            <w:pPr>
              <w:jc w:val="right"/>
              <w:ind w:right="98"/>
              <w:spacing w:after="0"/>
              <w:rPr>
                <w:sz w:val="20"/>
                <w:szCs w:val="20"/>
                <w:color w:val="auto"/>
              </w:rPr>
            </w:pPr>
            <w:r>
              <w:rPr>
                <w:rFonts w:ascii="Arial" w:cs="Arial" w:eastAsia="Arial" w:hAnsi="Arial"/>
                <w:sz w:val="12"/>
                <w:szCs w:val="12"/>
                <w:color w:val="auto"/>
              </w:rPr>
              <w:t>17</w:t>
            </w:r>
          </w:p>
        </w:tc>
        <w:tc>
          <w:tcPr>
            <w:tcW w:w="3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44"/>
        </w:trPr>
        <w:tc>
          <w:tcPr>
            <w:tcW w:w="20" w:type="dxa"/>
            <w:vAlign w:val="bottom"/>
          </w:tcPr>
          <w:p>
            <w:pPr>
              <w:spacing w:after="0"/>
              <w:rPr>
                <w:sz w:val="12"/>
                <w:szCs w:val="12"/>
                <w:color w:val="auto"/>
              </w:rPr>
            </w:pPr>
          </w:p>
        </w:tc>
        <w:tc>
          <w:tcPr>
            <w:tcW w:w="7800" w:type="dxa"/>
            <w:vAlign w:val="bottom"/>
          </w:tcPr>
          <w:p>
            <w:pPr>
              <w:ind w:left="120"/>
              <w:spacing w:after="0"/>
              <w:rPr>
                <w:sz w:val="20"/>
                <w:szCs w:val="20"/>
                <w:color w:val="auto"/>
              </w:rPr>
            </w:pPr>
            <w:r>
              <w:rPr>
                <w:rFonts w:ascii="Arial" w:cs="Arial" w:eastAsia="Arial" w:hAnsi="Arial"/>
                <w:sz w:val="12"/>
                <w:szCs w:val="12"/>
                <w:color w:val="auto"/>
              </w:rPr>
              <w:t>Parent and other</w:t>
            </w:r>
          </w:p>
        </w:tc>
        <w:tc>
          <w:tcPr>
            <w:tcW w:w="13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11</w:t>
            </w:r>
          </w:p>
        </w:tc>
        <w:tc>
          <w:tcPr>
            <w:tcW w:w="3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r>
      <w:tr>
        <w:trPr>
          <w:trHeight w:val="135"/>
        </w:trPr>
        <w:tc>
          <w:tcPr>
            <w:tcW w:w="20" w:type="dxa"/>
            <w:vAlign w:val="bottom"/>
          </w:tcPr>
          <w:p>
            <w:pPr>
              <w:spacing w:after="0"/>
              <w:rPr>
                <w:sz w:val="11"/>
                <w:szCs w:val="11"/>
                <w:color w:val="auto"/>
              </w:rPr>
            </w:pPr>
          </w:p>
        </w:tc>
        <w:tc>
          <w:tcPr>
            <w:tcW w:w="7800" w:type="dxa"/>
            <w:vAlign w:val="bottom"/>
          </w:tcPr>
          <w:p>
            <w:pPr>
              <w:ind w:left="260"/>
              <w:spacing w:after="0" w:line="134" w:lineRule="exact"/>
              <w:rPr>
                <w:sz w:val="20"/>
                <w:szCs w:val="20"/>
                <w:color w:val="auto"/>
              </w:rPr>
            </w:pPr>
            <w:r>
              <w:rPr>
                <w:rFonts w:ascii="Arial" w:cs="Arial" w:eastAsia="Arial" w:hAnsi="Arial"/>
                <w:sz w:val="12"/>
                <w:szCs w:val="12"/>
                <w:color w:val="auto"/>
              </w:rPr>
              <w:t>Total</w:t>
            </w:r>
          </w:p>
        </w:tc>
        <w:tc>
          <w:tcPr>
            <w:tcW w:w="1380" w:type="dxa"/>
            <w:vAlign w:val="bottom"/>
            <w:tcBorders>
              <w:bottom w:val="single" w:sz="8" w:color="auto"/>
            </w:tcBorders>
          </w:tcPr>
          <w:p>
            <w:pPr>
              <w:jc w:val="right"/>
              <w:ind w:right="1000"/>
              <w:spacing w:after="0" w:line="134" w:lineRule="exact"/>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ind w:right="98"/>
              <w:spacing w:after="0" w:line="134" w:lineRule="exact"/>
              <w:rPr>
                <w:sz w:val="20"/>
                <w:szCs w:val="20"/>
                <w:color w:val="auto"/>
              </w:rPr>
            </w:pPr>
            <w:r>
              <w:rPr>
                <w:rFonts w:ascii="Arial" w:cs="Arial" w:eastAsia="Arial" w:hAnsi="Arial"/>
                <w:sz w:val="12"/>
                <w:szCs w:val="12"/>
                <w:color w:val="auto"/>
              </w:rPr>
              <w:t>35</w:t>
            </w:r>
          </w:p>
        </w:tc>
        <w:tc>
          <w:tcPr>
            <w:tcW w:w="320" w:type="dxa"/>
            <w:vAlign w:val="bottom"/>
            <w:tcBorders>
              <w:bottom w:val="single" w:sz="8" w:color="auto"/>
            </w:tcBorders>
          </w:tcPr>
          <w:p>
            <w:pPr>
              <w:jc w:val="right"/>
              <w:ind w:right="58"/>
              <w:spacing w:after="0" w:line="134" w:lineRule="exact"/>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35</w:t>
            </w:r>
          </w:p>
        </w:tc>
      </w:tr>
      <w:tr>
        <w:trPr>
          <w:trHeight w:val="260"/>
        </w:trPr>
        <w:tc>
          <w:tcPr>
            <w:tcW w:w="7820" w:type="dxa"/>
            <w:vAlign w:val="bottom"/>
            <w:gridSpan w:val="2"/>
          </w:tcPr>
          <w:p>
            <w:pPr>
              <w:spacing w:after="0"/>
              <w:rPr>
                <w:sz w:val="20"/>
                <w:szCs w:val="20"/>
                <w:color w:val="auto"/>
              </w:rPr>
            </w:pPr>
            <w:r>
              <w:rPr>
                <w:rFonts w:ascii="Arial" w:cs="Arial" w:eastAsia="Arial" w:hAnsi="Arial"/>
                <w:sz w:val="12"/>
                <w:szCs w:val="12"/>
                <w:color w:val="auto"/>
              </w:rPr>
              <w:t>Due from unconsolidated affiliates:</w:t>
            </w:r>
          </w:p>
        </w:tc>
        <w:tc>
          <w:tcPr>
            <w:tcW w:w="1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7800" w:type="dxa"/>
            <w:vAlign w:val="bottom"/>
          </w:tcPr>
          <w:p>
            <w:pPr>
              <w:ind w:left="120"/>
              <w:spacing w:after="0"/>
              <w:rPr>
                <w:sz w:val="20"/>
                <w:szCs w:val="20"/>
                <w:color w:val="auto"/>
              </w:rPr>
            </w:pPr>
            <w:r>
              <w:rPr>
                <w:rFonts w:ascii="Arial" w:cs="Arial" w:eastAsia="Arial" w:hAnsi="Arial"/>
                <w:sz w:val="12"/>
                <w:szCs w:val="12"/>
                <w:color w:val="auto"/>
              </w:rPr>
              <w:t>SoCalGas</w:t>
            </w:r>
          </w:p>
        </w:tc>
        <w:tc>
          <w:tcPr>
            <w:tcW w:w="1380" w:type="dxa"/>
            <w:vAlign w:val="bottom"/>
          </w:tcPr>
          <w:p>
            <w:pPr>
              <w:jc w:val="right"/>
              <w:ind w:right="100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41"/>
        </w:trPr>
        <w:tc>
          <w:tcPr>
            <w:tcW w:w="20" w:type="dxa"/>
            <w:vAlign w:val="bottom"/>
          </w:tcPr>
          <w:p>
            <w:pPr>
              <w:spacing w:after="0"/>
              <w:rPr>
                <w:sz w:val="12"/>
                <w:szCs w:val="12"/>
                <w:color w:val="auto"/>
              </w:rPr>
            </w:pPr>
          </w:p>
        </w:tc>
        <w:tc>
          <w:tcPr>
            <w:tcW w:w="7800" w:type="dxa"/>
            <w:vAlign w:val="bottom"/>
          </w:tcPr>
          <w:p>
            <w:pPr>
              <w:ind w:left="120"/>
              <w:spacing w:after="0"/>
              <w:rPr>
                <w:sz w:val="20"/>
                <w:szCs w:val="20"/>
                <w:color w:val="auto"/>
              </w:rPr>
            </w:pPr>
            <w:r>
              <w:rPr>
                <w:rFonts w:ascii="Arial" w:cs="Arial" w:eastAsia="Arial" w:hAnsi="Arial"/>
                <w:sz w:val="12"/>
                <w:szCs w:val="12"/>
                <w:color w:val="auto"/>
              </w:rPr>
              <w:t>Sempra Generation</w:t>
            </w:r>
          </w:p>
        </w:tc>
        <w:tc>
          <w:tcPr>
            <w:tcW w:w="1380" w:type="dxa"/>
            <w:vAlign w:val="bottom"/>
          </w:tcPr>
          <w:p>
            <w:pPr>
              <w:spacing w:after="0"/>
              <w:rPr>
                <w:sz w:val="12"/>
                <w:szCs w:val="12"/>
                <w:color w:val="auto"/>
              </w:rPr>
            </w:pPr>
          </w:p>
        </w:tc>
        <w:tc>
          <w:tcPr>
            <w:tcW w:w="560" w:type="dxa"/>
            <w:vAlign w:val="bottom"/>
          </w:tcPr>
          <w:p>
            <w:pPr>
              <w:jc w:val="right"/>
              <w:ind w:right="98"/>
              <w:spacing w:after="0"/>
              <w:rPr>
                <w:sz w:val="20"/>
                <w:szCs w:val="20"/>
                <w:color w:val="auto"/>
              </w:rPr>
            </w:pPr>
            <w:r>
              <w:rPr>
                <w:rFonts w:ascii="Arial" w:cs="Arial" w:eastAsia="Arial" w:hAnsi="Arial"/>
                <w:sz w:val="12"/>
                <w:szCs w:val="12"/>
                <w:color w:val="auto"/>
              </w:rPr>
              <w:t>4</w:t>
            </w:r>
          </w:p>
        </w:tc>
        <w:tc>
          <w:tcPr>
            <w:tcW w:w="32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34"/>
        </w:trPr>
        <w:tc>
          <w:tcPr>
            <w:tcW w:w="20" w:type="dxa"/>
            <w:vAlign w:val="bottom"/>
          </w:tcPr>
          <w:p>
            <w:pPr>
              <w:spacing w:after="0"/>
              <w:rPr>
                <w:sz w:val="11"/>
                <w:szCs w:val="11"/>
                <w:color w:val="auto"/>
              </w:rPr>
            </w:pPr>
          </w:p>
        </w:tc>
        <w:tc>
          <w:tcPr>
            <w:tcW w:w="7800" w:type="dxa"/>
            <w:vAlign w:val="bottom"/>
          </w:tcPr>
          <w:p>
            <w:pPr>
              <w:ind w:left="120"/>
              <w:spacing w:after="0" w:line="134" w:lineRule="exact"/>
              <w:rPr>
                <w:sz w:val="20"/>
                <w:szCs w:val="20"/>
                <w:color w:val="auto"/>
              </w:rPr>
            </w:pPr>
            <w:r>
              <w:rPr>
                <w:rFonts w:ascii="Arial" w:cs="Arial" w:eastAsia="Arial" w:hAnsi="Arial"/>
                <w:sz w:val="12"/>
                <w:szCs w:val="12"/>
                <w:color w:val="auto"/>
              </w:rPr>
              <w:t>Sempra LNG</w:t>
            </w:r>
          </w:p>
        </w:tc>
        <w:tc>
          <w:tcPr>
            <w:tcW w:w="1380" w:type="dxa"/>
            <w:vAlign w:val="bottom"/>
          </w:tcPr>
          <w:p>
            <w:pPr>
              <w:spacing w:after="0"/>
              <w:rPr>
                <w:sz w:val="11"/>
                <w:szCs w:val="11"/>
                <w:color w:val="auto"/>
              </w:rPr>
            </w:pPr>
          </w:p>
        </w:tc>
        <w:tc>
          <w:tcPr>
            <w:tcW w:w="560" w:type="dxa"/>
            <w:vAlign w:val="bottom"/>
          </w:tcPr>
          <w:p>
            <w:pPr>
              <w:jc w:val="right"/>
              <w:ind w:right="98"/>
              <w:spacing w:after="0" w:line="134" w:lineRule="exact"/>
              <w:rPr>
                <w:sz w:val="20"/>
                <w:szCs w:val="20"/>
                <w:color w:val="auto"/>
              </w:rPr>
            </w:pPr>
            <w:r>
              <w:rPr>
                <w:rFonts w:ascii="Arial" w:cs="Arial" w:eastAsia="Arial" w:hAnsi="Arial"/>
                <w:sz w:val="12"/>
                <w:szCs w:val="12"/>
                <w:color w:val="auto"/>
              </w:rPr>
              <w:t>8</w:t>
            </w:r>
          </w:p>
        </w:tc>
        <w:tc>
          <w:tcPr>
            <w:tcW w:w="320" w:type="dxa"/>
            <w:vAlign w:val="bottom"/>
          </w:tcPr>
          <w:p>
            <w:pPr>
              <w:spacing w:after="0"/>
              <w:rPr>
                <w:sz w:val="11"/>
                <w:szCs w:val="11"/>
                <w:color w:val="auto"/>
              </w:rPr>
            </w:pPr>
          </w:p>
        </w:tc>
        <w:tc>
          <w:tcPr>
            <w:tcW w:w="1380" w:type="dxa"/>
            <w:vAlign w:val="bottom"/>
          </w:tcPr>
          <w:p>
            <w:pPr>
              <w:jc w:val="right"/>
              <w:spacing w:after="0" w:line="134" w:lineRule="exact"/>
              <w:rPr>
                <w:sz w:val="20"/>
                <w:szCs w:val="20"/>
                <w:color w:val="auto"/>
              </w:rPr>
            </w:pPr>
            <w:r>
              <w:rPr>
                <w:rFonts w:ascii="Arial" w:cs="Arial" w:eastAsia="Arial" w:hAnsi="Arial"/>
                <w:sz w:val="12"/>
                <w:szCs w:val="12"/>
                <w:color w:val="auto"/>
              </w:rPr>
              <w:t>13</w:t>
            </w:r>
          </w:p>
        </w:tc>
      </w:tr>
      <w:tr>
        <w:trPr>
          <w:trHeight w:val="144"/>
        </w:trPr>
        <w:tc>
          <w:tcPr>
            <w:tcW w:w="20" w:type="dxa"/>
            <w:vAlign w:val="bottom"/>
          </w:tcPr>
          <w:p>
            <w:pPr>
              <w:spacing w:after="0"/>
              <w:rPr>
                <w:sz w:val="12"/>
                <w:szCs w:val="12"/>
                <w:color w:val="auto"/>
              </w:rPr>
            </w:pPr>
          </w:p>
        </w:tc>
        <w:tc>
          <w:tcPr>
            <w:tcW w:w="7800" w:type="dxa"/>
            <w:vAlign w:val="bottom"/>
          </w:tcPr>
          <w:p>
            <w:pPr>
              <w:ind w:left="120"/>
              <w:spacing w:after="0"/>
              <w:rPr>
                <w:sz w:val="20"/>
                <w:szCs w:val="20"/>
                <w:color w:val="auto"/>
              </w:rPr>
            </w:pPr>
            <w:r>
              <w:rPr>
                <w:rFonts w:ascii="Arial" w:cs="Arial" w:eastAsia="Arial" w:hAnsi="Arial"/>
                <w:sz w:val="12"/>
                <w:szCs w:val="12"/>
                <w:color w:val="auto"/>
              </w:rPr>
              <w:t>Parent and other</w:t>
            </w:r>
          </w:p>
        </w:tc>
        <w:tc>
          <w:tcPr>
            <w:tcW w:w="13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5</w:t>
            </w:r>
          </w:p>
        </w:tc>
        <w:tc>
          <w:tcPr>
            <w:tcW w:w="3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w:t>
            </w:r>
          </w:p>
        </w:tc>
      </w:tr>
      <w:tr>
        <w:trPr>
          <w:trHeight w:val="135"/>
        </w:trPr>
        <w:tc>
          <w:tcPr>
            <w:tcW w:w="20" w:type="dxa"/>
            <w:vAlign w:val="bottom"/>
          </w:tcPr>
          <w:p>
            <w:pPr>
              <w:spacing w:after="0"/>
              <w:rPr>
                <w:sz w:val="11"/>
                <w:szCs w:val="11"/>
                <w:color w:val="auto"/>
              </w:rPr>
            </w:pPr>
          </w:p>
        </w:tc>
        <w:tc>
          <w:tcPr>
            <w:tcW w:w="7800" w:type="dxa"/>
            <w:vAlign w:val="bottom"/>
            <w:tcBorders>
              <w:bottom w:val="single" w:sz="8" w:color="auto"/>
            </w:tcBorders>
          </w:tcPr>
          <w:p>
            <w:pPr>
              <w:ind w:left="260"/>
              <w:spacing w:after="0" w:line="134" w:lineRule="exact"/>
              <w:rPr>
                <w:sz w:val="20"/>
                <w:szCs w:val="20"/>
                <w:color w:val="auto"/>
              </w:rPr>
            </w:pPr>
            <w:r>
              <w:rPr>
                <w:rFonts w:ascii="Arial" w:cs="Arial" w:eastAsia="Arial" w:hAnsi="Arial"/>
                <w:sz w:val="12"/>
                <w:szCs w:val="12"/>
                <w:color w:val="auto"/>
              </w:rPr>
              <w:t>Total</w:t>
            </w:r>
          </w:p>
        </w:tc>
        <w:tc>
          <w:tcPr>
            <w:tcW w:w="1380" w:type="dxa"/>
            <w:vAlign w:val="bottom"/>
            <w:tcBorders>
              <w:bottom w:val="single" w:sz="8" w:color="auto"/>
            </w:tcBorders>
          </w:tcPr>
          <w:p>
            <w:pPr>
              <w:jc w:val="right"/>
              <w:ind w:right="1000"/>
              <w:spacing w:after="0" w:line="134" w:lineRule="exact"/>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ind w:right="98"/>
              <w:spacing w:after="0" w:line="134" w:lineRule="exact"/>
              <w:rPr>
                <w:sz w:val="20"/>
                <w:szCs w:val="20"/>
                <w:color w:val="auto"/>
              </w:rPr>
            </w:pPr>
            <w:r>
              <w:rPr>
                <w:rFonts w:ascii="Arial" w:cs="Arial" w:eastAsia="Arial" w:hAnsi="Arial"/>
                <w:sz w:val="12"/>
                <w:szCs w:val="12"/>
                <w:color w:val="auto"/>
              </w:rPr>
              <w:t>17</w:t>
            </w:r>
          </w:p>
        </w:tc>
        <w:tc>
          <w:tcPr>
            <w:tcW w:w="320" w:type="dxa"/>
            <w:vAlign w:val="bottom"/>
            <w:tcBorders>
              <w:bottom w:val="single" w:sz="8" w:color="auto"/>
            </w:tcBorders>
          </w:tcPr>
          <w:p>
            <w:pPr>
              <w:jc w:val="right"/>
              <w:ind w:right="58"/>
              <w:spacing w:after="0" w:line="134" w:lineRule="exact"/>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34</w:t>
            </w:r>
          </w:p>
        </w:tc>
      </w:tr>
    </w:tbl>
    <w:p>
      <w:pPr>
        <w:spacing w:after="0" w:line="3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INCOME, NET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Other Income, Net on the Condensed Consolidated Statements of Operations consists of the following:</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(Dollars in millions)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480" w:type="dxa"/>
            <w:vAlign w:val="bottom"/>
            <w:gridSpan w:val="3"/>
          </w:tcPr>
          <w:p>
            <w:pPr>
              <w:jc w:val="right"/>
              <w:ind w:right="219"/>
              <w:spacing w:after="0"/>
              <w:rPr>
                <w:sz w:val="20"/>
                <w:szCs w:val="20"/>
                <w:color w:val="auto"/>
              </w:rPr>
            </w:pPr>
            <w:r>
              <w:rPr>
                <w:rFonts w:ascii="Arial" w:cs="Arial" w:eastAsia="Arial" w:hAnsi="Arial"/>
                <w:sz w:val="11"/>
                <w:szCs w:val="11"/>
                <w:color w:val="auto"/>
              </w:rPr>
              <w:t>Three months ended March 31,</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4"/>
        </w:trPr>
        <w:tc>
          <w:tcPr>
            <w:tcW w:w="20" w:type="dxa"/>
            <w:vAlign w:val="bottom"/>
          </w:tcPr>
          <w:p>
            <w:pPr>
              <w:spacing w:after="0"/>
              <w:rPr>
                <w:sz w:val="10"/>
                <w:szCs w:val="10"/>
                <w:color w:val="auto"/>
              </w:rPr>
            </w:pPr>
          </w:p>
        </w:tc>
        <w:tc>
          <w:tcPr>
            <w:tcW w:w="6140" w:type="dxa"/>
            <w:vAlign w:val="bottom"/>
            <w:tcBorders>
              <w:bottom w:val="single" w:sz="8" w:color="auto"/>
            </w:tcBorders>
          </w:tcPr>
          <w:p>
            <w:pPr>
              <w:spacing w:after="0"/>
              <w:rPr>
                <w:sz w:val="10"/>
                <w:szCs w:val="10"/>
                <w:color w:val="auto"/>
              </w:rPr>
            </w:pPr>
          </w:p>
        </w:tc>
        <w:tc>
          <w:tcPr>
            <w:tcW w:w="3480" w:type="dxa"/>
            <w:vAlign w:val="bottom"/>
            <w:tcBorders>
              <w:bottom w:val="single" w:sz="8" w:color="auto"/>
            </w:tcBorders>
            <w:gridSpan w:val="2"/>
          </w:tcPr>
          <w:p>
            <w:pPr>
              <w:jc w:val="right"/>
              <w:ind w:right="160"/>
              <w:spacing w:after="0" w:line="123" w:lineRule="exact"/>
              <w:rPr>
                <w:sz w:val="20"/>
                <w:szCs w:val="20"/>
                <w:color w:val="auto"/>
              </w:rPr>
            </w:pPr>
            <w:r>
              <w:rPr>
                <w:rFonts w:ascii="Arial" w:cs="Arial" w:eastAsia="Arial" w:hAnsi="Arial"/>
                <w:sz w:val="11"/>
                <w:szCs w:val="11"/>
                <w:color w:val="auto"/>
              </w:rPr>
              <w:t>2011</w:t>
            </w:r>
          </w:p>
        </w:tc>
        <w:tc>
          <w:tcPr>
            <w:tcW w:w="3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159"/>
              <w:spacing w:after="0" w:line="123" w:lineRule="exact"/>
              <w:rPr>
                <w:sz w:val="20"/>
                <w:szCs w:val="20"/>
                <w:color w:val="auto"/>
              </w:rPr>
            </w:pPr>
            <w:r>
              <w:rPr>
                <w:rFonts w:ascii="Arial" w:cs="Arial" w:eastAsia="Arial" w:hAnsi="Arial"/>
                <w:sz w:val="11"/>
                <w:szCs w:val="11"/>
                <w:color w:val="auto"/>
              </w:rPr>
              <w:t>2010</w:t>
            </w:r>
          </w:p>
        </w:tc>
        <w:tc>
          <w:tcPr>
            <w:tcW w:w="3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6140" w:type="dxa"/>
            <w:vAlign w:val="bottom"/>
          </w:tcPr>
          <w:p>
            <w:pPr>
              <w:spacing w:after="0" w:line="126" w:lineRule="exact"/>
              <w:rPr>
                <w:sz w:val="20"/>
                <w:szCs w:val="20"/>
                <w:color w:val="auto"/>
              </w:rPr>
            </w:pPr>
            <w:r>
              <w:rPr>
                <w:rFonts w:ascii="Arial" w:cs="Arial" w:eastAsia="Arial" w:hAnsi="Arial"/>
                <w:sz w:val="12"/>
                <w:szCs w:val="12"/>
                <w:b w:val="1"/>
                <w:bCs w:val="1"/>
                <w:color w:val="auto"/>
              </w:rPr>
              <w:t>Sempra Energy Consolidated:</w:t>
            </w:r>
          </w:p>
        </w:tc>
        <w:tc>
          <w:tcPr>
            <w:tcW w:w="2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4"/>
        </w:trPr>
        <w:tc>
          <w:tcPr>
            <w:tcW w:w="6160" w:type="dxa"/>
            <w:vAlign w:val="bottom"/>
            <w:gridSpan w:val="2"/>
          </w:tcPr>
          <w:p>
            <w:pPr>
              <w:spacing w:after="0" w:line="134" w:lineRule="exact"/>
              <w:rPr>
                <w:sz w:val="20"/>
                <w:szCs w:val="20"/>
                <w:color w:val="auto"/>
              </w:rPr>
            </w:pPr>
            <w:r>
              <w:rPr>
                <w:rFonts w:ascii="Arial" w:cs="Arial" w:eastAsia="Arial" w:hAnsi="Arial"/>
                <w:sz w:val="12"/>
                <w:szCs w:val="12"/>
                <w:color w:val="auto"/>
              </w:rPr>
              <w:t>Allowance for equity funds used during construction</w:t>
            </w:r>
          </w:p>
        </w:tc>
        <w:tc>
          <w:tcPr>
            <w:tcW w:w="3480" w:type="dxa"/>
            <w:vAlign w:val="bottom"/>
            <w:gridSpan w:val="2"/>
          </w:tcPr>
          <w:p>
            <w:pPr>
              <w:jc w:val="right"/>
              <w:ind w:right="900"/>
              <w:spacing w:after="0" w:line="134" w:lineRule="exact"/>
              <w:rPr>
                <w:sz w:val="20"/>
                <w:szCs w:val="20"/>
                <w:color w:val="auto"/>
              </w:rPr>
            </w:pPr>
            <w:r>
              <w:rPr>
                <w:rFonts w:ascii="Arial" w:cs="Arial" w:eastAsia="Arial" w:hAnsi="Arial"/>
                <w:sz w:val="12"/>
                <w:szCs w:val="12"/>
                <w:color w:val="auto"/>
              </w:rPr>
              <w:t>$</w:t>
            </w: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19</w:t>
            </w:r>
          </w:p>
        </w:tc>
        <w:tc>
          <w:tcPr>
            <w:tcW w:w="1060" w:type="dxa"/>
            <w:vAlign w:val="bottom"/>
          </w:tcPr>
          <w:p>
            <w:pPr>
              <w:jc w:val="right"/>
              <w:ind w:right="919"/>
              <w:spacing w:after="0" w:line="134" w:lineRule="exact"/>
              <w:rPr>
                <w:sz w:val="20"/>
                <w:szCs w:val="20"/>
                <w:color w:val="auto"/>
              </w:rPr>
            </w:pPr>
            <w:r>
              <w:rPr>
                <w:rFonts w:ascii="Arial" w:cs="Arial" w:eastAsia="Arial" w:hAnsi="Arial"/>
                <w:sz w:val="12"/>
                <w:szCs w:val="12"/>
                <w:color w:val="auto"/>
                <w:w w:val="89"/>
              </w:rPr>
              <w:t>$</w:t>
            </w: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13</w:t>
            </w:r>
          </w:p>
        </w:tc>
        <w:tc>
          <w:tcPr>
            <w:tcW w:w="20" w:type="dxa"/>
            <w:vAlign w:val="bottom"/>
          </w:tcPr>
          <w:p>
            <w:pPr>
              <w:spacing w:after="0"/>
              <w:rPr>
                <w:sz w:val="11"/>
                <w:szCs w:val="11"/>
                <w:color w:val="auto"/>
              </w:rPr>
            </w:pPr>
          </w:p>
        </w:tc>
      </w:tr>
      <w:tr>
        <w:trPr>
          <w:trHeight w:val="134"/>
        </w:trPr>
        <w:tc>
          <w:tcPr>
            <w:tcW w:w="6160" w:type="dxa"/>
            <w:vAlign w:val="bottom"/>
            <w:gridSpan w:val="2"/>
          </w:tcPr>
          <w:p>
            <w:pPr>
              <w:spacing w:after="0" w:line="134" w:lineRule="exact"/>
              <w:rPr>
                <w:sz w:val="20"/>
                <w:szCs w:val="20"/>
                <w:color w:val="auto"/>
              </w:rPr>
            </w:pPr>
            <w:r>
              <w:rPr>
                <w:rFonts w:ascii="Arial" w:cs="Arial" w:eastAsia="Arial" w:hAnsi="Arial"/>
                <w:sz w:val="12"/>
                <w:szCs w:val="12"/>
                <w:color w:val="auto"/>
              </w:rPr>
              <w:t>Investment gains(1)</w:t>
            </w:r>
          </w:p>
        </w:tc>
        <w:tc>
          <w:tcPr>
            <w:tcW w:w="2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8</w:t>
            </w:r>
          </w:p>
        </w:tc>
        <w:tc>
          <w:tcPr>
            <w:tcW w:w="106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3</w:t>
            </w:r>
          </w:p>
        </w:tc>
        <w:tc>
          <w:tcPr>
            <w:tcW w:w="20" w:type="dxa"/>
            <w:vAlign w:val="bottom"/>
          </w:tcPr>
          <w:p>
            <w:pPr>
              <w:spacing w:after="0"/>
              <w:rPr>
                <w:sz w:val="11"/>
                <w:szCs w:val="11"/>
                <w:color w:val="auto"/>
              </w:rPr>
            </w:pPr>
          </w:p>
        </w:tc>
      </w:tr>
      <w:tr>
        <w:trPr>
          <w:trHeight w:val="134"/>
        </w:trPr>
        <w:tc>
          <w:tcPr>
            <w:tcW w:w="6160" w:type="dxa"/>
            <w:vAlign w:val="bottom"/>
            <w:gridSpan w:val="2"/>
          </w:tcPr>
          <w:p>
            <w:pPr>
              <w:spacing w:after="0" w:line="134" w:lineRule="exact"/>
              <w:rPr>
                <w:sz w:val="20"/>
                <w:szCs w:val="20"/>
                <w:color w:val="auto"/>
              </w:rPr>
            </w:pPr>
            <w:r>
              <w:rPr>
                <w:rFonts w:ascii="Arial" w:cs="Arial" w:eastAsia="Arial" w:hAnsi="Arial"/>
                <w:sz w:val="12"/>
                <w:szCs w:val="12"/>
                <w:color w:val="auto"/>
              </w:rPr>
              <w:t>Gains (losses) on interest rate and foreign exchange instruments(2)</w:t>
            </w:r>
          </w:p>
        </w:tc>
        <w:tc>
          <w:tcPr>
            <w:tcW w:w="2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10</w:t>
            </w:r>
          </w:p>
        </w:tc>
        <w:tc>
          <w:tcPr>
            <w:tcW w:w="1060" w:type="dxa"/>
            <w:vAlign w:val="bottom"/>
          </w:tcPr>
          <w:p>
            <w:pPr>
              <w:spacing w:after="0"/>
              <w:rPr>
                <w:sz w:val="11"/>
                <w:szCs w:val="11"/>
                <w:color w:val="auto"/>
              </w:rPr>
            </w:pPr>
          </w:p>
        </w:tc>
        <w:tc>
          <w:tcPr>
            <w:tcW w:w="40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(9)</w:t>
            </w:r>
          </w:p>
        </w:tc>
      </w:tr>
      <w:tr>
        <w:trPr>
          <w:trHeight w:val="134"/>
        </w:trPr>
        <w:tc>
          <w:tcPr>
            <w:tcW w:w="6160" w:type="dxa"/>
            <w:vAlign w:val="bottom"/>
            <w:gridSpan w:val="2"/>
          </w:tcPr>
          <w:p>
            <w:pPr>
              <w:spacing w:after="0" w:line="134" w:lineRule="exact"/>
              <w:rPr>
                <w:sz w:val="20"/>
                <w:szCs w:val="20"/>
                <w:color w:val="auto"/>
              </w:rPr>
            </w:pPr>
            <w:r>
              <w:rPr>
                <w:rFonts w:ascii="Arial" w:cs="Arial" w:eastAsia="Arial" w:hAnsi="Arial"/>
                <w:sz w:val="12"/>
                <w:szCs w:val="12"/>
                <w:color w:val="auto"/>
              </w:rPr>
              <w:t>Regulatory interest, net</w:t>
            </w:r>
          </w:p>
        </w:tc>
        <w:tc>
          <w:tcPr>
            <w:tcW w:w="2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060" w:type="dxa"/>
            <w:vAlign w:val="bottom"/>
          </w:tcPr>
          <w:p>
            <w:pPr>
              <w:spacing w:after="0"/>
              <w:rPr>
                <w:sz w:val="11"/>
                <w:szCs w:val="11"/>
                <w:color w:val="auto"/>
              </w:rPr>
            </w:pPr>
          </w:p>
        </w:tc>
        <w:tc>
          <w:tcPr>
            <w:tcW w:w="40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(1)</w:t>
            </w:r>
          </w:p>
        </w:tc>
      </w:tr>
      <w:tr>
        <w:trPr>
          <w:trHeight w:val="144"/>
        </w:trPr>
        <w:tc>
          <w:tcPr>
            <w:tcW w:w="6160" w:type="dxa"/>
            <w:vAlign w:val="bottom"/>
            <w:gridSpan w:val="2"/>
          </w:tcPr>
          <w:p>
            <w:pPr>
              <w:spacing w:after="0"/>
              <w:rPr>
                <w:sz w:val="20"/>
                <w:szCs w:val="20"/>
                <w:color w:val="auto"/>
              </w:rPr>
            </w:pPr>
            <w:r>
              <w:rPr>
                <w:rFonts w:ascii="Arial" w:cs="Arial" w:eastAsia="Arial" w:hAnsi="Arial"/>
                <w:sz w:val="12"/>
                <w:szCs w:val="12"/>
                <w:color w:val="auto"/>
              </w:rPr>
              <w:t>Sundry, net</w:t>
            </w:r>
          </w:p>
        </w:tc>
        <w:tc>
          <w:tcPr>
            <w:tcW w:w="244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10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6140" w:type="dxa"/>
            <w:vAlign w:val="bottom"/>
            <w:tcBorders>
              <w:bottom w:val="single" w:sz="8" w:color="auto"/>
            </w:tcBorders>
          </w:tcPr>
          <w:p>
            <w:pPr>
              <w:ind w:left="80"/>
              <w:spacing w:after="0" w:line="134" w:lineRule="exact"/>
              <w:rPr>
                <w:sz w:val="20"/>
                <w:szCs w:val="20"/>
                <w:color w:val="auto"/>
              </w:rPr>
            </w:pPr>
            <w:r>
              <w:rPr>
                <w:rFonts w:ascii="Arial" w:cs="Arial" w:eastAsia="Arial" w:hAnsi="Arial"/>
                <w:sz w:val="12"/>
                <w:szCs w:val="12"/>
                <w:color w:val="auto"/>
              </w:rPr>
              <w:t>Total</w:t>
            </w:r>
          </w:p>
        </w:tc>
        <w:tc>
          <w:tcPr>
            <w:tcW w:w="24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900"/>
              <w:spacing w:after="0" w:line="134" w:lineRule="exact"/>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43</w:t>
            </w:r>
          </w:p>
        </w:tc>
        <w:tc>
          <w:tcPr>
            <w:tcW w:w="1060" w:type="dxa"/>
            <w:vAlign w:val="bottom"/>
            <w:tcBorders>
              <w:bottom w:val="single" w:sz="8" w:color="auto"/>
            </w:tcBorders>
          </w:tcPr>
          <w:p>
            <w:pPr>
              <w:jc w:val="right"/>
              <w:ind w:right="919"/>
              <w:spacing w:after="0" w:line="134" w:lineRule="exact"/>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8</w:t>
            </w:r>
          </w:p>
        </w:tc>
        <w:tc>
          <w:tcPr>
            <w:tcW w:w="20" w:type="dxa"/>
            <w:vAlign w:val="bottom"/>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6140" w:type="dxa"/>
            <w:vAlign w:val="bottom"/>
          </w:tcPr>
          <w:p>
            <w:pPr>
              <w:spacing w:after="0" w:line="126" w:lineRule="exact"/>
              <w:rPr>
                <w:sz w:val="20"/>
                <w:szCs w:val="20"/>
                <w:color w:val="auto"/>
              </w:rPr>
            </w:pPr>
            <w:r>
              <w:rPr>
                <w:rFonts w:ascii="Arial" w:cs="Arial" w:eastAsia="Arial" w:hAnsi="Arial"/>
                <w:sz w:val="12"/>
                <w:szCs w:val="12"/>
                <w:b w:val="1"/>
                <w:bCs w:val="1"/>
                <w:color w:val="auto"/>
              </w:rPr>
              <w:t>SDG&amp;E:</w:t>
            </w:r>
          </w:p>
        </w:tc>
        <w:tc>
          <w:tcPr>
            <w:tcW w:w="2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4"/>
        </w:trPr>
        <w:tc>
          <w:tcPr>
            <w:tcW w:w="6160" w:type="dxa"/>
            <w:vAlign w:val="bottom"/>
            <w:gridSpan w:val="2"/>
          </w:tcPr>
          <w:p>
            <w:pPr>
              <w:spacing w:after="0" w:line="134" w:lineRule="exact"/>
              <w:rPr>
                <w:sz w:val="20"/>
                <w:szCs w:val="20"/>
                <w:color w:val="auto"/>
              </w:rPr>
            </w:pPr>
            <w:r>
              <w:rPr>
                <w:rFonts w:ascii="Arial" w:cs="Arial" w:eastAsia="Arial" w:hAnsi="Arial"/>
                <w:sz w:val="12"/>
                <w:szCs w:val="12"/>
                <w:color w:val="auto"/>
              </w:rPr>
              <w:t>Allowance for equity funds used during construction</w:t>
            </w:r>
          </w:p>
        </w:tc>
        <w:tc>
          <w:tcPr>
            <w:tcW w:w="3480" w:type="dxa"/>
            <w:vAlign w:val="bottom"/>
            <w:gridSpan w:val="2"/>
          </w:tcPr>
          <w:p>
            <w:pPr>
              <w:jc w:val="right"/>
              <w:ind w:right="900"/>
              <w:spacing w:after="0" w:line="134" w:lineRule="exact"/>
              <w:rPr>
                <w:sz w:val="20"/>
                <w:szCs w:val="20"/>
                <w:color w:val="auto"/>
              </w:rPr>
            </w:pPr>
            <w:r>
              <w:rPr>
                <w:rFonts w:ascii="Arial" w:cs="Arial" w:eastAsia="Arial" w:hAnsi="Arial"/>
                <w:sz w:val="12"/>
                <w:szCs w:val="12"/>
                <w:color w:val="auto"/>
              </w:rPr>
              <w:t>$</w:t>
            </w: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15</w:t>
            </w:r>
          </w:p>
        </w:tc>
        <w:tc>
          <w:tcPr>
            <w:tcW w:w="1060" w:type="dxa"/>
            <w:vAlign w:val="bottom"/>
          </w:tcPr>
          <w:p>
            <w:pPr>
              <w:jc w:val="right"/>
              <w:ind w:right="919"/>
              <w:spacing w:after="0" w:line="134" w:lineRule="exact"/>
              <w:rPr>
                <w:sz w:val="20"/>
                <w:szCs w:val="20"/>
                <w:color w:val="auto"/>
              </w:rPr>
            </w:pPr>
            <w:r>
              <w:rPr>
                <w:rFonts w:ascii="Arial" w:cs="Arial" w:eastAsia="Arial" w:hAnsi="Arial"/>
                <w:sz w:val="12"/>
                <w:szCs w:val="12"/>
                <w:color w:val="auto"/>
                <w:w w:val="89"/>
              </w:rPr>
              <w:t>$</w:t>
            </w: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9</w:t>
            </w:r>
          </w:p>
        </w:tc>
        <w:tc>
          <w:tcPr>
            <w:tcW w:w="20" w:type="dxa"/>
            <w:vAlign w:val="bottom"/>
          </w:tcPr>
          <w:p>
            <w:pPr>
              <w:spacing w:after="0"/>
              <w:rPr>
                <w:sz w:val="11"/>
                <w:szCs w:val="11"/>
                <w:color w:val="auto"/>
              </w:rPr>
            </w:pPr>
          </w:p>
        </w:tc>
      </w:tr>
      <w:tr>
        <w:trPr>
          <w:trHeight w:val="134"/>
        </w:trPr>
        <w:tc>
          <w:tcPr>
            <w:tcW w:w="6160" w:type="dxa"/>
            <w:vAlign w:val="bottom"/>
            <w:gridSpan w:val="2"/>
          </w:tcPr>
          <w:p>
            <w:pPr>
              <w:spacing w:after="0" w:line="134" w:lineRule="exact"/>
              <w:rPr>
                <w:sz w:val="20"/>
                <w:szCs w:val="20"/>
                <w:color w:val="auto"/>
              </w:rPr>
            </w:pPr>
            <w:r>
              <w:rPr>
                <w:rFonts w:ascii="Arial" w:cs="Arial" w:eastAsia="Arial" w:hAnsi="Arial"/>
                <w:sz w:val="12"/>
                <w:szCs w:val="12"/>
                <w:color w:val="auto"/>
              </w:rPr>
              <w:t>Losses on interest rate instruments(3)</w:t>
            </w:r>
          </w:p>
        </w:tc>
        <w:tc>
          <w:tcPr>
            <w:tcW w:w="2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060" w:type="dxa"/>
            <w:vAlign w:val="bottom"/>
          </w:tcPr>
          <w:p>
            <w:pPr>
              <w:spacing w:after="0"/>
              <w:rPr>
                <w:sz w:val="11"/>
                <w:szCs w:val="11"/>
                <w:color w:val="auto"/>
              </w:rPr>
            </w:pPr>
          </w:p>
        </w:tc>
        <w:tc>
          <w:tcPr>
            <w:tcW w:w="40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(9)</w:t>
            </w:r>
          </w:p>
        </w:tc>
      </w:tr>
      <w:tr>
        <w:trPr>
          <w:trHeight w:val="134"/>
        </w:trPr>
        <w:tc>
          <w:tcPr>
            <w:tcW w:w="6160" w:type="dxa"/>
            <w:vAlign w:val="bottom"/>
            <w:gridSpan w:val="2"/>
          </w:tcPr>
          <w:p>
            <w:pPr>
              <w:spacing w:after="0" w:line="134" w:lineRule="exact"/>
              <w:rPr>
                <w:sz w:val="20"/>
                <w:szCs w:val="20"/>
                <w:color w:val="auto"/>
              </w:rPr>
            </w:pPr>
            <w:r>
              <w:rPr>
                <w:rFonts w:ascii="Arial" w:cs="Arial" w:eastAsia="Arial" w:hAnsi="Arial"/>
                <w:sz w:val="12"/>
                <w:szCs w:val="12"/>
                <w:color w:val="auto"/>
              </w:rPr>
              <w:t>Regulatory interest, net</w:t>
            </w:r>
          </w:p>
        </w:tc>
        <w:tc>
          <w:tcPr>
            <w:tcW w:w="2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060" w:type="dxa"/>
            <w:vAlign w:val="bottom"/>
          </w:tcPr>
          <w:p>
            <w:pPr>
              <w:spacing w:after="0"/>
              <w:rPr>
                <w:sz w:val="11"/>
                <w:szCs w:val="11"/>
                <w:color w:val="auto"/>
              </w:rPr>
            </w:pPr>
          </w:p>
        </w:tc>
        <w:tc>
          <w:tcPr>
            <w:tcW w:w="40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(1)</w:t>
            </w:r>
          </w:p>
        </w:tc>
      </w:tr>
      <w:tr>
        <w:trPr>
          <w:trHeight w:val="144"/>
        </w:trPr>
        <w:tc>
          <w:tcPr>
            <w:tcW w:w="6160" w:type="dxa"/>
            <w:vAlign w:val="bottom"/>
            <w:gridSpan w:val="2"/>
          </w:tcPr>
          <w:p>
            <w:pPr>
              <w:spacing w:after="0"/>
              <w:rPr>
                <w:sz w:val="20"/>
                <w:szCs w:val="20"/>
                <w:color w:val="auto"/>
              </w:rPr>
            </w:pPr>
            <w:r>
              <w:rPr>
                <w:rFonts w:ascii="Arial" w:cs="Arial" w:eastAsia="Arial" w:hAnsi="Arial"/>
                <w:sz w:val="12"/>
                <w:szCs w:val="12"/>
                <w:color w:val="auto"/>
              </w:rPr>
              <w:t>Sundry, net</w:t>
            </w:r>
          </w:p>
        </w:tc>
        <w:tc>
          <w:tcPr>
            <w:tcW w:w="244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0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6140" w:type="dxa"/>
            <w:vAlign w:val="bottom"/>
            <w:tcBorders>
              <w:bottom w:val="single" w:sz="8" w:color="auto"/>
            </w:tcBorders>
          </w:tcPr>
          <w:p>
            <w:pPr>
              <w:ind w:left="80"/>
              <w:spacing w:after="0" w:line="134" w:lineRule="exact"/>
              <w:rPr>
                <w:sz w:val="20"/>
                <w:szCs w:val="20"/>
                <w:color w:val="auto"/>
              </w:rPr>
            </w:pPr>
            <w:r>
              <w:rPr>
                <w:rFonts w:ascii="Arial" w:cs="Arial" w:eastAsia="Arial" w:hAnsi="Arial"/>
                <w:sz w:val="12"/>
                <w:szCs w:val="12"/>
                <w:color w:val="auto"/>
              </w:rPr>
              <w:t>Total</w:t>
            </w:r>
          </w:p>
        </w:tc>
        <w:tc>
          <w:tcPr>
            <w:tcW w:w="24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900"/>
              <w:spacing w:after="0" w:line="134" w:lineRule="exact"/>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16</w:t>
            </w:r>
          </w:p>
        </w:tc>
        <w:tc>
          <w:tcPr>
            <w:tcW w:w="1060" w:type="dxa"/>
            <w:vAlign w:val="bottom"/>
            <w:tcBorders>
              <w:bottom w:val="single" w:sz="8" w:color="auto"/>
            </w:tcBorders>
          </w:tcPr>
          <w:p>
            <w:pPr>
              <w:jc w:val="right"/>
              <w:ind w:right="919"/>
              <w:spacing w:after="0" w:line="134" w:lineRule="exact"/>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6140" w:type="dxa"/>
            <w:vAlign w:val="bottom"/>
          </w:tcPr>
          <w:p>
            <w:pPr>
              <w:spacing w:after="0" w:line="126" w:lineRule="exact"/>
              <w:rPr>
                <w:sz w:val="20"/>
                <w:szCs w:val="20"/>
                <w:color w:val="auto"/>
              </w:rPr>
            </w:pPr>
            <w:r>
              <w:rPr>
                <w:rFonts w:ascii="Arial" w:cs="Arial" w:eastAsia="Arial" w:hAnsi="Arial"/>
                <w:sz w:val="12"/>
                <w:szCs w:val="12"/>
                <w:b w:val="1"/>
                <w:bCs w:val="1"/>
                <w:color w:val="auto"/>
              </w:rPr>
              <w:t>SoCalGas and PE:</w:t>
            </w:r>
          </w:p>
        </w:tc>
        <w:tc>
          <w:tcPr>
            <w:tcW w:w="2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4"/>
        </w:trPr>
        <w:tc>
          <w:tcPr>
            <w:tcW w:w="6160" w:type="dxa"/>
            <w:vAlign w:val="bottom"/>
            <w:gridSpan w:val="2"/>
          </w:tcPr>
          <w:p>
            <w:pPr>
              <w:spacing w:after="0" w:line="134" w:lineRule="exact"/>
              <w:rPr>
                <w:sz w:val="20"/>
                <w:szCs w:val="20"/>
                <w:color w:val="auto"/>
              </w:rPr>
            </w:pPr>
            <w:r>
              <w:rPr>
                <w:rFonts w:ascii="Arial" w:cs="Arial" w:eastAsia="Arial" w:hAnsi="Arial"/>
                <w:sz w:val="12"/>
                <w:szCs w:val="12"/>
                <w:color w:val="auto"/>
              </w:rPr>
              <w:t>Allowance for equity funds used during construction</w:t>
            </w:r>
          </w:p>
        </w:tc>
        <w:tc>
          <w:tcPr>
            <w:tcW w:w="3480" w:type="dxa"/>
            <w:vAlign w:val="bottom"/>
            <w:gridSpan w:val="2"/>
          </w:tcPr>
          <w:p>
            <w:pPr>
              <w:jc w:val="right"/>
              <w:ind w:right="900"/>
              <w:spacing w:after="0" w:line="134" w:lineRule="exact"/>
              <w:rPr>
                <w:sz w:val="20"/>
                <w:szCs w:val="20"/>
                <w:color w:val="auto"/>
              </w:rPr>
            </w:pPr>
            <w:r>
              <w:rPr>
                <w:rFonts w:ascii="Arial" w:cs="Arial" w:eastAsia="Arial" w:hAnsi="Arial"/>
                <w:sz w:val="12"/>
                <w:szCs w:val="12"/>
                <w:color w:val="auto"/>
              </w:rPr>
              <w:t>$</w:t>
            </w: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4</w:t>
            </w:r>
          </w:p>
        </w:tc>
        <w:tc>
          <w:tcPr>
            <w:tcW w:w="1060" w:type="dxa"/>
            <w:vAlign w:val="bottom"/>
          </w:tcPr>
          <w:p>
            <w:pPr>
              <w:jc w:val="right"/>
              <w:ind w:right="919"/>
              <w:spacing w:after="0" w:line="134" w:lineRule="exact"/>
              <w:rPr>
                <w:sz w:val="20"/>
                <w:szCs w:val="20"/>
                <w:color w:val="auto"/>
              </w:rPr>
            </w:pPr>
            <w:r>
              <w:rPr>
                <w:rFonts w:ascii="Arial" w:cs="Arial" w:eastAsia="Arial" w:hAnsi="Arial"/>
                <w:sz w:val="12"/>
                <w:szCs w:val="12"/>
                <w:color w:val="auto"/>
                <w:w w:val="89"/>
              </w:rPr>
              <w:t>$</w:t>
            </w:r>
          </w:p>
        </w:tc>
        <w:tc>
          <w:tcPr>
            <w:tcW w:w="380" w:type="dxa"/>
            <w:vAlign w:val="bottom"/>
          </w:tcPr>
          <w:p>
            <w:pPr>
              <w:jc w:val="right"/>
              <w:spacing w:after="0" w:line="134" w:lineRule="exact"/>
              <w:rPr>
                <w:sz w:val="20"/>
                <w:szCs w:val="20"/>
                <w:color w:val="auto"/>
              </w:rPr>
            </w:pPr>
            <w:r>
              <w:rPr>
                <w:rFonts w:ascii="Arial" w:cs="Arial" w:eastAsia="Arial" w:hAnsi="Arial"/>
                <w:sz w:val="12"/>
                <w:szCs w:val="12"/>
                <w:color w:val="auto"/>
              </w:rPr>
              <w:t>4</w:t>
            </w:r>
          </w:p>
        </w:tc>
        <w:tc>
          <w:tcPr>
            <w:tcW w:w="20" w:type="dxa"/>
            <w:vAlign w:val="bottom"/>
          </w:tcPr>
          <w:p>
            <w:pPr>
              <w:spacing w:after="0"/>
              <w:rPr>
                <w:sz w:val="11"/>
                <w:szCs w:val="11"/>
                <w:color w:val="auto"/>
              </w:rPr>
            </w:pPr>
          </w:p>
        </w:tc>
      </w:tr>
      <w:tr>
        <w:trPr>
          <w:trHeight w:val="144"/>
        </w:trPr>
        <w:tc>
          <w:tcPr>
            <w:tcW w:w="6160" w:type="dxa"/>
            <w:vAlign w:val="bottom"/>
            <w:gridSpan w:val="2"/>
          </w:tcPr>
          <w:p>
            <w:pPr>
              <w:spacing w:after="0"/>
              <w:rPr>
                <w:sz w:val="20"/>
                <w:szCs w:val="20"/>
                <w:color w:val="auto"/>
              </w:rPr>
            </w:pPr>
            <w:r>
              <w:rPr>
                <w:rFonts w:ascii="Arial" w:cs="Arial" w:eastAsia="Arial" w:hAnsi="Arial"/>
                <w:sz w:val="12"/>
                <w:szCs w:val="12"/>
                <w:color w:val="auto"/>
              </w:rPr>
              <w:t>Sundry, net</w:t>
            </w:r>
          </w:p>
        </w:tc>
        <w:tc>
          <w:tcPr>
            <w:tcW w:w="2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w:t>
            </w:r>
          </w:p>
        </w:tc>
        <w:tc>
          <w:tcPr>
            <w:tcW w:w="106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8"/>
        </w:trPr>
        <w:tc>
          <w:tcPr>
            <w:tcW w:w="20" w:type="dxa"/>
            <w:vAlign w:val="bottom"/>
          </w:tcPr>
          <w:p>
            <w:pPr>
              <w:spacing w:after="0"/>
              <w:rPr>
                <w:sz w:val="12"/>
                <w:szCs w:val="12"/>
                <w:color w:val="auto"/>
              </w:rPr>
            </w:pPr>
          </w:p>
        </w:tc>
        <w:tc>
          <w:tcPr>
            <w:tcW w:w="6140" w:type="dxa"/>
            <w:vAlign w:val="bottom"/>
          </w:tcPr>
          <w:p>
            <w:pPr>
              <w:ind w:left="80"/>
              <w:spacing w:after="0"/>
              <w:rPr>
                <w:sz w:val="20"/>
                <w:szCs w:val="20"/>
                <w:color w:val="auto"/>
              </w:rPr>
            </w:pPr>
            <w:r>
              <w:rPr>
                <w:rFonts w:ascii="Arial" w:cs="Arial" w:eastAsia="Arial" w:hAnsi="Arial"/>
                <w:sz w:val="12"/>
                <w:szCs w:val="12"/>
                <w:color w:val="auto"/>
              </w:rPr>
              <w:t>Total at SoCalGas and PE</w:t>
            </w:r>
          </w:p>
        </w:tc>
        <w:tc>
          <w:tcPr>
            <w:tcW w:w="2440" w:type="dxa"/>
            <w:vAlign w:val="bottom"/>
          </w:tcPr>
          <w:p>
            <w:pPr>
              <w:spacing w:after="0"/>
              <w:rPr>
                <w:sz w:val="12"/>
                <w:szCs w:val="12"/>
                <w:color w:val="auto"/>
              </w:rPr>
            </w:pPr>
          </w:p>
        </w:tc>
        <w:tc>
          <w:tcPr>
            <w:tcW w:w="1040" w:type="dxa"/>
            <w:vAlign w:val="bottom"/>
            <w:tcBorders>
              <w:top w:val="single" w:sz="8" w:color="auto"/>
            </w:tcBorders>
          </w:tcPr>
          <w:p>
            <w:pPr>
              <w:jc w:val="right"/>
              <w:ind w:right="900"/>
              <w:spacing w:after="0"/>
              <w:rPr>
                <w:sz w:val="20"/>
                <w:szCs w:val="20"/>
                <w:color w:val="auto"/>
              </w:rPr>
            </w:pPr>
            <w:r>
              <w:rPr>
                <w:rFonts w:ascii="Arial" w:cs="Arial" w:eastAsia="Arial" w:hAnsi="Arial"/>
                <w:sz w:val="12"/>
                <w:szCs w:val="12"/>
                <w:color w:val="auto"/>
                <w:w w:val="8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060" w:type="dxa"/>
            <w:vAlign w:val="bottom"/>
            <w:tcBorders>
              <w:top w:val="single" w:sz="8" w:color="auto"/>
            </w:tcBorders>
          </w:tcPr>
          <w:p>
            <w:pPr>
              <w:jc w:val="right"/>
              <w:ind w:right="919"/>
              <w:spacing w:after="0"/>
              <w:rPr>
                <w:sz w:val="20"/>
                <w:szCs w:val="20"/>
                <w:color w:val="auto"/>
              </w:rPr>
            </w:pPr>
            <w:r>
              <w:rPr>
                <w:rFonts w:ascii="Arial" w:cs="Arial" w:eastAsia="Arial" w:hAnsi="Arial"/>
                <w:sz w:val="12"/>
                <w:szCs w:val="12"/>
                <w:color w:val="auto"/>
                <w:w w:val="8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279005" cy="13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ind w:left="720" w:right="100" w:hanging="428"/>
        <w:spacing w:after="0" w:line="245" w:lineRule="auto"/>
        <w:tabs>
          <w:tab w:leader="none" w:pos="720" w:val="left"/>
        </w:tabs>
        <w:numPr>
          <w:ilvl w:val="0"/>
          <w:numId w:val="9"/>
        </w:numPr>
        <w:rPr>
          <w:rFonts w:ascii="Arial" w:cs="Arial" w:eastAsia="Arial" w:hAnsi="Arial"/>
          <w:sz w:val="11"/>
          <w:szCs w:val="11"/>
          <w:i w:val="1"/>
          <w:iCs w:val="1"/>
          <w:color w:val="auto"/>
        </w:rPr>
      </w:pPr>
      <w:r>
        <w:rPr>
          <w:rFonts w:ascii="Arial" w:cs="Arial" w:eastAsia="Arial" w:hAnsi="Arial"/>
          <w:sz w:val="11"/>
          <w:szCs w:val="11"/>
          <w:i w:val="1"/>
          <w:iCs w:val="1"/>
          <w:color w:val="auto"/>
        </w:rPr>
        <w:t>Represents investment gains on dedicated assets in support of our executive retirement and deferred compensation plans. These amounts are partially offset by corresponding changes in compensation expense related to the plans.</w:t>
      </w:r>
    </w:p>
    <w:p>
      <w:pPr>
        <w:ind w:left="720" w:hanging="428"/>
        <w:spacing w:after="0" w:line="235" w:lineRule="auto"/>
        <w:tabs>
          <w:tab w:leader="none" w:pos="720" w:val="left"/>
        </w:tabs>
        <w:numPr>
          <w:ilvl w:val="0"/>
          <w:numId w:val="9"/>
        </w:numPr>
        <w:rPr>
          <w:rFonts w:ascii="Arial" w:cs="Arial" w:eastAsia="Arial" w:hAnsi="Arial"/>
          <w:sz w:val="11"/>
          <w:szCs w:val="11"/>
          <w:i w:val="1"/>
          <w:iCs w:val="1"/>
          <w:color w:val="auto"/>
        </w:rPr>
      </w:pPr>
      <w:r>
        <w:rPr>
          <w:rFonts w:ascii="Arial" w:cs="Arial" w:eastAsia="Arial" w:hAnsi="Arial"/>
          <w:sz w:val="11"/>
          <w:szCs w:val="11"/>
          <w:i w:val="1"/>
          <w:iCs w:val="1"/>
          <w:color w:val="auto"/>
        </w:rPr>
        <w:t>Sempra Energy Consolidated includes Otay Mesa VIE and additional instruments.</w:t>
      </w:r>
    </w:p>
    <w:p>
      <w:pPr>
        <w:ind w:left="720" w:hanging="428"/>
        <w:spacing w:after="0"/>
        <w:tabs>
          <w:tab w:leader="none" w:pos="720" w:val="left"/>
        </w:tabs>
        <w:numPr>
          <w:ilvl w:val="0"/>
          <w:numId w:val="9"/>
        </w:numPr>
        <w:rPr>
          <w:rFonts w:ascii="Arial" w:cs="Arial" w:eastAsia="Arial" w:hAnsi="Arial"/>
          <w:sz w:val="11"/>
          <w:szCs w:val="11"/>
          <w:i w:val="1"/>
          <w:iCs w:val="1"/>
          <w:color w:val="auto"/>
        </w:rPr>
      </w:pPr>
      <w:r>
        <w:rPr>
          <w:rFonts w:ascii="Arial" w:cs="Arial" w:eastAsia="Arial" w:hAnsi="Arial"/>
          <w:sz w:val="11"/>
          <w:szCs w:val="11"/>
          <w:i w:val="1"/>
          <w:iCs w:val="1"/>
          <w:color w:val="auto"/>
        </w:rPr>
        <w:t>Related to Otay Mesa VIE.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 EXPENSE AND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(Dollars in millions)</w:t>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gridSpan w:val="2"/>
          </w:tcPr>
          <w:p>
            <w:pPr>
              <w:ind w:left="20"/>
              <w:spacing w:after="0" w:line="121" w:lineRule="exact"/>
              <w:rPr>
                <w:sz w:val="20"/>
                <w:szCs w:val="20"/>
                <w:color w:val="auto"/>
              </w:rPr>
            </w:pPr>
            <w:r>
              <w:rPr>
                <w:rFonts w:ascii="Arial" w:cs="Arial" w:eastAsia="Arial" w:hAnsi="Arial"/>
                <w:sz w:val="11"/>
                <w:szCs w:val="11"/>
                <w:color w:val="auto"/>
              </w:rPr>
              <w:t>Three months ended March 31,</w:t>
            </w:r>
          </w:p>
        </w:tc>
        <w:tc>
          <w:tcPr>
            <w:tcW w:w="38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jc w:val="right"/>
              <w:ind w:right="1061"/>
              <w:spacing w:after="0" w:line="124" w:lineRule="exact"/>
              <w:rPr>
                <w:sz w:val="20"/>
                <w:szCs w:val="20"/>
                <w:color w:val="auto"/>
              </w:rPr>
            </w:pPr>
            <w:r>
              <w:rPr>
                <w:rFonts w:ascii="Arial" w:cs="Arial" w:eastAsia="Arial" w:hAnsi="Arial"/>
                <w:sz w:val="11"/>
                <w:szCs w:val="11"/>
                <w:color w:val="auto"/>
              </w:rPr>
              <w:t>2011</w:t>
            </w:r>
          </w:p>
        </w:tc>
        <w:tc>
          <w:tcPr>
            <w:tcW w:w="6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ind w:left="60"/>
              <w:spacing w:after="0" w:line="124" w:lineRule="exact"/>
              <w:rPr>
                <w:sz w:val="20"/>
                <w:szCs w:val="20"/>
                <w:color w:val="auto"/>
              </w:rPr>
            </w:pPr>
            <w:r>
              <w:rPr>
                <w:rFonts w:ascii="Arial" w:cs="Arial" w:eastAsia="Arial" w:hAnsi="Arial"/>
                <w:sz w:val="11"/>
                <w:szCs w:val="11"/>
                <w:color w:val="auto"/>
              </w:rPr>
              <w:t>2010</w:t>
            </w:r>
          </w:p>
        </w:tc>
      </w:tr>
      <w:tr>
        <w:trPr>
          <w:trHeight w:val="146"/>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540" w:type="dxa"/>
            <w:vAlign w:val="bottom"/>
          </w:tcPr>
          <w:p>
            <w:pPr>
              <w:jc w:val="center"/>
              <w:ind w:left="643"/>
              <w:spacing w:after="0"/>
              <w:rPr>
                <w:sz w:val="20"/>
                <w:szCs w:val="20"/>
                <w:color w:val="auto"/>
              </w:rPr>
            </w:pPr>
            <w:r>
              <w:rPr>
                <w:rFonts w:ascii="Arial" w:cs="Arial" w:eastAsia="Arial" w:hAnsi="Arial"/>
                <w:sz w:val="11"/>
                <w:szCs w:val="11"/>
                <w:color w:val="auto"/>
                <w:w w:val="97"/>
              </w:rPr>
              <w:t>Income Tax</w:t>
            </w:r>
          </w:p>
        </w:tc>
        <w:tc>
          <w:tcPr>
            <w:tcW w:w="1820" w:type="dxa"/>
            <w:vAlign w:val="bottom"/>
          </w:tcPr>
          <w:p>
            <w:pPr>
              <w:jc w:val="right"/>
              <w:spacing w:after="0"/>
              <w:rPr>
                <w:sz w:val="20"/>
                <w:szCs w:val="20"/>
                <w:color w:val="auto"/>
              </w:rPr>
            </w:pPr>
            <w:r>
              <w:rPr>
                <w:rFonts w:ascii="Arial" w:cs="Arial" w:eastAsia="Arial" w:hAnsi="Arial"/>
                <w:sz w:val="11"/>
                <w:szCs w:val="11"/>
                <w:color w:val="auto"/>
              </w:rPr>
              <w:t>Effective Income</w:t>
            </w:r>
          </w:p>
        </w:tc>
        <w:tc>
          <w:tcPr>
            <w:tcW w:w="620" w:type="dxa"/>
            <w:vAlign w:val="bottom"/>
          </w:tcPr>
          <w:p>
            <w:pPr>
              <w:spacing w:after="0"/>
              <w:rPr>
                <w:sz w:val="12"/>
                <w:szCs w:val="12"/>
                <w:color w:val="auto"/>
              </w:rPr>
            </w:pPr>
          </w:p>
        </w:tc>
        <w:tc>
          <w:tcPr>
            <w:tcW w:w="1560" w:type="dxa"/>
            <w:vAlign w:val="bottom"/>
          </w:tcPr>
          <w:p>
            <w:pPr>
              <w:jc w:val="center"/>
              <w:ind w:left="583"/>
              <w:spacing w:after="0"/>
              <w:rPr>
                <w:sz w:val="20"/>
                <w:szCs w:val="20"/>
                <w:color w:val="auto"/>
              </w:rPr>
            </w:pPr>
            <w:r>
              <w:rPr>
                <w:rFonts w:ascii="Arial" w:cs="Arial" w:eastAsia="Arial" w:hAnsi="Arial"/>
                <w:sz w:val="11"/>
                <w:szCs w:val="11"/>
                <w:color w:val="auto"/>
                <w:w w:val="97"/>
              </w:rPr>
              <w:t>Income Tax</w:t>
            </w:r>
          </w:p>
        </w:tc>
        <w:tc>
          <w:tcPr>
            <w:tcW w:w="380" w:type="dxa"/>
            <w:vAlign w:val="bottom"/>
          </w:tcPr>
          <w:p>
            <w:pPr>
              <w:spacing w:after="0"/>
              <w:rPr>
                <w:sz w:val="12"/>
                <w:szCs w:val="12"/>
                <w:color w:val="auto"/>
              </w:rPr>
            </w:pPr>
          </w:p>
        </w:tc>
        <w:tc>
          <w:tcPr>
            <w:tcW w:w="2040" w:type="dxa"/>
            <w:vAlign w:val="bottom"/>
          </w:tcPr>
          <w:p>
            <w:pPr>
              <w:ind w:left="600"/>
              <w:spacing w:after="0"/>
              <w:rPr>
                <w:sz w:val="20"/>
                <w:szCs w:val="20"/>
                <w:color w:val="auto"/>
              </w:rPr>
            </w:pPr>
            <w:r>
              <w:rPr>
                <w:rFonts w:ascii="Arial" w:cs="Arial" w:eastAsia="Arial" w:hAnsi="Arial"/>
                <w:sz w:val="11"/>
                <w:szCs w:val="11"/>
                <w:color w:val="auto"/>
              </w:rPr>
              <w:t>Effective Income</w:t>
            </w:r>
          </w:p>
        </w:tc>
      </w:tr>
      <w:tr>
        <w:trPr>
          <w:trHeight w:val="124"/>
        </w:trPr>
        <w:tc>
          <w:tcPr>
            <w:tcW w:w="20" w:type="dxa"/>
            <w:vAlign w:val="bottom"/>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center"/>
              <w:ind w:left="623"/>
              <w:spacing w:after="0" w:line="123" w:lineRule="exact"/>
              <w:rPr>
                <w:sz w:val="20"/>
                <w:szCs w:val="20"/>
                <w:color w:val="auto"/>
              </w:rPr>
            </w:pPr>
            <w:r>
              <w:rPr>
                <w:rFonts w:ascii="Arial" w:cs="Arial" w:eastAsia="Arial" w:hAnsi="Arial"/>
                <w:sz w:val="11"/>
                <w:szCs w:val="11"/>
                <w:color w:val="auto"/>
                <w:w w:val="98"/>
              </w:rPr>
              <w:t>Expense</w:t>
            </w:r>
          </w:p>
        </w:tc>
        <w:tc>
          <w:tcPr>
            <w:tcW w:w="1820" w:type="dxa"/>
            <w:vAlign w:val="bottom"/>
            <w:tcBorders>
              <w:bottom w:val="single" w:sz="8" w:color="auto"/>
            </w:tcBorders>
          </w:tcPr>
          <w:p>
            <w:pPr>
              <w:jc w:val="right"/>
              <w:ind w:right="141"/>
              <w:spacing w:after="0" w:line="123" w:lineRule="exact"/>
              <w:rPr>
                <w:sz w:val="20"/>
                <w:szCs w:val="20"/>
                <w:color w:val="auto"/>
              </w:rPr>
            </w:pPr>
            <w:r>
              <w:rPr>
                <w:rFonts w:ascii="Arial" w:cs="Arial" w:eastAsia="Arial" w:hAnsi="Arial"/>
                <w:sz w:val="11"/>
                <w:szCs w:val="11"/>
                <w:color w:val="auto"/>
              </w:rPr>
              <w:t>Tax Rate</w:t>
            </w:r>
          </w:p>
        </w:tc>
        <w:tc>
          <w:tcPr>
            <w:tcW w:w="6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jc w:val="center"/>
              <w:ind w:left="583"/>
              <w:spacing w:after="0" w:line="123" w:lineRule="exact"/>
              <w:rPr>
                <w:sz w:val="20"/>
                <w:szCs w:val="20"/>
                <w:color w:val="auto"/>
              </w:rPr>
            </w:pPr>
            <w:r>
              <w:rPr>
                <w:rFonts w:ascii="Arial" w:cs="Arial" w:eastAsia="Arial" w:hAnsi="Arial"/>
                <w:sz w:val="11"/>
                <w:szCs w:val="11"/>
                <w:color w:val="auto"/>
              </w:rPr>
              <w:t>Expense</w:t>
            </w:r>
          </w:p>
        </w:tc>
        <w:tc>
          <w:tcPr>
            <w:tcW w:w="38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ind w:left="780"/>
              <w:spacing w:after="0" w:line="123" w:lineRule="exact"/>
              <w:rPr>
                <w:sz w:val="20"/>
                <w:szCs w:val="20"/>
                <w:color w:val="auto"/>
              </w:rPr>
            </w:pPr>
            <w:r>
              <w:rPr>
                <w:rFonts w:ascii="Arial" w:cs="Arial" w:eastAsia="Arial" w:hAnsi="Arial"/>
                <w:sz w:val="11"/>
                <w:szCs w:val="11"/>
                <w:color w:val="auto"/>
              </w:rPr>
              <w:t>Tax Rate</w:t>
            </w:r>
          </w:p>
        </w:tc>
      </w:tr>
      <w:tr>
        <w:trPr>
          <w:trHeight w:val="125"/>
        </w:trPr>
        <w:tc>
          <w:tcPr>
            <w:tcW w:w="20" w:type="dxa"/>
            <w:vAlign w:val="bottom"/>
          </w:tcPr>
          <w:p>
            <w:pPr>
              <w:spacing w:after="0"/>
              <w:rPr>
                <w:sz w:val="10"/>
                <w:szCs w:val="10"/>
                <w:color w:val="auto"/>
              </w:rPr>
            </w:pPr>
          </w:p>
        </w:tc>
        <w:tc>
          <w:tcPr>
            <w:tcW w:w="3480" w:type="dxa"/>
            <w:vAlign w:val="bottom"/>
          </w:tcPr>
          <w:p>
            <w:pPr>
              <w:spacing w:after="0" w:line="126" w:lineRule="exact"/>
              <w:rPr>
                <w:sz w:val="20"/>
                <w:szCs w:val="20"/>
                <w:color w:val="auto"/>
              </w:rPr>
            </w:pPr>
            <w:r>
              <w:rPr>
                <w:rFonts w:ascii="Arial" w:cs="Arial" w:eastAsia="Arial" w:hAnsi="Arial"/>
                <w:sz w:val="12"/>
                <w:szCs w:val="12"/>
                <w:color w:val="auto"/>
              </w:rPr>
              <w:t>Sempra Energy Consolidated</w:t>
            </w:r>
          </w:p>
        </w:tc>
        <w:tc>
          <w:tcPr>
            <w:tcW w:w="1540" w:type="dxa"/>
            <w:vAlign w:val="bottom"/>
          </w:tcPr>
          <w:p>
            <w:pPr>
              <w:jc w:val="right"/>
              <w:ind w:right="1163"/>
              <w:spacing w:after="0" w:line="126" w:lineRule="exact"/>
              <w:rPr>
                <w:sz w:val="20"/>
                <w:szCs w:val="20"/>
                <w:color w:val="auto"/>
              </w:rPr>
            </w:pPr>
            <w:r>
              <w:rPr>
                <w:rFonts w:ascii="Arial" w:cs="Arial" w:eastAsia="Arial" w:hAnsi="Arial"/>
                <w:sz w:val="12"/>
                <w:szCs w:val="12"/>
                <w:color w:val="auto"/>
              </w:rPr>
              <w:t>$</w:t>
            </w:r>
          </w:p>
        </w:tc>
        <w:tc>
          <w:tcPr>
            <w:tcW w:w="1820" w:type="dxa"/>
            <w:vAlign w:val="bottom"/>
          </w:tcPr>
          <w:p>
            <w:pPr>
              <w:jc w:val="right"/>
              <w:ind w:right="1421"/>
              <w:spacing w:after="0" w:line="126" w:lineRule="exact"/>
              <w:rPr>
                <w:sz w:val="20"/>
                <w:szCs w:val="20"/>
                <w:color w:val="auto"/>
              </w:rPr>
            </w:pPr>
            <w:r>
              <w:rPr>
                <w:rFonts w:ascii="Arial" w:cs="Arial" w:eastAsia="Arial" w:hAnsi="Arial"/>
                <w:sz w:val="12"/>
                <w:szCs w:val="12"/>
                <w:color w:val="auto"/>
              </w:rPr>
              <w:t>109</w:t>
            </w:r>
          </w:p>
        </w:tc>
        <w:tc>
          <w:tcPr>
            <w:tcW w:w="620" w:type="dxa"/>
            <w:vAlign w:val="bottom"/>
          </w:tcPr>
          <w:p>
            <w:pPr>
              <w:ind w:left="120"/>
              <w:spacing w:after="0" w:line="126" w:lineRule="exact"/>
              <w:rPr>
                <w:sz w:val="20"/>
                <w:szCs w:val="20"/>
                <w:color w:val="auto"/>
              </w:rPr>
            </w:pPr>
            <w:r>
              <w:rPr>
                <w:rFonts w:ascii="Arial" w:cs="Arial" w:eastAsia="Arial" w:hAnsi="Arial"/>
                <w:sz w:val="12"/>
                <w:szCs w:val="12"/>
                <w:color w:val="auto"/>
              </w:rPr>
              <w:t>32 %</w:t>
            </w:r>
          </w:p>
        </w:tc>
        <w:tc>
          <w:tcPr>
            <w:tcW w:w="1560" w:type="dxa"/>
            <w:vAlign w:val="bottom"/>
          </w:tcPr>
          <w:p>
            <w:pPr>
              <w:jc w:val="right"/>
              <w:ind w:right="1203"/>
              <w:spacing w:after="0" w:line="126" w:lineRule="exact"/>
              <w:rPr>
                <w:sz w:val="20"/>
                <w:szCs w:val="20"/>
                <w:color w:val="auto"/>
              </w:rPr>
            </w:pPr>
            <w:r>
              <w:rPr>
                <w:rFonts w:ascii="Arial" w:cs="Arial" w:eastAsia="Arial" w:hAnsi="Arial"/>
                <w:sz w:val="12"/>
                <w:szCs w:val="12"/>
                <w:color w:val="auto"/>
              </w:rPr>
              <w:t>$</w:t>
            </w:r>
          </w:p>
        </w:tc>
        <w:tc>
          <w:tcPr>
            <w:tcW w:w="380" w:type="dxa"/>
            <w:vAlign w:val="bottom"/>
          </w:tcPr>
          <w:p>
            <w:pPr>
              <w:jc w:val="right"/>
              <w:ind w:right="18"/>
              <w:spacing w:after="0" w:line="126" w:lineRule="exact"/>
              <w:rPr>
                <w:sz w:val="20"/>
                <w:szCs w:val="20"/>
                <w:color w:val="auto"/>
              </w:rPr>
            </w:pPr>
            <w:r>
              <w:rPr>
                <w:rFonts w:ascii="Arial" w:cs="Arial" w:eastAsia="Arial" w:hAnsi="Arial"/>
                <w:sz w:val="12"/>
                <w:szCs w:val="12"/>
                <w:color w:val="auto"/>
              </w:rPr>
              <w:t>58</w:t>
            </w:r>
          </w:p>
        </w:tc>
        <w:tc>
          <w:tcPr>
            <w:tcW w:w="2040" w:type="dxa"/>
            <w:vAlign w:val="bottom"/>
          </w:tcPr>
          <w:p>
            <w:pPr>
              <w:ind w:left="1540"/>
              <w:spacing w:after="0" w:line="126" w:lineRule="exact"/>
              <w:rPr>
                <w:sz w:val="20"/>
                <w:szCs w:val="20"/>
                <w:color w:val="auto"/>
              </w:rPr>
            </w:pPr>
            <w:r>
              <w:rPr>
                <w:rFonts w:ascii="Arial" w:cs="Arial" w:eastAsia="Arial" w:hAnsi="Arial"/>
                <w:sz w:val="12"/>
                <w:szCs w:val="12"/>
                <w:color w:val="auto"/>
              </w:rPr>
              <w:t>42 %</w:t>
            </w:r>
          </w:p>
        </w:tc>
      </w:tr>
      <w:tr>
        <w:trPr>
          <w:trHeight w:val="134"/>
        </w:trPr>
        <w:tc>
          <w:tcPr>
            <w:tcW w:w="3500" w:type="dxa"/>
            <w:vAlign w:val="bottom"/>
            <w:gridSpan w:val="2"/>
          </w:tcPr>
          <w:p>
            <w:pPr>
              <w:spacing w:after="0" w:line="134" w:lineRule="exact"/>
              <w:rPr>
                <w:sz w:val="20"/>
                <w:szCs w:val="20"/>
                <w:color w:val="auto"/>
              </w:rPr>
            </w:pPr>
            <w:r>
              <w:rPr>
                <w:rFonts w:ascii="Arial" w:cs="Arial" w:eastAsia="Arial" w:hAnsi="Arial"/>
                <w:sz w:val="12"/>
                <w:szCs w:val="12"/>
                <w:color w:val="auto"/>
              </w:rPr>
              <w:t>SDG&amp;E</w:t>
            </w:r>
          </w:p>
        </w:tc>
        <w:tc>
          <w:tcPr>
            <w:tcW w:w="1540" w:type="dxa"/>
            <w:vAlign w:val="bottom"/>
          </w:tcPr>
          <w:p>
            <w:pPr>
              <w:spacing w:after="0"/>
              <w:rPr>
                <w:sz w:val="11"/>
                <w:szCs w:val="11"/>
                <w:color w:val="auto"/>
              </w:rPr>
            </w:pPr>
          </w:p>
        </w:tc>
        <w:tc>
          <w:tcPr>
            <w:tcW w:w="1820" w:type="dxa"/>
            <w:vAlign w:val="bottom"/>
          </w:tcPr>
          <w:p>
            <w:pPr>
              <w:jc w:val="right"/>
              <w:ind w:right="1421"/>
              <w:spacing w:after="0" w:line="134" w:lineRule="exact"/>
              <w:rPr>
                <w:sz w:val="20"/>
                <w:szCs w:val="20"/>
                <w:color w:val="auto"/>
              </w:rPr>
            </w:pPr>
            <w:r>
              <w:rPr>
                <w:rFonts w:ascii="Arial" w:cs="Arial" w:eastAsia="Arial" w:hAnsi="Arial"/>
                <w:sz w:val="12"/>
                <w:szCs w:val="12"/>
                <w:color w:val="auto"/>
              </w:rPr>
              <w:t>49</w:t>
            </w:r>
          </w:p>
        </w:tc>
        <w:tc>
          <w:tcPr>
            <w:tcW w:w="620" w:type="dxa"/>
            <w:vAlign w:val="bottom"/>
          </w:tcPr>
          <w:p>
            <w:pPr>
              <w:ind w:left="120"/>
              <w:spacing w:after="0" w:line="134" w:lineRule="exact"/>
              <w:rPr>
                <w:sz w:val="20"/>
                <w:szCs w:val="20"/>
                <w:color w:val="auto"/>
              </w:rPr>
            </w:pPr>
            <w:r>
              <w:rPr>
                <w:rFonts w:ascii="Arial" w:cs="Arial" w:eastAsia="Arial" w:hAnsi="Arial"/>
                <w:sz w:val="12"/>
                <w:szCs w:val="12"/>
                <w:color w:val="auto"/>
              </w:rPr>
              <w:t>34</w:t>
            </w:r>
          </w:p>
        </w:tc>
        <w:tc>
          <w:tcPr>
            <w:tcW w:w="1560" w:type="dxa"/>
            <w:vAlign w:val="bottom"/>
          </w:tcPr>
          <w:p>
            <w:pPr>
              <w:spacing w:after="0"/>
              <w:rPr>
                <w:sz w:val="11"/>
                <w:szCs w:val="11"/>
                <w:color w:val="auto"/>
              </w:rPr>
            </w:pPr>
          </w:p>
        </w:tc>
        <w:tc>
          <w:tcPr>
            <w:tcW w:w="380" w:type="dxa"/>
            <w:vAlign w:val="bottom"/>
          </w:tcPr>
          <w:p>
            <w:pPr>
              <w:jc w:val="right"/>
              <w:ind w:right="18"/>
              <w:spacing w:after="0" w:line="134" w:lineRule="exact"/>
              <w:rPr>
                <w:sz w:val="20"/>
                <w:szCs w:val="20"/>
                <w:color w:val="auto"/>
              </w:rPr>
            </w:pPr>
            <w:r>
              <w:rPr>
                <w:rFonts w:ascii="Arial" w:cs="Arial" w:eastAsia="Arial" w:hAnsi="Arial"/>
                <w:sz w:val="12"/>
                <w:szCs w:val="12"/>
                <w:color w:val="auto"/>
              </w:rPr>
              <w:t>31</w:t>
            </w:r>
          </w:p>
        </w:tc>
        <w:tc>
          <w:tcPr>
            <w:tcW w:w="2040" w:type="dxa"/>
            <w:vAlign w:val="bottom"/>
          </w:tcPr>
          <w:p>
            <w:pPr>
              <w:ind w:left="1540"/>
              <w:spacing w:after="0" w:line="134" w:lineRule="exact"/>
              <w:rPr>
                <w:sz w:val="20"/>
                <w:szCs w:val="20"/>
                <w:color w:val="auto"/>
              </w:rPr>
            </w:pPr>
            <w:r>
              <w:rPr>
                <w:rFonts w:ascii="Arial" w:cs="Arial" w:eastAsia="Arial" w:hAnsi="Arial"/>
                <w:sz w:val="12"/>
                <w:szCs w:val="12"/>
                <w:color w:val="auto"/>
              </w:rPr>
              <w:t>29</w:t>
            </w:r>
          </w:p>
        </w:tc>
      </w:tr>
      <w:tr>
        <w:trPr>
          <w:trHeight w:val="134"/>
        </w:trPr>
        <w:tc>
          <w:tcPr>
            <w:tcW w:w="3500" w:type="dxa"/>
            <w:vAlign w:val="bottom"/>
            <w:gridSpan w:val="2"/>
          </w:tcPr>
          <w:p>
            <w:pPr>
              <w:spacing w:after="0" w:line="134" w:lineRule="exact"/>
              <w:rPr>
                <w:sz w:val="20"/>
                <w:szCs w:val="20"/>
                <w:color w:val="auto"/>
              </w:rPr>
            </w:pPr>
            <w:r>
              <w:rPr>
                <w:rFonts w:ascii="Arial" w:cs="Arial" w:eastAsia="Arial" w:hAnsi="Arial"/>
                <w:sz w:val="12"/>
                <w:szCs w:val="12"/>
                <w:color w:val="auto"/>
              </w:rPr>
              <w:t>PE</w:t>
            </w:r>
          </w:p>
        </w:tc>
        <w:tc>
          <w:tcPr>
            <w:tcW w:w="1540" w:type="dxa"/>
            <w:vAlign w:val="bottom"/>
          </w:tcPr>
          <w:p>
            <w:pPr>
              <w:spacing w:after="0"/>
              <w:rPr>
                <w:sz w:val="11"/>
                <w:szCs w:val="11"/>
                <w:color w:val="auto"/>
              </w:rPr>
            </w:pPr>
          </w:p>
        </w:tc>
        <w:tc>
          <w:tcPr>
            <w:tcW w:w="1820" w:type="dxa"/>
            <w:vAlign w:val="bottom"/>
          </w:tcPr>
          <w:p>
            <w:pPr>
              <w:jc w:val="right"/>
              <w:ind w:right="1421"/>
              <w:spacing w:after="0" w:line="134" w:lineRule="exact"/>
              <w:rPr>
                <w:sz w:val="20"/>
                <w:szCs w:val="20"/>
                <w:color w:val="auto"/>
              </w:rPr>
            </w:pPr>
            <w:r>
              <w:rPr>
                <w:rFonts w:ascii="Arial" w:cs="Arial" w:eastAsia="Arial" w:hAnsi="Arial"/>
                <w:sz w:val="12"/>
                <w:szCs w:val="12"/>
                <w:color w:val="auto"/>
              </w:rPr>
              <w:t>37</w:t>
            </w:r>
          </w:p>
        </w:tc>
        <w:tc>
          <w:tcPr>
            <w:tcW w:w="620" w:type="dxa"/>
            <w:vAlign w:val="bottom"/>
          </w:tcPr>
          <w:p>
            <w:pPr>
              <w:ind w:left="120"/>
              <w:spacing w:after="0" w:line="134" w:lineRule="exact"/>
              <w:rPr>
                <w:sz w:val="20"/>
                <w:szCs w:val="20"/>
                <w:color w:val="auto"/>
              </w:rPr>
            </w:pPr>
            <w:r>
              <w:rPr>
                <w:rFonts w:ascii="Arial" w:cs="Arial" w:eastAsia="Arial" w:hAnsi="Arial"/>
                <w:sz w:val="12"/>
                <w:szCs w:val="12"/>
                <w:color w:val="auto"/>
              </w:rPr>
              <w:t>35</w:t>
            </w:r>
          </w:p>
        </w:tc>
        <w:tc>
          <w:tcPr>
            <w:tcW w:w="1560" w:type="dxa"/>
            <w:vAlign w:val="bottom"/>
          </w:tcPr>
          <w:p>
            <w:pPr>
              <w:spacing w:after="0"/>
              <w:rPr>
                <w:sz w:val="11"/>
                <w:szCs w:val="11"/>
                <w:color w:val="auto"/>
              </w:rPr>
            </w:pPr>
          </w:p>
        </w:tc>
        <w:tc>
          <w:tcPr>
            <w:tcW w:w="380" w:type="dxa"/>
            <w:vAlign w:val="bottom"/>
          </w:tcPr>
          <w:p>
            <w:pPr>
              <w:jc w:val="right"/>
              <w:ind w:right="18"/>
              <w:spacing w:after="0" w:line="134" w:lineRule="exact"/>
              <w:rPr>
                <w:sz w:val="20"/>
                <w:szCs w:val="20"/>
                <w:color w:val="auto"/>
              </w:rPr>
            </w:pPr>
            <w:r>
              <w:rPr>
                <w:rFonts w:ascii="Arial" w:cs="Arial" w:eastAsia="Arial" w:hAnsi="Arial"/>
                <w:sz w:val="12"/>
                <w:szCs w:val="12"/>
                <w:color w:val="auto"/>
              </w:rPr>
              <w:t>57</w:t>
            </w:r>
          </w:p>
        </w:tc>
        <w:tc>
          <w:tcPr>
            <w:tcW w:w="2040" w:type="dxa"/>
            <w:vAlign w:val="bottom"/>
          </w:tcPr>
          <w:p>
            <w:pPr>
              <w:ind w:left="1540"/>
              <w:spacing w:after="0" w:line="134" w:lineRule="exact"/>
              <w:rPr>
                <w:sz w:val="20"/>
                <w:szCs w:val="20"/>
                <w:color w:val="auto"/>
              </w:rPr>
            </w:pPr>
            <w:r>
              <w:rPr>
                <w:rFonts w:ascii="Arial" w:cs="Arial" w:eastAsia="Arial" w:hAnsi="Arial"/>
                <w:sz w:val="12"/>
                <w:szCs w:val="12"/>
                <w:color w:val="auto"/>
              </w:rPr>
              <w:t>47</w:t>
            </w:r>
          </w:p>
        </w:tc>
      </w:tr>
      <w:tr>
        <w:trPr>
          <w:trHeight w:val="144"/>
        </w:trPr>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SoCalGas</w:t>
            </w:r>
          </w:p>
        </w:tc>
        <w:tc>
          <w:tcPr>
            <w:tcW w:w="15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ind w:right="1421"/>
              <w:spacing w:after="0"/>
              <w:rPr>
                <w:sz w:val="20"/>
                <w:szCs w:val="20"/>
                <w:color w:val="auto"/>
              </w:rPr>
            </w:pPr>
            <w:r>
              <w:rPr>
                <w:rFonts w:ascii="Arial" w:cs="Arial" w:eastAsia="Arial" w:hAnsi="Arial"/>
                <w:sz w:val="12"/>
                <w:szCs w:val="12"/>
                <w:color w:val="auto"/>
              </w:rPr>
              <w:t>37</w:t>
            </w: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35</w:t>
            </w:r>
          </w:p>
        </w:tc>
        <w:tc>
          <w:tcPr>
            <w:tcW w:w="15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56</w:t>
            </w:r>
          </w:p>
        </w:tc>
        <w:tc>
          <w:tcPr>
            <w:tcW w:w="2040" w:type="dxa"/>
            <w:vAlign w:val="bottom"/>
            <w:tcBorders>
              <w:bottom w:val="single" w:sz="8" w:color="auto"/>
            </w:tcBorders>
          </w:tcPr>
          <w:p>
            <w:pPr>
              <w:ind w:left="1540"/>
              <w:spacing w:after="0"/>
              <w:rPr>
                <w:sz w:val="20"/>
                <w:szCs w:val="20"/>
                <w:color w:val="auto"/>
              </w:rPr>
            </w:pPr>
            <w:r>
              <w:rPr>
                <w:rFonts w:ascii="Arial" w:cs="Arial" w:eastAsia="Arial" w:hAnsi="Arial"/>
                <w:sz w:val="12"/>
                <w:szCs w:val="12"/>
                <w:color w:val="auto"/>
              </w:rPr>
              <w:t>46</w:t>
            </w: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Effective Income Tax Rates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Sempra Energy Consolidated</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The decrease in the effective income tax rate for the three months ended March 31, 2011 was primarily due to:</w:t>
      </w:r>
    </w:p>
    <w:p>
      <w:pPr>
        <w:spacing w:after="0" w:line="170" w:lineRule="exact"/>
        <w:rPr>
          <w:sz w:val="20"/>
          <w:szCs w:val="20"/>
          <w:color w:val="auto"/>
        </w:rPr>
      </w:pPr>
    </w:p>
    <w:p>
      <w:pPr>
        <w:ind w:left="260" w:hanging="147"/>
        <w:spacing w:after="0" w:line="267" w:lineRule="auto"/>
        <w:tabs>
          <w:tab w:leader="none" w:pos="260"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a $16 million write-down in 2010 of the deferred tax assets related to other postretirement benefits, as a result of a change in U.S. tax law that eliminates a future deduction, starting in 2013, for retiree healthcare funded by the Medicare Part D subsidy;</w:t>
      </w:r>
    </w:p>
    <w:p>
      <w:pPr>
        <w:spacing w:after="0" w:line="158" w:lineRule="exact"/>
        <w:rPr>
          <w:rFonts w:ascii="Arial" w:cs="Arial" w:eastAsia="Arial" w:hAnsi="Arial"/>
          <w:sz w:val="14"/>
          <w:szCs w:val="14"/>
          <w:b w:val="1"/>
          <w:bCs w:val="1"/>
          <w:color w:val="auto"/>
        </w:rPr>
      </w:pPr>
    </w:p>
    <w:p>
      <w:pPr>
        <w:ind w:left="260" w:hanging="147"/>
        <w:spacing w:after="0"/>
        <w:tabs>
          <w:tab w:leader="none" w:pos="260"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lower tax expense in 2011 due to Mexican currency translation and inflation adjustments;</w:t>
      </w:r>
    </w:p>
    <w:p>
      <w:pPr>
        <w:spacing w:after="0" w:line="190" w:lineRule="exact"/>
        <w:rPr>
          <w:rFonts w:ascii="Arial" w:cs="Arial" w:eastAsia="Arial" w:hAnsi="Arial"/>
          <w:sz w:val="14"/>
          <w:szCs w:val="14"/>
          <w:b w:val="1"/>
          <w:bCs w:val="1"/>
          <w:color w:val="auto"/>
        </w:rPr>
      </w:pPr>
    </w:p>
    <w:p>
      <w:pPr>
        <w:ind w:left="260" w:hanging="147"/>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higher planned investment tax credits;</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higher exclusions from taxable income of the equity portion of AFUDC; and</w:t>
      </w:r>
    </w:p>
    <w:p>
      <w:pPr>
        <w:spacing w:after="0" w:line="186" w:lineRule="exact"/>
        <w:rPr>
          <w:rFonts w:ascii="Arial" w:cs="Arial" w:eastAsia="Arial" w:hAnsi="Arial"/>
          <w:sz w:val="14"/>
          <w:szCs w:val="14"/>
          <w:b w:val="1"/>
          <w:bCs w:val="1"/>
          <w:color w:val="auto"/>
        </w:rPr>
      </w:pPr>
    </w:p>
    <w:p>
      <w:pPr>
        <w:ind w:left="260" w:hanging="147"/>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higher deductions for self-developed software costs; </w:t>
      </w:r>
      <w:r>
        <w:rPr>
          <w:rFonts w:ascii="Arial" w:cs="Arial" w:eastAsia="Arial" w:hAnsi="Arial"/>
          <w:sz w:val="14"/>
          <w:szCs w:val="14"/>
          <w:b w:val="1"/>
          <w:bCs w:val="1"/>
          <w:color w:val="auto"/>
        </w:rPr>
        <w:t>offset by</w:t>
      </w:r>
    </w:p>
    <w:p>
      <w:pPr>
        <w:spacing w:after="0" w:line="194" w:lineRule="exact"/>
        <w:rPr>
          <w:rFonts w:ascii="Arial" w:cs="Arial" w:eastAsia="Arial" w:hAnsi="Arial"/>
          <w:sz w:val="14"/>
          <w:szCs w:val="14"/>
          <w:color w:val="auto"/>
        </w:rPr>
      </w:pPr>
    </w:p>
    <w:p>
      <w:pPr>
        <w:ind w:left="260" w:hanging="147"/>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lower favorable adjustments related to prior years' income tax issues;</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higher pretax book income; and</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an increase in the amount by which book depreciation for the Sempra Utilities exceeds normalized tax depreciation, which is not treated as a deferred tax asset for ratemaking purposes.</w:t>
      </w:r>
    </w:p>
    <w:p>
      <w:pPr>
        <w:sectPr>
          <w:pgSz w:w="11900" w:h="16881" w:orient="portrait"/>
          <w:cols w:equalWidth="0" w:num="1">
            <w:col w:w="11460"/>
          </w:cols>
          <w:pgMar w:left="220" w:top="147" w:right="219" w:bottom="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SDG&amp;E</w:t>
      </w:r>
    </w:p>
    <w:p>
      <w:pPr>
        <w:sectPr>
          <w:pgSz w:w="11900" w:h="16881" w:orient="portrait"/>
          <w:cols w:equalWidth="0" w:num="1">
            <w:col w:w="11460"/>
          </w:cols>
          <w:pgMar w:left="220" w:top="147" w:right="219" w:bottom="0" w:gutter="0" w:footer="0" w:header="0"/>
          <w:type w:val="continuous"/>
        </w:sectPr>
      </w:pPr>
    </w:p>
    <w:bookmarkStart w:id="30" w:name="page31"/>
    <w:bookmarkEnd w:id="30"/>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The increase in SDG&amp;E's effective income tax rate for the three months ended March 31, 2011 was primarily due to:</w:t>
      </w:r>
    </w:p>
    <w:p>
      <w:pPr>
        <w:spacing w:after="0" w:line="170" w:lineRule="exact"/>
        <w:rPr>
          <w:sz w:val="20"/>
          <w:szCs w:val="20"/>
          <w:color w:val="auto"/>
        </w:rPr>
      </w:pPr>
    </w:p>
    <w:p>
      <w:pPr>
        <w:ind w:left="260" w:hanging="147"/>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lower favorable adjustments related to prior years’ income tax issues; and</w:t>
      </w:r>
    </w:p>
    <w:p>
      <w:pPr>
        <w:spacing w:after="0" w:line="186" w:lineRule="exact"/>
        <w:rPr>
          <w:rFonts w:ascii="Arial" w:cs="Arial" w:eastAsia="Arial" w:hAnsi="Arial"/>
          <w:sz w:val="14"/>
          <w:szCs w:val="14"/>
          <w:color w:val="auto"/>
        </w:rPr>
      </w:pPr>
    </w:p>
    <w:p>
      <w:pPr>
        <w:ind w:left="260" w:hanging="147"/>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higher pretax book income; </w:t>
      </w:r>
      <w:r>
        <w:rPr>
          <w:rFonts w:ascii="Arial" w:cs="Arial" w:eastAsia="Arial" w:hAnsi="Arial"/>
          <w:sz w:val="14"/>
          <w:szCs w:val="14"/>
          <w:b w:val="1"/>
          <w:bCs w:val="1"/>
          <w:color w:val="auto"/>
        </w:rPr>
        <w:t>offset by</w:t>
      </w:r>
    </w:p>
    <w:p>
      <w:pPr>
        <w:spacing w:after="0" w:line="194" w:lineRule="exact"/>
        <w:rPr>
          <w:rFonts w:ascii="Arial" w:cs="Arial" w:eastAsia="Arial" w:hAnsi="Arial"/>
          <w:sz w:val="14"/>
          <w:szCs w:val="14"/>
          <w:color w:val="auto"/>
        </w:rPr>
      </w:pPr>
    </w:p>
    <w:p>
      <w:pPr>
        <w:ind w:left="260" w:hanging="147"/>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 $3 million write-down in 2010 of the deferred tax assets related to other postretirement benefits as a result of a change in U.S. tax law, as we discuss above;</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Otay Mesa VIE, as we discuss below; and</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higher exclusions from taxable income of the equity portion of AFUDC.</w:t>
      </w:r>
    </w:p>
    <w:p>
      <w:pPr>
        <w:spacing w:after="0" w:line="190"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Results for Sempra Energy Consolidated and SDG&amp;E include Otay Mesa VIE, which is consolidated, and therefore, their effective income tax rates are impacted by the VIE’s stand-alone effective income tax rate.</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PE and SoCalGas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The decrease in PE's and SoCalGas' effective income tax rates for the three months ended March 31, 2011 was primarily due to:</w:t>
      </w:r>
    </w:p>
    <w:p>
      <w:pPr>
        <w:spacing w:after="0" w:line="170" w:lineRule="exact"/>
        <w:rPr>
          <w:sz w:val="20"/>
          <w:szCs w:val="20"/>
          <w:color w:val="auto"/>
        </w:rPr>
      </w:pPr>
    </w:p>
    <w:p>
      <w:pPr>
        <w:ind w:left="260" w:hanging="147"/>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 $13 million write-down in 2010 of the deferred tax assets related to other postretirement benefits as a result of a change in U.S. tax law, as we discuss above; and</w:t>
      </w:r>
    </w:p>
    <w:p>
      <w:pPr>
        <w:spacing w:after="0" w:line="186" w:lineRule="exact"/>
        <w:rPr>
          <w:rFonts w:ascii="Arial" w:cs="Arial" w:eastAsia="Arial" w:hAnsi="Arial"/>
          <w:sz w:val="14"/>
          <w:szCs w:val="14"/>
          <w:color w:val="auto"/>
        </w:rPr>
      </w:pPr>
    </w:p>
    <w:p>
      <w:pPr>
        <w:ind w:left="260" w:hanging="147"/>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higher deductions for self-developed software costs; </w:t>
      </w:r>
      <w:r>
        <w:rPr>
          <w:rFonts w:ascii="Arial" w:cs="Arial" w:eastAsia="Arial" w:hAnsi="Arial"/>
          <w:sz w:val="14"/>
          <w:szCs w:val="14"/>
          <w:b w:val="1"/>
          <w:bCs w:val="1"/>
          <w:color w:val="auto"/>
        </w:rPr>
        <w:t>offset by</w:t>
      </w:r>
    </w:p>
    <w:p>
      <w:pPr>
        <w:spacing w:after="0" w:line="194" w:lineRule="exact"/>
        <w:rPr>
          <w:rFonts w:ascii="Arial" w:cs="Arial" w:eastAsia="Arial" w:hAnsi="Arial"/>
          <w:sz w:val="14"/>
          <w:szCs w:val="14"/>
          <w:color w:val="auto"/>
        </w:rPr>
      </w:pPr>
    </w:p>
    <w:p>
      <w:pPr>
        <w:ind w:left="260" w:hanging="147"/>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 increase in the amount by which book depreciation exceeds normalized tax depreciation, which is not treated as a deferred tax asset for ratemaking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285115</wp:posOffset>
            </wp:positionV>
            <wp:extent cx="7291705"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1705" cy="635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color w:val="auto"/>
        </w:rPr>
        <w:t>NOTE 6. DEBT AND CREDIT FACILITIES</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COMMITTED LINES OF CREDIT</w:t>
      </w:r>
    </w:p>
    <w:p>
      <w:pPr>
        <w:spacing w:after="0" w:line="176"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color w:val="auto"/>
        </w:rPr>
        <w:t>At March 31, 2011, Sempra Energy Consolidated had $3.8 billion in committed lines of credit to provide liquidity and to support commercial paper and variable-rate demand notes, the major components of which we detail below. Available unused credit on these lines at March 31, 2011 was $2.8 billion.</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Energy</w:t>
      </w:r>
    </w:p>
    <w:p>
      <w:pPr>
        <w:spacing w:after="0" w:line="160"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color w:val="auto"/>
        </w:rPr>
        <w:t>Sempra Energy has a $1 billion, four-year syndicated revolving credit agreement expiring in October 2014. Citibank, N.A. serves as administrative agent for the syndicate of 23 lenders. No single lender has greater than a 7-percent share.</w:t>
      </w:r>
    </w:p>
    <w:p>
      <w:pPr>
        <w:spacing w:after="0" w:line="138"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Borrowings bear interest at benchmark rates plus a margin that varies with market index rates and Sempra Energy's credit ratings. The facility requires Sempra Energy to maintain a ratio of total indebtedness to total capitalization (as defined in the agreement) of no more than 65 percent at the end of each quarter. The facility also provides for issuance of up to $400 million of letters of credit on behalf of Sempra Energy with the amount of borrowings otherwise available under the facility reduced by the amount of outstanding letters of credit.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At March 31, 2011, Sempra Energy had $26 million of variable-rate demand notes outstanding supported by the facility.</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Global</w:t>
      </w:r>
    </w:p>
    <w:p>
      <w:pPr>
        <w:spacing w:after="0" w:line="160" w:lineRule="exact"/>
        <w:rPr>
          <w:sz w:val="20"/>
          <w:szCs w:val="20"/>
          <w:color w:val="auto"/>
        </w:rPr>
      </w:pPr>
    </w:p>
    <w:p>
      <w:pPr>
        <w:ind w:right="140"/>
        <w:spacing w:after="0" w:line="267" w:lineRule="auto"/>
        <w:rPr>
          <w:sz w:val="20"/>
          <w:szCs w:val="20"/>
          <w:color w:val="auto"/>
        </w:rPr>
      </w:pPr>
      <w:r>
        <w:rPr>
          <w:rFonts w:ascii="Arial" w:cs="Arial" w:eastAsia="Arial" w:hAnsi="Arial"/>
          <w:sz w:val="14"/>
          <w:szCs w:val="14"/>
          <w:color w:val="auto"/>
        </w:rPr>
        <w:t>Sempra Global has a $2 billion, four-year syndicated revolving credit agreement expiring in October 2014. Citibank, N.A. serves as administrative agent for the syndicate of 23 lenders. No single lender has greater than a 7-percent share.</w:t>
      </w:r>
    </w:p>
    <w:p>
      <w:pPr>
        <w:spacing w:after="0" w:line="138" w:lineRule="exact"/>
        <w:rPr>
          <w:sz w:val="20"/>
          <w:szCs w:val="20"/>
          <w:color w:val="auto"/>
        </w:rPr>
      </w:pPr>
    </w:p>
    <w:p>
      <w:pPr>
        <w:ind w:right="280"/>
        <w:spacing w:after="0" w:line="405" w:lineRule="auto"/>
        <w:rPr>
          <w:sz w:val="20"/>
          <w:szCs w:val="20"/>
          <w:color w:val="auto"/>
        </w:rPr>
      </w:pPr>
      <w:r>
        <w:rPr>
          <w:rFonts w:ascii="Arial" w:cs="Arial" w:eastAsia="Arial" w:hAnsi="Arial"/>
          <w:sz w:val="11"/>
          <w:szCs w:val="11"/>
          <w:color w:val="auto"/>
        </w:rPr>
        <w:t>Sempra Energy guarantees Sempra Global’s obligations under the credit facility. Borrowings bear interest at benchmark rates plus a margin that varies with market index rates and Sempra Energy’s credit ratings. The facility requires Sempra Energy to maintain a ratio of total indebtedness to total capitalization (as defined in the agreement) of no more than 65 percent at the end of each quarter.</w:t>
      </w:r>
    </w:p>
    <w:p>
      <w:pPr>
        <w:spacing w:after="0" w:line="69" w:lineRule="exact"/>
        <w:rPr>
          <w:sz w:val="20"/>
          <w:szCs w:val="20"/>
          <w:color w:val="auto"/>
        </w:rPr>
      </w:pPr>
    </w:p>
    <w:p>
      <w:pPr>
        <w:ind w:right="220"/>
        <w:spacing w:after="0" w:line="306" w:lineRule="auto"/>
        <w:rPr>
          <w:sz w:val="20"/>
          <w:szCs w:val="20"/>
          <w:color w:val="auto"/>
        </w:rPr>
      </w:pPr>
      <w:r>
        <w:rPr>
          <w:rFonts w:ascii="Arial" w:cs="Arial" w:eastAsia="Arial" w:hAnsi="Arial"/>
          <w:sz w:val="13"/>
          <w:szCs w:val="13"/>
          <w:color w:val="auto"/>
        </w:rPr>
        <w:t>At March 31, 2011, Sempra Global had $766 million of commercial paper outstanding supported by the facility. At March 31, 2011, $200 million of the commercial paper outstanding is classified as long-term debt based on management’s intent and ability to maintain this level of borrowing on a long-term basis either supported by this credit facility or by issuing long-term debt.</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Utilities</w:t>
      </w:r>
    </w:p>
    <w:p>
      <w:pPr>
        <w:spacing w:after="0" w:line="160"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color w:val="auto"/>
        </w:rPr>
        <w:t>SDG&amp;E and SoCalGas have a combined $800 million, four-year syndicated revolving credit agreement expiring in October 2014. JPMorgan Chase Bank serves as administrative agent for the syndicate of 22 lenders. No single lender has greater than a 7-percent share. The agreement permits each utility to individually borrow up to $600 million, subject to a combined limit of $800 million for both utilities. It also provides for the issuance of letters of credit on behalf of each utility subject to a combined letter of credit commitment of $200 million for both utilities. The amount of borrowings otherwise available under the facility is reduced by the amount of outstanding letters of credit.</w:t>
      </w:r>
    </w:p>
    <w:p>
      <w:pPr>
        <w:spacing w:after="0" w:line="148"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Borrowings under the facility bear interest at benchmark rates plus a margin that varies with market index rates and the borrowing utility's credit ratings. The agreement requires each utility to maintain a ratio of total indebtedness to total capitalization (as defined in the agreement) of no more than 65 percent at the end of each quarter.</w:t>
      </w:r>
    </w:p>
    <w:p>
      <w:pPr>
        <w:spacing w:after="0" w:line="138" w:lineRule="exact"/>
        <w:rPr>
          <w:sz w:val="20"/>
          <w:szCs w:val="20"/>
          <w:color w:val="auto"/>
        </w:rPr>
      </w:pPr>
    </w:p>
    <w:p>
      <w:pPr>
        <w:ind w:right="160"/>
        <w:spacing w:after="0" w:line="267" w:lineRule="auto"/>
        <w:rPr>
          <w:sz w:val="20"/>
          <w:szCs w:val="20"/>
          <w:color w:val="auto"/>
        </w:rPr>
      </w:pPr>
      <w:r>
        <w:rPr>
          <w:rFonts w:ascii="Arial" w:cs="Arial" w:eastAsia="Arial" w:hAnsi="Arial"/>
          <w:sz w:val="14"/>
          <w:szCs w:val="14"/>
          <w:color w:val="auto"/>
        </w:rPr>
        <w:t>Each utility’s obligations under the agreement are individual obligations, and a default by one utility would not constitute a default by the other utility or preclude borrowings by, or the issuance of letters of credit on behalf of, the other utility.</w:t>
      </w:r>
    </w:p>
    <w:p>
      <w:pPr>
        <w:spacing w:after="0" w:line="138" w:lineRule="exact"/>
        <w:rPr>
          <w:sz w:val="20"/>
          <w:szCs w:val="20"/>
          <w:color w:val="auto"/>
        </w:rPr>
      </w:pPr>
    </w:p>
    <w:p>
      <w:pPr>
        <w:ind w:right="140"/>
        <w:spacing w:after="0" w:line="306" w:lineRule="auto"/>
        <w:rPr>
          <w:sz w:val="20"/>
          <w:szCs w:val="20"/>
          <w:color w:val="auto"/>
        </w:rPr>
      </w:pPr>
      <w:r>
        <w:rPr>
          <w:rFonts w:ascii="Arial" w:cs="Arial" w:eastAsia="Arial" w:hAnsi="Arial"/>
          <w:sz w:val="13"/>
          <w:szCs w:val="13"/>
          <w:color w:val="auto"/>
        </w:rPr>
        <w:t>At March 31, 2011, SDG&amp;E and SoCalGas had no outstanding borrowings and SDG&amp;E had $237 million of variable-rate demand notes outstanding supported by the facility. Available unused credit on the lines at March 31, 2011 was $363 million at SDG&amp;E and $563 million at SoCalGas; SoCalGas' availability reflects the impact of SDG&amp;E's use of the combined credit available on the line.</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GUARANTEES</w:t>
      </w: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RBS Sempra Commodities</w:t>
      </w:r>
    </w:p>
    <w:p>
      <w:pPr>
        <w:spacing w:after="0" w:line="160"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color w:val="auto"/>
        </w:rPr>
        <w:t>As we discuss in Note 4, in 2010 and early 2011, Sempra Energy, RBS and RBS Sempra Commodities sold substantially all of the businesses and assets within the partnership in four separate transactions. In connection with each of these transactions, the buyers are, subject to certain qualifications, obligated to replace any guarantees that we have issued in connection with the applicable businesses sold with guarantees of their own. During the process of replacing these guarantees, the buyers are obligated to indemnify us in accordance with the applicable transaction documents for any claims or losses in connection with the guarantees. With respect to the transaction with Noble Group, for those guarantees that Noble Group is not able to replace, we have agreed to allow Noble Group to continue trading under such guarantees until June 1, 2011.</w:t>
      </w:r>
    </w:p>
    <w:p>
      <w:pPr>
        <w:spacing w:after="0" w:line="150"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We have indemnified the partnership for certain litigation and tax liabilities related to the businesses purchased by the partnership from us. We recorded these obligations at a fair value of $5 million on April 1, 2008, the date we formed the partnership. This liability was amortized over its expected life.</w:t>
      </w:r>
    </w:p>
    <w:p>
      <w:pPr>
        <w:spacing w:after="0" w:line="138" w:lineRule="exact"/>
        <w:rPr>
          <w:sz w:val="20"/>
          <w:szCs w:val="20"/>
          <w:color w:val="auto"/>
        </w:rPr>
      </w:pPr>
    </w:p>
    <w:p>
      <w:pPr>
        <w:ind w:right="140"/>
        <w:spacing w:after="0" w:line="256" w:lineRule="auto"/>
        <w:rPr>
          <w:sz w:val="20"/>
          <w:szCs w:val="20"/>
          <w:color w:val="auto"/>
        </w:rPr>
      </w:pPr>
      <w:r>
        <w:rPr>
          <w:rFonts w:ascii="Arial" w:cs="Arial" w:eastAsia="Arial" w:hAnsi="Arial"/>
          <w:sz w:val="14"/>
          <w:szCs w:val="14"/>
          <w:color w:val="auto"/>
        </w:rPr>
        <w:t>RBS is obligated to provide RBS Sempra Commodities with certain of its working-capital requirements. We provide back-up guarantees for a portion of RBS Sempra Commodities’ remaining trading obligations. Some of these back-up guarantees may continue for a prolonged period of time. RBS has fully indemnified us for any claims or losses in connection with these arrangements, with the exception of those obligations for which JP Morgan has agreed to indemnify us. We discuss the indemnification release in Note 4.</w:t>
      </w:r>
    </w:p>
    <w:p>
      <w:pPr>
        <w:spacing w:after="0" w:line="146"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RBS Sempra Commodities’ net trading liabilities supported by Sempra Energy’s guarantees at March 31, 2011 were $286 million, consisting of guaranteed trading obligations net of collateral. The amount of guaranteed net trading liabilities varies from day to day with the value of the trading obligations and related collateral.</w:t>
      </w:r>
    </w:p>
    <w:p>
      <w:pPr>
        <w:sectPr>
          <w:pgSz w:w="11900" w:h="16905" w:orient="portrait"/>
          <w:cols w:equalWidth="0" w:num="1">
            <w:col w:w="11460"/>
          </w:cols>
          <w:pgMar w:left="220" w:top="294" w:right="219" w:bottom="0" w:gutter="0" w:footer="0" w:header="0"/>
        </w:sectPr>
      </w:pPr>
    </w:p>
    <w:bookmarkStart w:id="31" w:name="page32"/>
    <w:bookmarkEnd w:id="31"/>
    <w:p>
      <w:pPr>
        <w:spacing w:after="0"/>
        <w:rPr>
          <w:sz w:val="20"/>
          <w:szCs w:val="20"/>
          <w:color w:val="auto"/>
        </w:rPr>
      </w:pPr>
      <w:r>
        <w:rPr>
          <w:rFonts w:ascii="Arial" w:cs="Arial" w:eastAsia="Arial" w:hAnsi="Arial"/>
          <w:sz w:val="15"/>
          <w:szCs w:val="15"/>
          <w:b w:val="1"/>
          <w:bCs w:val="1"/>
          <w:i w:val="1"/>
          <w:iCs w:val="1"/>
          <w:color w:val="auto"/>
        </w:rPr>
        <w:t>Other Guarantees</w:t>
      </w:r>
    </w:p>
    <w:p>
      <w:pPr>
        <w:spacing w:after="0" w:line="160" w:lineRule="exact"/>
        <w:rPr>
          <w:sz w:val="20"/>
          <w:szCs w:val="20"/>
          <w:color w:val="auto"/>
        </w:rPr>
      </w:pPr>
    </w:p>
    <w:p>
      <w:pPr>
        <w:ind w:right="100"/>
        <w:spacing w:after="0" w:line="251" w:lineRule="auto"/>
        <w:rPr>
          <w:sz w:val="20"/>
          <w:szCs w:val="20"/>
          <w:color w:val="auto"/>
        </w:rPr>
      </w:pPr>
      <w:r>
        <w:rPr>
          <w:rFonts w:ascii="Arial" w:cs="Arial" w:eastAsia="Arial" w:hAnsi="Arial"/>
          <w:sz w:val="14"/>
          <w:szCs w:val="14"/>
          <w:color w:val="auto"/>
        </w:rPr>
        <w:t>Sempra Generation and BP Wind Energy currently hold 50-percent ownership interests in Fowler Ridge II. In August 2010, Fowler Ridge II obtained a $348 million term loan expiring in August 2022. The proceeds were used to return $180 million of each owner’s investment in the joint venture. The loan agreement requires Sempra Generation and BP Wind Energy to return cash to the project in the event that the project does not meet certain cash flow criteria or in the event that the project’s debt service and operation and maintenance reserve accounts are not maintained at specific thresholds. Sempra Generation recorded a liability of $9 million for the fair value of its obligation associated with the cash flow requirements, which constitutes a guarantee. This liability is being amortized over its expected life. The outstanding loan is not guaranteed by the partners.</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WEIGHTED AVERAGE INTEREST RATES</w:t>
      </w:r>
    </w:p>
    <w:p>
      <w:pPr>
        <w:spacing w:after="0" w:line="176" w:lineRule="exact"/>
        <w:rPr>
          <w:sz w:val="20"/>
          <w:szCs w:val="20"/>
          <w:color w:val="auto"/>
        </w:rPr>
      </w:pPr>
    </w:p>
    <w:p>
      <w:pPr>
        <w:ind w:right="380"/>
        <w:spacing w:after="0" w:line="306" w:lineRule="auto"/>
        <w:rPr>
          <w:sz w:val="20"/>
          <w:szCs w:val="20"/>
          <w:color w:val="auto"/>
        </w:rPr>
      </w:pPr>
      <w:r>
        <w:rPr>
          <w:rFonts w:ascii="Arial" w:cs="Arial" w:eastAsia="Arial" w:hAnsi="Arial"/>
          <w:sz w:val="13"/>
          <w:szCs w:val="13"/>
          <w:color w:val="auto"/>
        </w:rPr>
        <w:t>The weighted average interest rates on the total short-term debt outstanding at Sempra Energy were 0.49 percent and 0.46 percent at March 31, 2011 and December 31, 2010, respectively. The weighted average interest rates at both March 31, 2011 and December 31, 2010 include commercial paper borrowings classified as long-term, as we discuss above.</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LONG-TERM DEBT</w:t>
      </w:r>
    </w:p>
    <w:p>
      <w:pPr>
        <w:spacing w:after="0" w:line="176"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In March 2011, Sempra Energy publicly offered and sold $500 million of 2-percent notes and $300 million of floating rate notes (1.069 percent as of March 31, 2011), both maturing in 2014. The floating rate notes bear interest at a rate equal to the three-month London interbank offered rate (LIBOR) plus 0.76 percent. The interest rate is reset quarterly.</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SWAPS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We discuss our fair value interest rate swaps and interest rate swaps to hedge cash flows in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272415</wp:posOffset>
            </wp:positionV>
            <wp:extent cx="729170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1705" cy="635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auto"/>
        </w:rPr>
        <w:t>NOTE 7. DERIVATIVE FINANCIAL INSTRUMENTS</w:t>
      </w:r>
    </w:p>
    <w:p>
      <w:pPr>
        <w:spacing w:after="0" w:line="150" w:lineRule="exact"/>
        <w:rPr>
          <w:sz w:val="20"/>
          <w:szCs w:val="20"/>
          <w:color w:val="auto"/>
        </w:rPr>
      </w:pPr>
    </w:p>
    <w:p>
      <w:pPr>
        <w:ind w:right="200"/>
        <w:spacing w:after="0" w:line="344" w:lineRule="auto"/>
        <w:rPr>
          <w:sz w:val="20"/>
          <w:szCs w:val="20"/>
          <w:color w:val="auto"/>
        </w:rPr>
      </w:pPr>
      <w:r>
        <w:rPr>
          <w:rFonts w:ascii="Arial" w:cs="Arial" w:eastAsia="Arial" w:hAnsi="Arial"/>
          <w:sz w:val="11"/>
          <w:szCs w:val="11"/>
          <w:color w:val="auto"/>
        </w:rPr>
        <w:t>We use derivative instruments primarily to manage exposures arising in the normal course of business. These exposures are commodity market risk and benchmark interest rate risk. We may also manage foreign exchange rate exposures using derivatives. Our use of derivatives for these risks is integrated into the economic management of our anticipated revenues, anticipated expenses, assets and liabilities. Derivatives may be effective in mitigating these risks that could lead to declines in anticipated revenues or increases in anticipated expenses, or that our asset values may fall or our liabilities increase. Accordingly, our derivative activity summarized below generally represents an impact that is intended to offset associated revenues, expenses, assets or liabilities that are not presented below.</w:t>
      </w:r>
    </w:p>
    <w:p>
      <w:pPr>
        <w:spacing w:after="0" w:line="102" w:lineRule="exact"/>
        <w:rPr>
          <w:sz w:val="20"/>
          <w:szCs w:val="20"/>
          <w:color w:val="auto"/>
        </w:rPr>
      </w:pPr>
    </w:p>
    <w:p>
      <w:pPr>
        <w:ind w:right="260"/>
        <w:spacing w:after="0" w:line="279" w:lineRule="auto"/>
        <w:rPr>
          <w:sz w:val="20"/>
          <w:szCs w:val="20"/>
          <w:color w:val="auto"/>
        </w:rPr>
      </w:pPr>
      <w:r>
        <w:rPr>
          <w:rFonts w:ascii="Arial" w:cs="Arial" w:eastAsia="Arial" w:hAnsi="Arial"/>
          <w:sz w:val="13"/>
          <w:szCs w:val="13"/>
          <w:color w:val="auto"/>
        </w:rPr>
        <w:t>We record all derivatives at fair value on the Condensed Consolidated Balance Sheets. We designate each derivative as (1) a cash flow hedge, (2) a fair value hedge, or (3) undesignated. Depending on the applicability of hedge accounting and, for the Sempra Utilities and other operations subject to regulatory accounting, the requirement to pass impacts through to customers, the impact of derivative instruments may be offset in other comprehensive income (cash flow hedge), on the balance sheet (fair value hedges and regulatory offsets), or recognized in earnings. We classify cash flows from the settlements of derivative instruments as operating activities on the Condensed Consolidated Statements of Cash Flows.</w:t>
      </w:r>
    </w:p>
    <w:p>
      <w:pPr>
        <w:spacing w:after="0" w:line="132" w:lineRule="exact"/>
        <w:rPr>
          <w:sz w:val="20"/>
          <w:szCs w:val="20"/>
          <w:color w:val="auto"/>
        </w:rPr>
      </w:pPr>
    </w:p>
    <w:p>
      <w:pPr>
        <w:ind w:right="240"/>
        <w:spacing w:after="0" w:line="267" w:lineRule="auto"/>
        <w:rPr>
          <w:sz w:val="20"/>
          <w:szCs w:val="20"/>
          <w:color w:val="auto"/>
        </w:rPr>
      </w:pPr>
      <w:r>
        <w:rPr>
          <w:rFonts w:ascii="Arial" w:cs="Arial" w:eastAsia="Arial" w:hAnsi="Arial"/>
          <w:sz w:val="14"/>
          <w:szCs w:val="14"/>
          <w:color w:val="auto"/>
        </w:rPr>
        <w:t>In certain cases, we apply the normal purchase or sale exception to derivative accounting and have other commodity contracts that are not derivatives. These contracts are not recorded at fair value and are therefore excluded from the disclosures below.</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HEDGE ACCOUNTING</w:t>
      </w:r>
    </w:p>
    <w:p>
      <w:pPr>
        <w:spacing w:after="0" w:line="176" w:lineRule="exact"/>
        <w:rPr>
          <w:sz w:val="20"/>
          <w:szCs w:val="20"/>
          <w:color w:val="auto"/>
        </w:rPr>
      </w:pPr>
    </w:p>
    <w:p>
      <w:pPr>
        <w:jc w:val="both"/>
        <w:ind w:right="40"/>
        <w:spacing w:after="0" w:line="256" w:lineRule="auto"/>
        <w:rPr>
          <w:sz w:val="20"/>
          <w:szCs w:val="20"/>
          <w:color w:val="auto"/>
        </w:rPr>
      </w:pPr>
      <w:r>
        <w:rPr>
          <w:rFonts w:ascii="Arial" w:cs="Arial" w:eastAsia="Arial" w:hAnsi="Arial"/>
          <w:sz w:val="14"/>
          <w:szCs w:val="14"/>
          <w:color w:val="auto"/>
        </w:rPr>
        <w:t>We may designate a derivative as a cash flow hedging instrument if it effectively converts anticipated revenues or expenses to a fixed dollar amount. We may utilize cash flow hedge accounting for derivative commodity instruments and interest rate instruments. Designating cash flow hedges is dependent on the business context in which the instrument is being used, the effectiveness of the instrument in offsetting the risk that a given future revenue or expense item may vary, and other criteria.</w:t>
      </w:r>
    </w:p>
    <w:p>
      <w:pPr>
        <w:spacing w:after="0" w:line="146"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may designate an interest rate derivative as a fair value hedging instrument if it effectively converts our own debt from a fixed interest rate to a variable rate. The combination of the derivative and debt instruments results in fixing that portion of the fair value of the debt that is related to benchmark interest rates. Designating fair value hedges is dependent on the instrument being used, the effectiveness of the instrument in offsetting changes in the fair value of our debt instruments, and other criteria.</w:t>
      </w: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ENERGY DERIVATIVES</w:t>
      </w:r>
    </w:p>
    <w:p>
      <w:pPr>
        <w:spacing w:after="0" w:line="176" w:lineRule="exact"/>
        <w:rPr>
          <w:sz w:val="20"/>
          <w:szCs w:val="20"/>
          <w:color w:val="auto"/>
        </w:rPr>
      </w:pPr>
    </w:p>
    <w:p>
      <w:pPr>
        <w:ind w:right="320"/>
        <w:spacing w:after="0" w:line="267" w:lineRule="auto"/>
        <w:rPr>
          <w:sz w:val="20"/>
          <w:szCs w:val="20"/>
          <w:color w:val="auto"/>
        </w:rPr>
      </w:pPr>
      <w:r>
        <w:rPr>
          <w:rFonts w:ascii="Arial" w:cs="Arial" w:eastAsia="Arial" w:hAnsi="Arial"/>
          <w:sz w:val="14"/>
          <w:szCs w:val="14"/>
          <w:color w:val="auto"/>
        </w:rPr>
        <w:t>Our market risk is primarily related to natural gas and electricity price volatility and the specific physical locations where we transact. We use energy derivatives to manage these risks. The use of energy derivatives in our various businesses depends on the particular energy market, and the operating and regulatory environments applicable to the business.</w:t>
      </w:r>
    </w:p>
    <w:p>
      <w:pPr>
        <w:spacing w:after="0" w:line="138" w:lineRule="exact"/>
        <w:rPr>
          <w:sz w:val="20"/>
          <w:szCs w:val="20"/>
          <w:color w:val="auto"/>
        </w:rPr>
      </w:pPr>
    </w:p>
    <w:p>
      <w:pPr>
        <w:jc w:val="both"/>
        <w:ind w:left="260" w:hanging="147"/>
        <w:spacing w:after="0" w:line="344" w:lineRule="auto"/>
        <w:tabs>
          <w:tab w:leader="none" w:pos="2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Sempra Utilities use natural gas energy derivatives, on their customers' behalf, with the objective of managing price risk and basis risks, and lowering natural gas costs. These derivatives include fixed price natural gas positions, options, and basis risk instruments, which are either exchange-traded or over-the-counter financial instruments. This activity is governed by risk management and transacting activity plans that have been filed with and approved by the CPUC. Natural gas derivative activities are recorded as commodity costs that are offset by regulatory account balances and are recovered in rates. Net commodity cost impacts on the Condensed Consolidated Statements of Operations are reflected in Cost of Electric Fuel and Purchased Power or in Cost of Natural Gas.</w:t>
      </w:r>
    </w:p>
    <w:p>
      <w:pPr>
        <w:spacing w:after="0" w:line="122" w:lineRule="exact"/>
        <w:rPr>
          <w:rFonts w:ascii="Arial" w:cs="Arial" w:eastAsia="Arial" w:hAnsi="Arial"/>
          <w:sz w:val="11"/>
          <w:szCs w:val="11"/>
          <w:color w:val="auto"/>
        </w:rPr>
      </w:pPr>
    </w:p>
    <w:p>
      <w:pPr>
        <w:jc w:val="both"/>
        <w:ind w:left="260" w:hanging="147"/>
        <w:spacing w:after="0" w:line="256" w:lineRule="auto"/>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SDG&amp;E is allocated and may purchase congestion revenue rights (CRRs), which serve to reduce the regional electricity price volatility risk that may result from local transmission capacity constraints. Unrealized gains and losses do not impact earnings, as they are offset by regulatory account balances. Realized gains and losses associated with CRRs are recorded in Cost of Electric Fuel and Purchased Power, which is recoverable in rates, on the Condensed Consolidated Statements of Operations.</w:t>
      </w:r>
    </w:p>
    <w:p>
      <w:pPr>
        <w:spacing w:after="0" w:line="166" w:lineRule="exact"/>
        <w:rPr>
          <w:rFonts w:ascii="Arial" w:cs="Arial" w:eastAsia="Arial" w:hAnsi="Arial"/>
          <w:sz w:val="14"/>
          <w:szCs w:val="14"/>
          <w:color w:val="auto"/>
        </w:rPr>
      </w:pPr>
    </w:p>
    <w:p>
      <w:pPr>
        <w:ind w:left="260" w:hanging="147"/>
        <w:spacing w:after="0" w:line="405" w:lineRule="auto"/>
        <w:tabs>
          <w:tab w:leader="none" w:pos="2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Sempra Generation uses natural gas and electricity instruments to market energy products and optimize the earnings of its power generation fleet. Gains and losses associated with these undesignated derivatives are recognized in Sempra Global and Parent Revenues or in Cost of Natural Gas, Electric Fuel and Purchased Power on the Condensed Consolidated Statements of Operations.</w:t>
      </w:r>
    </w:p>
    <w:p>
      <w:pPr>
        <w:spacing w:after="0" w:line="89" w:lineRule="exact"/>
        <w:rPr>
          <w:rFonts w:ascii="Arial" w:cs="Arial" w:eastAsia="Arial" w:hAnsi="Arial"/>
          <w:sz w:val="11"/>
          <w:szCs w:val="11"/>
          <w:color w:val="auto"/>
        </w:rPr>
      </w:pPr>
    </w:p>
    <w:p>
      <w:pPr>
        <w:jc w:val="both"/>
        <w:ind w:left="260" w:hanging="147"/>
        <w:spacing w:after="0" w:line="336" w:lineRule="auto"/>
        <w:tabs>
          <w:tab w:leader="none" w:pos="2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Sempra LNG and Sempra Pipelines &amp; Storage use natural gas derivatives to market energy products and optimize the earnings of our liquefied natural gas business and Sempra Pipelines &amp; Storage's natural gas storage and transportation assets. Sempra Pipelines &amp; Storage also uses natural gas energy derivatives with the objective of managing price risk and lowering natural gas prices at its Mexican distribution operations. Sempra Pipelines &amp; Storage’s derivatives are either undesignated or are recorded as commodity costs that are offset by regulatory account balances and are recovered in rates. The impacts on earnings are recognized in Sempra Global and Parent Revenues or in Cost of Natural Gas, Electric Fuel and Purchased Power on the Condensed Consolidated Statements of Operations. Sempra LNG’s derivatives are undesignated, and their impact on earnings is recorded in Sempra Global and Parent Revenues on the Condensed Consolidated Statements of Operations.</w:t>
      </w:r>
    </w:p>
    <w:p>
      <w:pPr>
        <w:spacing w:after="0" w:line="127" w:lineRule="exact"/>
        <w:rPr>
          <w:rFonts w:ascii="Arial" w:cs="Arial" w:eastAsia="Arial" w:hAnsi="Arial"/>
          <w:sz w:val="11"/>
          <w:szCs w:val="11"/>
          <w:color w:val="auto"/>
        </w:rPr>
      </w:pPr>
    </w:p>
    <w:p>
      <w:pPr>
        <w:ind w:left="260" w:hanging="147"/>
        <w:spacing w:after="0"/>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From time to time, our various businesses, including the Sempra Utilities, may use other energy derivatives to hedge exposures such as the price of vehicle fuel.</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We summarize net energy derivative volumes as of March 31, 2011 and December 31, 2010 as follows: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4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Business Unit and Commodity</w:t>
            </w:r>
          </w:p>
        </w:tc>
        <w:tc>
          <w:tcPr>
            <w:tcW w:w="4160" w:type="dxa"/>
            <w:vAlign w:val="bottom"/>
            <w:tcBorders>
              <w:bottom w:val="single" w:sz="8" w:color="auto"/>
            </w:tcBorders>
          </w:tcPr>
          <w:p>
            <w:pPr>
              <w:jc w:val="right"/>
              <w:ind w:right="1259"/>
              <w:spacing w:after="0"/>
              <w:rPr>
                <w:sz w:val="20"/>
                <w:szCs w:val="20"/>
                <w:color w:val="auto"/>
              </w:rPr>
            </w:pPr>
            <w:r>
              <w:rPr>
                <w:rFonts w:ascii="Arial" w:cs="Arial" w:eastAsia="Arial" w:hAnsi="Arial"/>
                <w:sz w:val="11"/>
                <w:szCs w:val="11"/>
                <w:color w:val="auto"/>
              </w:rPr>
              <w:t>March 31, 2011</w:t>
            </w:r>
          </w:p>
        </w:tc>
        <w:tc>
          <w:tcPr>
            <w:tcW w:w="2820" w:type="dxa"/>
            <w:vAlign w:val="bottom"/>
            <w:tcBorders>
              <w:bottom w:val="single" w:sz="8" w:color="auto"/>
            </w:tcBorders>
          </w:tcPr>
          <w:p>
            <w:pPr>
              <w:jc w:val="right"/>
              <w:ind w:right="1399"/>
              <w:spacing w:after="0"/>
              <w:rPr>
                <w:sz w:val="20"/>
                <w:szCs w:val="20"/>
                <w:color w:val="auto"/>
              </w:rPr>
            </w:pPr>
            <w:r>
              <w:rPr>
                <w:rFonts w:ascii="Arial" w:cs="Arial" w:eastAsia="Arial" w:hAnsi="Arial"/>
                <w:sz w:val="11"/>
                <w:szCs w:val="11"/>
                <w:color w:val="auto"/>
              </w:rPr>
              <w:t>December 31, 2010</w:t>
            </w:r>
          </w:p>
        </w:tc>
      </w:tr>
      <w:tr>
        <w:trPr>
          <w:trHeight w:val="160"/>
        </w:trPr>
        <w:tc>
          <w:tcPr>
            <w:tcW w:w="4480" w:type="dxa"/>
            <w:vAlign w:val="bottom"/>
          </w:tcPr>
          <w:p>
            <w:pPr>
              <w:spacing w:after="0"/>
              <w:rPr>
                <w:sz w:val="20"/>
                <w:szCs w:val="20"/>
                <w:color w:val="auto"/>
              </w:rPr>
            </w:pPr>
            <w:r>
              <w:rPr>
                <w:rFonts w:ascii="Arial" w:cs="Arial" w:eastAsia="Arial" w:hAnsi="Arial"/>
                <w:sz w:val="12"/>
                <w:szCs w:val="12"/>
                <w:color w:val="auto"/>
              </w:rPr>
              <w:t>Sempra Utilities:</w:t>
            </w:r>
          </w:p>
        </w:tc>
        <w:tc>
          <w:tcPr>
            <w:tcW w:w="4160" w:type="dxa"/>
            <w:vAlign w:val="bottom"/>
          </w:tcPr>
          <w:p>
            <w:pPr>
              <w:spacing w:after="0"/>
              <w:rPr>
                <w:sz w:val="13"/>
                <w:szCs w:val="13"/>
                <w:color w:val="auto"/>
              </w:rPr>
            </w:pPr>
          </w:p>
        </w:tc>
        <w:tc>
          <w:tcPr>
            <w:tcW w:w="2820" w:type="dxa"/>
            <w:vAlign w:val="bottom"/>
          </w:tcPr>
          <w:p>
            <w:pPr>
              <w:spacing w:after="0"/>
              <w:rPr>
                <w:sz w:val="13"/>
                <w:szCs w:val="13"/>
                <w:color w:val="auto"/>
              </w:rPr>
            </w:pPr>
          </w:p>
        </w:tc>
      </w:tr>
      <w:tr>
        <w:trPr>
          <w:trHeight w:val="141"/>
        </w:trPr>
        <w:tc>
          <w:tcPr>
            <w:tcW w:w="4480" w:type="dxa"/>
            <w:vAlign w:val="bottom"/>
          </w:tcPr>
          <w:p>
            <w:pPr>
              <w:ind w:left="140"/>
              <w:spacing w:after="0"/>
              <w:rPr>
                <w:sz w:val="20"/>
                <w:szCs w:val="20"/>
                <w:color w:val="auto"/>
              </w:rPr>
            </w:pPr>
            <w:r>
              <w:rPr>
                <w:rFonts w:ascii="Arial" w:cs="Arial" w:eastAsia="Arial" w:hAnsi="Arial"/>
                <w:sz w:val="12"/>
                <w:szCs w:val="12"/>
                <w:color w:val="auto"/>
              </w:rPr>
              <w:t>SDG&amp;E:</w:t>
            </w:r>
          </w:p>
        </w:tc>
        <w:tc>
          <w:tcPr>
            <w:tcW w:w="4160" w:type="dxa"/>
            <w:vAlign w:val="bottom"/>
          </w:tcPr>
          <w:p>
            <w:pPr>
              <w:spacing w:after="0"/>
              <w:rPr>
                <w:sz w:val="12"/>
                <w:szCs w:val="12"/>
                <w:color w:val="auto"/>
              </w:rPr>
            </w:pPr>
          </w:p>
        </w:tc>
        <w:tc>
          <w:tcPr>
            <w:tcW w:w="2820" w:type="dxa"/>
            <w:vAlign w:val="bottom"/>
          </w:tcPr>
          <w:p>
            <w:pPr>
              <w:spacing w:after="0"/>
              <w:rPr>
                <w:sz w:val="12"/>
                <w:szCs w:val="12"/>
                <w:color w:val="auto"/>
              </w:rPr>
            </w:pPr>
          </w:p>
        </w:tc>
      </w:tr>
      <w:tr>
        <w:trPr>
          <w:trHeight w:val="134"/>
        </w:trPr>
        <w:tc>
          <w:tcPr>
            <w:tcW w:w="4480" w:type="dxa"/>
            <w:vAlign w:val="bottom"/>
          </w:tcPr>
          <w:p>
            <w:pPr>
              <w:ind w:left="280"/>
              <w:spacing w:after="0" w:line="134" w:lineRule="exact"/>
              <w:rPr>
                <w:sz w:val="20"/>
                <w:szCs w:val="20"/>
                <w:color w:val="auto"/>
              </w:rPr>
            </w:pPr>
            <w:r>
              <w:rPr>
                <w:rFonts w:ascii="Arial" w:cs="Arial" w:eastAsia="Arial" w:hAnsi="Arial"/>
                <w:sz w:val="12"/>
                <w:szCs w:val="12"/>
                <w:color w:val="auto"/>
              </w:rPr>
              <w:t>Natural gas</w:t>
            </w:r>
          </w:p>
        </w:tc>
        <w:tc>
          <w:tcPr>
            <w:tcW w:w="4160" w:type="dxa"/>
            <w:vAlign w:val="bottom"/>
          </w:tcPr>
          <w:p>
            <w:pPr>
              <w:jc w:val="right"/>
              <w:ind w:right="339"/>
              <w:spacing w:after="0" w:line="134" w:lineRule="exact"/>
              <w:rPr>
                <w:sz w:val="20"/>
                <w:szCs w:val="20"/>
                <w:color w:val="auto"/>
              </w:rPr>
            </w:pPr>
            <w:r>
              <w:rPr>
                <w:rFonts w:ascii="Arial" w:cs="Arial" w:eastAsia="Arial" w:hAnsi="Arial"/>
                <w:sz w:val="12"/>
                <w:szCs w:val="12"/>
                <w:color w:val="auto"/>
              </w:rPr>
              <w:t>48 million MMBtu</w:t>
            </w:r>
          </w:p>
        </w:tc>
        <w:tc>
          <w:tcPr>
            <w:tcW w:w="2820" w:type="dxa"/>
            <w:vAlign w:val="bottom"/>
          </w:tcPr>
          <w:p>
            <w:pPr>
              <w:jc w:val="right"/>
              <w:ind w:right="459"/>
              <w:spacing w:after="0" w:line="134" w:lineRule="exact"/>
              <w:rPr>
                <w:sz w:val="20"/>
                <w:szCs w:val="20"/>
                <w:color w:val="auto"/>
              </w:rPr>
            </w:pPr>
            <w:r>
              <w:rPr>
                <w:rFonts w:ascii="Arial" w:cs="Arial" w:eastAsia="Arial" w:hAnsi="Arial"/>
                <w:sz w:val="12"/>
                <w:szCs w:val="12"/>
                <w:color w:val="auto"/>
              </w:rPr>
              <w:t>51 million MMBtu</w:t>
            </w:r>
            <w:r>
              <w:rPr>
                <w:rFonts w:ascii="Arial" w:cs="Arial" w:eastAsia="Arial" w:hAnsi="Arial"/>
                <w:sz w:val="11"/>
                <w:szCs w:val="11"/>
                <w:color w:val="auto"/>
              </w:rPr>
              <w:t>(1)</w:t>
            </w:r>
          </w:p>
        </w:tc>
      </w:tr>
      <w:tr>
        <w:trPr>
          <w:trHeight w:val="155"/>
        </w:trPr>
        <w:tc>
          <w:tcPr>
            <w:tcW w:w="4480" w:type="dxa"/>
            <w:vAlign w:val="bottom"/>
          </w:tcPr>
          <w:p>
            <w:pPr>
              <w:ind w:left="280"/>
              <w:spacing w:after="0"/>
              <w:rPr>
                <w:sz w:val="20"/>
                <w:szCs w:val="20"/>
                <w:color w:val="auto"/>
              </w:rPr>
            </w:pPr>
            <w:r>
              <w:rPr>
                <w:rFonts w:ascii="Arial" w:cs="Arial" w:eastAsia="Arial" w:hAnsi="Arial"/>
                <w:sz w:val="12"/>
                <w:szCs w:val="12"/>
                <w:color w:val="auto"/>
              </w:rPr>
              <w:t>Congestion revenue rights</w:t>
            </w:r>
          </w:p>
        </w:tc>
        <w:tc>
          <w:tcPr>
            <w:tcW w:w="4160" w:type="dxa"/>
            <w:vAlign w:val="bottom"/>
          </w:tcPr>
          <w:p>
            <w:pPr>
              <w:jc w:val="right"/>
              <w:ind w:right="339"/>
              <w:spacing w:after="0"/>
              <w:rPr>
                <w:sz w:val="20"/>
                <w:szCs w:val="20"/>
                <w:color w:val="auto"/>
              </w:rPr>
            </w:pPr>
            <w:r>
              <w:rPr>
                <w:rFonts w:ascii="Arial" w:cs="Arial" w:eastAsia="Arial" w:hAnsi="Arial"/>
                <w:sz w:val="12"/>
                <w:szCs w:val="12"/>
                <w:color w:val="auto"/>
              </w:rPr>
              <w:t>17 million MWh</w:t>
            </w:r>
          </w:p>
        </w:tc>
        <w:tc>
          <w:tcPr>
            <w:tcW w:w="2820" w:type="dxa"/>
            <w:vAlign w:val="bottom"/>
          </w:tcPr>
          <w:p>
            <w:pPr>
              <w:jc w:val="right"/>
              <w:ind w:right="459"/>
              <w:spacing w:after="0"/>
              <w:rPr>
                <w:sz w:val="20"/>
                <w:szCs w:val="20"/>
                <w:color w:val="auto"/>
              </w:rPr>
            </w:pPr>
            <w:r>
              <w:rPr>
                <w:rFonts w:ascii="Arial" w:cs="Arial" w:eastAsia="Arial" w:hAnsi="Arial"/>
                <w:sz w:val="12"/>
                <w:szCs w:val="12"/>
                <w:color w:val="auto"/>
              </w:rPr>
              <w:t>21 million MWh</w:t>
            </w:r>
            <w:r>
              <w:rPr>
                <w:rFonts w:ascii="Arial" w:cs="Arial" w:eastAsia="Arial" w:hAnsi="Arial"/>
                <w:sz w:val="11"/>
                <w:szCs w:val="11"/>
                <w:color w:val="auto"/>
              </w:rPr>
              <w:t>(2)</w:t>
            </w:r>
          </w:p>
        </w:tc>
      </w:tr>
      <w:tr>
        <w:trPr>
          <w:trHeight w:val="304"/>
        </w:trPr>
        <w:tc>
          <w:tcPr>
            <w:tcW w:w="4480" w:type="dxa"/>
            <w:vAlign w:val="bottom"/>
          </w:tcPr>
          <w:p>
            <w:pPr>
              <w:spacing w:after="0"/>
              <w:rPr>
                <w:sz w:val="20"/>
                <w:szCs w:val="20"/>
                <w:color w:val="auto"/>
              </w:rPr>
            </w:pPr>
            <w:r>
              <w:rPr>
                <w:rFonts w:ascii="Arial" w:cs="Arial" w:eastAsia="Arial" w:hAnsi="Arial"/>
                <w:sz w:val="12"/>
                <w:szCs w:val="12"/>
                <w:color w:val="auto"/>
              </w:rPr>
              <w:t>Sempra Global:</w:t>
            </w:r>
          </w:p>
        </w:tc>
        <w:tc>
          <w:tcPr>
            <w:tcW w:w="41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55"/>
        </w:trPr>
        <w:tc>
          <w:tcPr>
            <w:tcW w:w="4480" w:type="dxa"/>
            <w:vAlign w:val="bottom"/>
          </w:tcPr>
          <w:p>
            <w:pPr>
              <w:ind w:left="140"/>
              <w:spacing w:after="0"/>
              <w:rPr>
                <w:sz w:val="20"/>
                <w:szCs w:val="20"/>
                <w:color w:val="auto"/>
              </w:rPr>
            </w:pPr>
            <w:r>
              <w:rPr>
                <w:rFonts w:ascii="Arial" w:cs="Arial" w:eastAsia="Arial" w:hAnsi="Arial"/>
                <w:sz w:val="12"/>
                <w:szCs w:val="12"/>
                <w:color w:val="auto"/>
              </w:rPr>
              <w:t>Sempra Generation - electric power</w:t>
            </w:r>
          </w:p>
        </w:tc>
        <w:tc>
          <w:tcPr>
            <w:tcW w:w="4160" w:type="dxa"/>
            <w:vAlign w:val="bottom"/>
          </w:tcPr>
          <w:p>
            <w:pPr>
              <w:jc w:val="right"/>
              <w:ind w:right="339"/>
              <w:spacing w:after="0"/>
              <w:rPr>
                <w:sz w:val="20"/>
                <w:szCs w:val="20"/>
                <w:color w:val="auto"/>
              </w:rPr>
            </w:pPr>
            <w:r>
              <w:rPr>
                <w:rFonts w:ascii="Arial" w:cs="Arial" w:eastAsia="Arial" w:hAnsi="Arial"/>
                <w:sz w:val="12"/>
                <w:szCs w:val="12"/>
                <w:color w:val="auto"/>
              </w:rPr>
              <w:t>1 million MWh</w:t>
            </w:r>
          </w:p>
        </w:tc>
        <w:tc>
          <w:tcPr>
            <w:tcW w:w="2820" w:type="dxa"/>
            <w:vAlign w:val="bottom"/>
          </w:tcPr>
          <w:p>
            <w:pPr>
              <w:jc w:val="right"/>
              <w:ind w:right="579"/>
              <w:spacing w:after="0"/>
              <w:rPr>
                <w:sz w:val="20"/>
                <w:szCs w:val="20"/>
                <w:color w:val="auto"/>
              </w:rPr>
            </w:pPr>
            <w:r>
              <w:rPr>
                <w:rFonts w:ascii="Arial" w:cs="Arial" w:eastAsia="Arial" w:hAnsi="Arial"/>
                <w:sz w:val="12"/>
                <w:szCs w:val="12"/>
                <w:color w:val="auto"/>
              </w:rPr>
              <w:t>1 million MWh</w:t>
            </w:r>
          </w:p>
        </w:tc>
      </w:tr>
      <w:tr>
        <w:trPr>
          <w:trHeight w:val="155"/>
        </w:trPr>
        <w:tc>
          <w:tcPr>
            <w:tcW w:w="4480" w:type="dxa"/>
            <w:vAlign w:val="bottom"/>
          </w:tcPr>
          <w:p>
            <w:pPr>
              <w:ind w:left="140"/>
              <w:spacing w:after="0"/>
              <w:rPr>
                <w:sz w:val="20"/>
                <w:szCs w:val="20"/>
                <w:color w:val="auto"/>
              </w:rPr>
            </w:pPr>
            <w:r>
              <w:rPr>
                <w:rFonts w:ascii="Arial" w:cs="Arial" w:eastAsia="Arial" w:hAnsi="Arial"/>
                <w:sz w:val="12"/>
                <w:szCs w:val="12"/>
                <w:color w:val="auto"/>
              </w:rPr>
              <w:t>Sempra Pipelines &amp; Storage - natural gas</w:t>
            </w:r>
          </w:p>
        </w:tc>
        <w:tc>
          <w:tcPr>
            <w:tcW w:w="4160" w:type="dxa"/>
            <w:vAlign w:val="bottom"/>
          </w:tcPr>
          <w:p>
            <w:pPr>
              <w:jc w:val="right"/>
              <w:ind w:right="339"/>
              <w:spacing w:after="0"/>
              <w:rPr>
                <w:sz w:val="20"/>
                <w:szCs w:val="20"/>
                <w:color w:val="auto"/>
              </w:rPr>
            </w:pPr>
            <w:r>
              <w:rPr>
                <w:rFonts w:ascii="Arial" w:cs="Arial" w:eastAsia="Arial" w:hAnsi="Arial"/>
                <w:sz w:val="12"/>
                <w:szCs w:val="12"/>
                <w:color w:val="auto"/>
              </w:rPr>
              <w:t>3 million MMBtu</w:t>
            </w:r>
          </w:p>
        </w:tc>
        <w:tc>
          <w:tcPr>
            <w:tcW w:w="2820" w:type="dxa"/>
            <w:vAlign w:val="bottom"/>
          </w:tcPr>
          <w:p>
            <w:pPr>
              <w:jc w:val="right"/>
              <w:ind w:right="579"/>
              <w:spacing w:after="0"/>
              <w:rPr>
                <w:sz w:val="20"/>
                <w:szCs w:val="20"/>
                <w:color w:val="auto"/>
              </w:rPr>
            </w:pPr>
            <w:r>
              <w:rPr>
                <w:rFonts w:ascii="Arial" w:cs="Arial" w:eastAsia="Arial" w:hAnsi="Arial"/>
                <w:sz w:val="12"/>
                <w:szCs w:val="12"/>
                <w:color w:val="auto"/>
              </w:rPr>
              <w:t>8 million MMBtu</w:t>
            </w:r>
          </w:p>
        </w:tc>
      </w:tr>
      <w:tr>
        <w:trPr>
          <w:trHeight w:val="155"/>
        </w:trPr>
        <w:tc>
          <w:tcPr>
            <w:tcW w:w="4480" w:type="dxa"/>
            <w:vAlign w:val="bottom"/>
          </w:tcPr>
          <w:p>
            <w:pPr>
              <w:ind w:left="140"/>
              <w:spacing w:after="0"/>
              <w:rPr>
                <w:sz w:val="20"/>
                <w:szCs w:val="20"/>
                <w:color w:val="auto"/>
              </w:rPr>
            </w:pPr>
            <w:r>
              <w:rPr>
                <w:rFonts w:ascii="Arial" w:cs="Arial" w:eastAsia="Arial" w:hAnsi="Arial"/>
                <w:sz w:val="12"/>
                <w:szCs w:val="12"/>
                <w:color w:val="auto"/>
              </w:rPr>
              <w:t>Sempra LNG - natural gas</w:t>
            </w:r>
          </w:p>
        </w:tc>
        <w:tc>
          <w:tcPr>
            <w:tcW w:w="4160" w:type="dxa"/>
            <w:vAlign w:val="bottom"/>
          </w:tcPr>
          <w:p>
            <w:pPr>
              <w:jc w:val="right"/>
              <w:ind w:right="339"/>
              <w:spacing w:after="0"/>
              <w:rPr>
                <w:sz w:val="20"/>
                <w:szCs w:val="20"/>
                <w:color w:val="auto"/>
              </w:rPr>
            </w:pPr>
            <w:r>
              <w:rPr>
                <w:rFonts w:ascii="Arial" w:cs="Arial" w:eastAsia="Arial" w:hAnsi="Arial"/>
                <w:sz w:val="12"/>
                <w:szCs w:val="12"/>
                <w:color w:val="auto"/>
              </w:rPr>
              <w:t>6 million MMBtu</w:t>
            </w:r>
          </w:p>
        </w:tc>
        <w:tc>
          <w:tcPr>
            <w:tcW w:w="2820" w:type="dxa"/>
            <w:vAlign w:val="bottom"/>
          </w:tcPr>
          <w:p>
            <w:pPr>
              <w:jc w:val="right"/>
              <w:ind w:right="579"/>
              <w:spacing w:after="0"/>
              <w:rPr>
                <w:sz w:val="20"/>
                <w:szCs w:val="20"/>
                <w:color w:val="auto"/>
              </w:rPr>
            </w:pPr>
            <w:r>
              <w:rPr>
                <w:rFonts w:ascii="Arial" w:cs="Arial" w:eastAsia="Arial" w:hAnsi="Arial"/>
                <w:sz w:val="12"/>
                <w:szCs w:val="12"/>
                <w:color w:val="auto"/>
              </w:rPr>
              <w:t>7 million MMBtu</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279005" cy="13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ind w:left="640" w:hanging="637"/>
        <w:spacing w:after="0"/>
        <w:tabs>
          <w:tab w:leader="none" w:pos="640" w:val="left"/>
        </w:tabs>
        <w:numPr>
          <w:ilvl w:val="0"/>
          <w:numId w:val="14"/>
        </w:numPr>
        <w:rPr>
          <w:rFonts w:ascii="Arial" w:cs="Arial" w:eastAsia="Arial" w:hAnsi="Arial"/>
          <w:sz w:val="11"/>
          <w:szCs w:val="11"/>
          <w:i w:val="1"/>
          <w:iCs w:val="1"/>
          <w:color w:val="auto"/>
        </w:rPr>
      </w:pPr>
      <w:r>
        <w:rPr>
          <w:rFonts w:ascii="Arial" w:cs="Arial" w:eastAsia="Arial" w:hAnsi="Arial"/>
          <w:sz w:val="11"/>
          <w:szCs w:val="11"/>
          <w:i w:val="1"/>
          <w:iCs w:val="1"/>
          <w:color w:val="auto"/>
        </w:rPr>
        <w:t>Million British thermal units</w:t>
      </w:r>
    </w:p>
    <w:p>
      <w:pPr>
        <w:spacing w:after="0" w:line="9" w:lineRule="exact"/>
        <w:rPr>
          <w:rFonts w:ascii="Arial" w:cs="Arial" w:eastAsia="Arial" w:hAnsi="Arial"/>
          <w:sz w:val="11"/>
          <w:szCs w:val="11"/>
          <w:i w:val="1"/>
          <w:iCs w:val="1"/>
          <w:color w:val="auto"/>
        </w:rPr>
      </w:pPr>
    </w:p>
    <w:p>
      <w:pPr>
        <w:ind w:left="640" w:hanging="637"/>
        <w:spacing w:after="0"/>
        <w:tabs>
          <w:tab w:leader="none" w:pos="640" w:val="left"/>
        </w:tabs>
        <w:numPr>
          <w:ilvl w:val="0"/>
          <w:numId w:val="14"/>
        </w:numPr>
        <w:rPr>
          <w:rFonts w:ascii="Arial" w:cs="Arial" w:eastAsia="Arial" w:hAnsi="Arial"/>
          <w:sz w:val="11"/>
          <w:szCs w:val="11"/>
          <w:i w:val="1"/>
          <w:iCs w:val="1"/>
          <w:color w:val="auto"/>
        </w:rPr>
      </w:pPr>
      <w:r>
        <w:rPr>
          <w:rFonts w:ascii="Arial" w:cs="Arial" w:eastAsia="Arial" w:hAnsi="Arial"/>
          <w:sz w:val="11"/>
          <w:szCs w:val="11"/>
          <w:i w:val="1"/>
          <w:iCs w:val="1"/>
          <w:color w:val="auto"/>
        </w:rPr>
        <w:t>Megawatt hours</w:t>
      </w:r>
    </w:p>
    <w:p>
      <w:pPr>
        <w:sectPr>
          <w:pgSz w:w="11900" w:h="16838" w:orient="portrait"/>
          <w:cols w:equalWidth="0" w:num="1">
            <w:col w:w="11460"/>
          </w:cols>
          <w:pgMar w:left="220" w:top="458" w:right="219" w:bottom="0" w:gutter="0" w:footer="0" w:header="0"/>
        </w:sectPr>
      </w:pPr>
    </w:p>
    <w:bookmarkStart w:id="32" w:name="page33"/>
    <w:bookmarkEnd w:id="32"/>
    <w:p>
      <w:pPr>
        <w:ind w:right="280"/>
        <w:spacing w:after="0" w:line="267" w:lineRule="auto"/>
        <w:rPr>
          <w:sz w:val="20"/>
          <w:szCs w:val="20"/>
          <w:color w:val="auto"/>
        </w:rPr>
      </w:pPr>
      <w:r>
        <w:rPr>
          <w:rFonts w:ascii="Arial" w:cs="Arial" w:eastAsia="Arial" w:hAnsi="Arial"/>
          <w:sz w:val="14"/>
          <w:szCs w:val="14"/>
          <w:color w:val="auto"/>
        </w:rPr>
        <w:t>In addition to the amounts noted above, we frequently use commodity derivatives to manage risks associated with the physical locations of our customers, assets and other contractual obligations, such as natural gas purchases and sales.</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DERIVATIVES</w:t>
      </w:r>
    </w:p>
    <w:p>
      <w:pPr>
        <w:spacing w:after="0" w:line="176"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We are exposed to interest rates primarily as a result of our current and expected use of financing. We periodically enter into interest rate derivative agreements intended to moderate our exposure to interest rates and to lower our overall costs of borrowing. We utilize interest rate swaps typically designated as fair value hedges, as a means to achieve our targeted level of variable rate debt as a percent of total debt. In addition, we may utilize interest rate swaps, which are typically designated as cash flow hedges, to lock in interest rates in anticipation of future financings.</w:t>
      </w:r>
    </w:p>
    <w:p>
      <w:pPr>
        <w:spacing w:after="0" w:line="129" w:lineRule="exact"/>
        <w:rPr>
          <w:sz w:val="20"/>
          <w:szCs w:val="20"/>
          <w:color w:val="auto"/>
        </w:rPr>
      </w:pPr>
    </w:p>
    <w:p>
      <w:pPr>
        <w:jc w:val="both"/>
        <w:ind w:right="320"/>
        <w:spacing w:after="0" w:line="253" w:lineRule="auto"/>
        <w:rPr>
          <w:sz w:val="20"/>
          <w:szCs w:val="20"/>
          <w:color w:val="auto"/>
        </w:rPr>
      </w:pPr>
      <w:r>
        <w:rPr>
          <w:rFonts w:ascii="Arial" w:cs="Arial" w:eastAsia="Arial" w:hAnsi="Arial"/>
          <w:sz w:val="14"/>
          <w:szCs w:val="14"/>
          <w:color w:val="auto"/>
        </w:rPr>
        <w:t>Interest rate derivatives are utilized by the Sempra Utilities as well as by other Sempra Energy subsidiaries. Although the Sempra Utilities generally recover borrowing costs in rates over time, the use of interest rate derivatives is subject to certain regulatory constraints, and the impact of interest rate derivatives may not be recovered from customers as timely as described above with regard to natural gas derivatives. Accordingly, interest rate derivatives are generally accounted for as hedges at the Sempra Utilities, as at the rest of Sempra Energy's subsidiaries. Separately, Otay Mesa VIE has entered into interest rate swap agreements to moderate its exposure to interest rate changes.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The net notional amounts of our interest rate derivatives as of March 31, 2011 and December 31, 2010 were: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ind w:right="801"/>
              <w:spacing w:after="0"/>
              <w:rPr>
                <w:sz w:val="20"/>
                <w:szCs w:val="20"/>
                <w:color w:val="auto"/>
              </w:rPr>
            </w:pPr>
            <w:r>
              <w:rPr>
                <w:rFonts w:ascii="Arial" w:cs="Arial" w:eastAsia="Arial" w:hAnsi="Arial"/>
                <w:sz w:val="11"/>
                <w:szCs w:val="11"/>
                <w:color w:val="auto"/>
              </w:rPr>
              <w:t>March 31, 2011</w:t>
            </w:r>
          </w:p>
        </w:tc>
        <w:tc>
          <w:tcPr>
            <w:tcW w:w="8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color w:val="auto"/>
              </w:rPr>
              <w:t>December 31, 2010</w:t>
            </w:r>
          </w:p>
        </w:tc>
        <w:tc>
          <w:tcPr>
            <w:tcW w:w="1260" w:type="dxa"/>
            <w:vAlign w:val="bottom"/>
            <w:tcBorders>
              <w:bottom w:val="single" w:sz="8" w:color="auto"/>
            </w:tcBorders>
          </w:tcPr>
          <w:p>
            <w:pPr>
              <w:spacing w:after="0"/>
              <w:rPr>
                <w:sz w:val="11"/>
                <w:szCs w:val="11"/>
                <w:color w:val="auto"/>
              </w:rPr>
            </w:pPr>
          </w:p>
        </w:tc>
      </w:tr>
      <w:tr>
        <w:trPr>
          <w:trHeight w:val="125"/>
        </w:trPr>
        <w:tc>
          <w:tcPr>
            <w:tcW w:w="4040" w:type="dxa"/>
            <w:vAlign w:val="bottom"/>
            <w:gridSpan w:val="2"/>
          </w:tcPr>
          <w:p>
            <w:pPr>
              <w:spacing w:after="0" w:line="124" w:lineRule="exact"/>
              <w:rPr>
                <w:sz w:val="20"/>
                <w:szCs w:val="20"/>
                <w:color w:val="auto"/>
              </w:rPr>
            </w:pPr>
            <w:r>
              <w:rPr>
                <w:rFonts w:ascii="Arial" w:cs="Arial" w:eastAsia="Arial" w:hAnsi="Arial"/>
                <w:sz w:val="11"/>
                <w:szCs w:val="11"/>
                <w:i w:val="1"/>
                <w:iCs w:val="1"/>
                <w:color w:val="auto"/>
              </w:rPr>
              <w:t>(Dollars in millions)</w:t>
            </w:r>
          </w:p>
        </w:tc>
        <w:tc>
          <w:tcPr>
            <w:tcW w:w="1380" w:type="dxa"/>
            <w:vAlign w:val="bottom"/>
          </w:tcPr>
          <w:p>
            <w:pPr>
              <w:jc w:val="right"/>
              <w:ind w:right="41"/>
              <w:spacing w:after="0" w:line="124" w:lineRule="exact"/>
              <w:rPr>
                <w:sz w:val="20"/>
                <w:szCs w:val="20"/>
                <w:color w:val="auto"/>
              </w:rPr>
            </w:pPr>
            <w:r>
              <w:rPr>
                <w:rFonts w:ascii="Arial" w:cs="Arial" w:eastAsia="Arial" w:hAnsi="Arial"/>
                <w:sz w:val="11"/>
                <w:szCs w:val="11"/>
                <w:color w:val="auto"/>
              </w:rPr>
              <w:t>Notional Debt</w:t>
            </w:r>
          </w:p>
        </w:tc>
        <w:tc>
          <w:tcPr>
            <w:tcW w:w="1700" w:type="dxa"/>
            <w:vAlign w:val="bottom"/>
          </w:tcPr>
          <w:p>
            <w:pPr>
              <w:jc w:val="right"/>
              <w:spacing w:after="0" w:line="124" w:lineRule="exact"/>
              <w:rPr>
                <w:sz w:val="20"/>
                <w:szCs w:val="20"/>
                <w:color w:val="auto"/>
              </w:rPr>
            </w:pPr>
            <w:r>
              <w:rPr>
                <w:rFonts w:ascii="Arial" w:cs="Arial" w:eastAsia="Arial" w:hAnsi="Arial"/>
                <w:sz w:val="11"/>
                <w:szCs w:val="11"/>
                <w:color w:val="auto"/>
              </w:rPr>
              <w:t>Maturities</w:t>
            </w: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900" w:type="dxa"/>
            <w:vAlign w:val="bottom"/>
          </w:tcPr>
          <w:p>
            <w:pPr>
              <w:jc w:val="right"/>
              <w:ind w:right="1101"/>
              <w:spacing w:after="0" w:line="124" w:lineRule="exact"/>
              <w:rPr>
                <w:sz w:val="20"/>
                <w:szCs w:val="20"/>
                <w:color w:val="auto"/>
              </w:rPr>
            </w:pPr>
            <w:r>
              <w:rPr>
                <w:rFonts w:ascii="Arial" w:cs="Arial" w:eastAsia="Arial" w:hAnsi="Arial"/>
                <w:sz w:val="11"/>
                <w:szCs w:val="11"/>
                <w:color w:val="auto"/>
              </w:rPr>
              <w:t>Notional Debt</w:t>
            </w:r>
          </w:p>
        </w:tc>
        <w:tc>
          <w:tcPr>
            <w:tcW w:w="1260" w:type="dxa"/>
            <w:vAlign w:val="bottom"/>
          </w:tcPr>
          <w:p>
            <w:pPr>
              <w:jc w:val="right"/>
              <w:ind w:right="580"/>
              <w:spacing w:after="0" w:line="124" w:lineRule="exact"/>
              <w:rPr>
                <w:sz w:val="20"/>
                <w:szCs w:val="20"/>
                <w:color w:val="auto"/>
              </w:rPr>
            </w:pPr>
            <w:r>
              <w:rPr>
                <w:rFonts w:ascii="Arial" w:cs="Arial" w:eastAsia="Arial" w:hAnsi="Arial"/>
                <w:sz w:val="11"/>
                <w:szCs w:val="11"/>
                <w:color w:val="auto"/>
              </w:rPr>
              <w:t>Maturities</w:t>
            </w:r>
          </w:p>
        </w:tc>
      </w:tr>
      <w:tr>
        <w:trPr>
          <w:trHeight w:val="125"/>
        </w:trPr>
        <w:tc>
          <w:tcPr>
            <w:tcW w:w="20" w:type="dxa"/>
            <w:vAlign w:val="bottom"/>
          </w:tcPr>
          <w:p>
            <w:pPr>
              <w:spacing w:after="0"/>
              <w:rPr>
                <w:sz w:val="10"/>
                <w:szCs w:val="10"/>
                <w:color w:val="auto"/>
              </w:rPr>
            </w:pPr>
          </w:p>
        </w:tc>
        <w:tc>
          <w:tcPr>
            <w:tcW w:w="4020" w:type="dxa"/>
            <w:vAlign w:val="bottom"/>
            <w:tcBorders>
              <w:top w:val="single" w:sz="8" w:color="auto"/>
            </w:tcBorders>
          </w:tcPr>
          <w:p>
            <w:pPr>
              <w:spacing w:after="0" w:line="126" w:lineRule="exact"/>
              <w:rPr>
                <w:sz w:val="20"/>
                <w:szCs w:val="20"/>
                <w:color w:val="auto"/>
              </w:rPr>
            </w:pPr>
            <w:r>
              <w:rPr>
                <w:rFonts w:ascii="Arial" w:cs="Arial" w:eastAsia="Arial" w:hAnsi="Arial"/>
                <w:sz w:val="12"/>
                <w:szCs w:val="12"/>
                <w:color w:val="auto"/>
              </w:rPr>
              <w:t>Sempra Energy Consolidated(1)</w:t>
            </w:r>
          </w:p>
        </w:tc>
        <w:tc>
          <w:tcPr>
            <w:tcW w:w="1380" w:type="dxa"/>
            <w:vAlign w:val="bottom"/>
            <w:tcBorders>
              <w:top w:val="single" w:sz="8" w:color="auto"/>
            </w:tcBorders>
          </w:tcPr>
          <w:p>
            <w:pPr>
              <w:jc w:val="right"/>
              <w:ind w:right="861"/>
              <w:spacing w:after="0" w:line="126" w:lineRule="exact"/>
              <w:rPr>
                <w:sz w:val="20"/>
                <w:szCs w:val="20"/>
                <w:color w:val="auto"/>
              </w:rPr>
            </w:pPr>
            <w:r>
              <w:rPr>
                <w:rFonts w:ascii="Arial" w:cs="Arial" w:eastAsia="Arial" w:hAnsi="Arial"/>
                <w:sz w:val="12"/>
                <w:szCs w:val="12"/>
                <w:color w:val="auto"/>
              </w:rPr>
              <w:t>$</w:t>
            </w:r>
          </w:p>
        </w:tc>
        <w:tc>
          <w:tcPr>
            <w:tcW w:w="1700" w:type="dxa"/>
            <w:vAlign w:val="bottom"/>
            <w:tcBorders>
              <w:top w:val="single" w:sz="8" w:color="auto"/>
            </w:tcBorders>
          </w:tcPr>
          <w:p>
            <w:pPr>
              <w:jc w:val="right"/>
              <w:ind w:right="1101"/>
              <w:spacing w:after="0" w:line="126" w:lineRule="exact"/>
              <w:rPr>
                <w:sz w:val="20"/>
                <w:szCs w:val="20"/>
                <w:color w:val="auto"/>
              </w:rPr>
            </w:pPr>
            <w:r>
              <w:rPr>
                <w:rFonts w:ascii="Arial" w:cs="Arial" w:eastAsia="Arial" w:hAnsi="Arial"/>
                <w:sz w:val="12"/>
                <w:szCs w:val="12"/>
                <w:color w:val="auto"/>
              </w:rPr>
              <w:t>15-305</w:t>
            </w:r>
          </w:p>
        </w:tc>
        <w:tc>
          <w:tcPr>
            <w:tcW w:w="820" w:type="dxa"/>
            <w:vAlign w:val="bottom"/>
            <w:tcBorders>
              <w:top w:val="single" w:sz="8" w:color="auto"/>
            </w:tcBorders>
          </w:tcPr>
          <w:p>
            <w:pPr>
              <w:jc w:val="right"/>
              <w:ind w:right="138"/>
              <w:spacing w:after="0" w:line="126" w:lineRule="exact"/>
              <w:rPr>
                <w:sz w:val="20"/>
                <w:szCs w:val="20"/>
                <w:color w:val="auto"/>
              </w:rPr>
            </w:pPr>
            <w:r>
              <w:rPr>
                <w:rFonts w:ascii="Arial" w:cs="Arial" w:eastAsia="Arial" w:hAnsi="Arial"/>
                <w:sz w:val="12"/>
                <w:szCs w:val="12"/>
                <w:color w:val="auto"/>
              </w:rPr>
              <w:t>2013-2019</w:t>
            </w:r>
          </w:p>
        </w:tc>
        <w:tc>
          <w:tcPr>
            <w:tcW w:w="360" w:type="dxa"/>
            <w:vAlign w:val="bottom"/>
            <w:tcBorders>
              <w:top w:val="single" w:sz="8" w:color="auto"/>
            </w:tcBorders>
          </w:tcPr>
          <w:p>
            <w:pPr>
              <w:jc w:val="right"/>
              <w:ind w:right="18"/>
              <w:spacing w:after="0" w:line="126" w:lineRule="exact"/>
              <w:rPr>
                <w:sz w:val="20"/>
                <w:szCs w:val="20"/>
                <w:color w:val="auto"/>
              </w:rPr>
            </w:pPr>
            <w:r>
              <w:rPr>
                <w:rFonts w:ascii="Arial" w:cs="Arial" w:eastAsia="Arial" w:hAnsi="Arial"/>
                <w:sz w:val="12"/>
                <w:szCs w:val="12"/>
                <w:color w:val="auto"/>
              </w:rPr>
              <w:t>$</w:t>
            </w:r>
          </w:p>
        </w:tc>
        <w:tc>
          <w:tcPr>
            <w:tcW w:w="1900" w:type="dxa"/>
            <w:vAlign w:val="bottom"/>
            <w:tcBorders>
              <w:top w:val="single" w:sz="8" w:color="auto"/>
            </w:tcBorders>
          </w:tcPr>
          <w:p>
            <w:pPr>
              <w:jc w:val="right"/>
              <w:ind w:right="461"/>
              <w:spacing w:after="0" w:line="126" w:lineRule="exact"/>
              <w:rPr>
                <w:sz w:val="20"/>
                <w:szCs w:val="20"/>
                <w:color w:val="auto"/>
              </w:rPr>
            </w:pPr>
            <w:r>
              <w:rPr>
                <w:rFonts w:ascii="Arial" w:cs="Arial" w:eastAsia="Arial" w:hAnsi="Arial"/>
                <w:sz w:val="12"/>
                <w:szCs w:val="12"/>
                <w:color w:val="auto"/>
              </w:rPr>
              <w:t>215-355</w:t>
            </w:r>
          </w:p>
        </w:tc>
        <w:tc>
          <w:tcPr>
            <w:tcW w:w="126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color w:val="auto"/>
              </w:rPr>
              <w:t>2011-2019</w:t>
            </w:r>
          </w:p>
        </w:tc>
      </w:tr>
      <w:tr>
        <w:trPr>
          <w:trHeight w:val="134"/>
        </w:trPr>
        <w:tc>
          <w:tcPr>
            <w:tcW w:w="4040" w:type="dxa"/>
            <w:vAlign w:val="bottom"/>
            <w:gridSpan w:val="2"/>
          </w:tcPr>
          <w:p>
            <w:pPr>
              <w:spacing w:after="0" w:line="134" w:lineRule="exact"/>
              <w:rPr>
                <w:sz w:val="20"/>
                <w:szCs w:val="20"/>
                <w:color w:val="auto"/>
              </w:rPr>
            </w:pPr>
            <w:r>
              <w:rPr>
                <w:rFonts w:ascii="Arial" w:cs="Arial" w:eastAsia="Arial" w:hAnsi="Arial"/>
                <w:sz w:val="12"/>
                <w:szCs w:val="12"/>
                <w:color w:val="auto"/>
              </w:rPr>
              <w:t>SDG&amp;E(1)</w:t>
            </w:r>
          </w:p>
        </w:tc>
        <w:tc>
          <w:tcPr>
            <w:tcW w:w="1380" w:type="dxa"/>
            <w:vAlign w:val="bottom"/>
          </w:tcPr>
          <w:p>
            <w:pPr>
              <w:spacing w:after="0"/>
              <w:rPr>
                <w:sz w:val="11"/>
                <w:szCs w:val="11"/>
                <w:color w:val="auto"/>
              </w:rPr>
            </w:pPr>
          </w:p>
        </w:tc>
        <w:tc>
          <w:tcPr>
            <w:tcW w:w="1700" w:type="dxa"/>
            <w:vAlign w:val="bottom"/>
          </w:tcPr>
          <w:p>
            <w:pPr>
              <w:jc w:val="right"/>
              <w:ind w:right="1101"/>
              <w:spacing w:after="0" w:line="134" w:lineRule="exact"/>
              <w:rPr>
                <w:sz w:val="20"/>
                <w:szCs w:val="20"/>
                <w:color w:val="auto"/>
              </w:rPr>
            </w:pPr>
            <w:r>
              <w:rPr>
                <w:rFonts w:ascii="Arial" w:cs="Arial" w:eastAsia="Arial" w:hAnsi="Arial"/>
                <w:sz w:val="12"/>
                <w:szCs w:val="12"/>
                <w:color w:val="auto"/>
              </w:rPr>
              <w:t>285-362</w:t>
            </w:r>
          </w:p>
        </w:tc>
        <w:tc>
          <w:tcPr>
            <w:tcW w:w="82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2019</w:t>
            </w:r>
          </w:p>
        </w:tc>
        <w:tc>
          <w:tcPr>
            <w:tcW w:w="360" w:type="dxa"/>
            <w:vAlign w:val="bottom"/>
          </w:tcPr>
          <w:p>
            <w:pPr>
              <w:spacing w:after="0"/>
              <w:rPr>
                <w:sz w:val="11"/>
                <w:szCs w:val="11"/>
                <w:color w:val="auto"/>
              </w:rPr>
            </w:pPr>
          </w:p>
        </w:tc>
        <w:tc>
          <w:tcPr>
            <w:tcW w:w="1900" w:type="dxa"/>
            <w:vAlign w:val="bottom"/>
          </w:tcPr>
          <w:p>
            <w:pPr>
              <w:jc w:val="right"/>
              <w:ind w:right="461"/>
              <w:spacing w:after="0" w:line="134" w:lineRule="exact"/>
              <w:rPr>
                <w:sz w:val="20"/>
                <w:szCs w:val="20"/>
                <w:color w:val="auto"/>
              </w:rPr>
            </w:pPr>
            <w:r>
              <w:rPr>
                <w:rFonts w:ascii="Arial" w:cs="Arial" w:eastAsia="Arial" w:hAnsi="Arial"/>
                <w:sz w:val="12"/>
                <w:szCs w:val="12"/>
                <w:color w:val="auto"/>
              </w:rPr>
              <w:t>285-365</w:t>
            </w:r>
          </w:p>
        </w:tc>
        <w:tc>
          <w:tcPr>
            <w:tcW w:w="1260" w:type="dxa"/>
            <w:vAlign w:val="bottom"/>
          </w:tcPr>
          <w:p>
            <w:pPr>
              <w:jc w:val="right"/>
              <w:spacing w:after="0" w:line="134" w:lineRule="exact"/>
              <w:rPr>
                <w:sz w:val="20"/>
                <w:szCs w:val="20"/>
                <w:color w:val="auto"/>
              </w:rPr>
            </w:pPr>
            <w:r>
              <w:rPr>
                <w:rFonts w:ascii="Arial" w:cs="Arial" w:eastAsia="Arial" w:hAnsi="Arial"/>
                <w:sz w:val="12"/>
                <w:szCs w:val="12"/>
                <w:color w:val="auto"/>
              </w:rPr>
              <w:t>2019</w:t>
            </w:r>
          </w:p>
        </w:tc>
      </w:tr>
      <w:tr>
        <w:trPr>
          <w:trHeight w:val="148"/>
        </w:trPr>
        <w:tc>
          <w:tcPr>
            <w:tcW w:w="4040" w:type="dxa"/>
            <w:vAlign w:val="bottom"/>
            <w:gridSpan w:val="2"/>
          </w:tcPr>
          <w:p>
            <w:pPr>
              <w:spacing w:after="0"/>
              <w:rPr>
                <w:sz w:val="20"/>
                <w:szCs w:val="20"/>
                <w:color w:val="auto"/>
              </w:rPr>
            </w:pPr>
            <w:r>
              <w:rPr>
                <w:rFonts w:ascii="Arial" w:cs="Arial" w:eastAsia="Arial" w:hAnsi="Arial"/>
                <w:sz w:val="12"/>
                <w:szCs w:val="12"/>
                <w:color w:val="auto"/>
              </w:rPr>
              <w:t>SoCalGas</w:t>
            </w:r>
          </w:p>
        </w:tc>
        <w:tc>
          <w:tcPr>
            <w:tcW w:w="1380" w:type="dxa"/>
            <w:vAlign w:val="bottom"/>
          </w:tcPr>
          <w:p>
            <w:pPr>
              <w:spacing w:after="0"/>
              <w:rPr>
                <w:sz w:val="12"/>
                <w:szCs w:val="12"/>
                <w:color w:val="auto"/>
              </w:rPr>
            </w:pPr>
          </w:p>
        </w:tc>
        <w:tc>
          <w:tcPr>
            <w:tcW w:w="1700" w:type="dxa"/>
            <w:vAlign w:val="bottom"/>
          </w:tcPr>
          <w:p>
            <w:pPr>
              <w:jc w:val="right"/>
              <w:ind w:right="1141"/>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1900" w:type="dxa"/>
            <w:vAlign w:val="bottom"/>
          </w:tcPr>
          <w:p>
            <w:pPr>
              <w:jc w:val="right"/>
              <w:ind w:right="461"/>
              <w:spacing w:after="0"/>
              <w:rPr>
                <w:sz w:val="20"/>
                <w:szCs w:val="20"/>
                <w:color w:val="auto"/>
              </w:rPr>
            </w:pPr>
            <w:r>
              <w:rPr>
                <w:rFonts w:ascii="Arial" w:cs="Arial" w:eastAsia="Arial" w:hAnsi="Arial"/>
                <w:sz w:val="12"/>
                <w:szCs w:val="12"/>
                <w:color w:val="auto"/>
              </w:rPr>
              <w:t>150</w:t>
            </w:r>
          </w:p>
        </w:tc>
        <w:tc>
          <w:tcPr>
            <w:tcW w:w="1260" w:type="dxa"/>
            <w:vAlign w:val="bottom"/>
          </w:tcPr>
          <w:p>
            <w:pPr>
              <w:jc w:val="right"/>
              <w:spacing w:after="0"/>
              <w:rPr>
                <w:sz w:val="20"/>
                <w:szCs w:val="20"/>
                <w:color w:val="auto"/>
              </w:rPr>
            </w:pPr>
            <w:r>
              <w:rPr>
                <w:rFonts w:ascii="Arial" w:cs="Arial" w:eastAsia="Arial" w:hAnsi="Arial"/>
                <w:sz w:val="12"/>
                <w:szCs w:val="12"/>
                <w:color w:val="auto"/>
              </w:rPr>
              <w:t>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279005" cy="133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ind w:left="640" w:hanging="637"/>
        <w:spacing w:after="0"/>
        <w:tabs>
          <w:tab w:leader="none" w:pos="640" w:val="left"/>
        </w:tabs>
        <w:numPr>
          <w:ilvl w:val="0"/>
          <w:numId w:val="15"/>
        </w:numPr>
        <w:rPr>
          <w:rFonts w:ascii="Arial" w:cs="Arial" w:eastAsia="Arial" w:hAnsi="Arial"/>
          <w:sz w:val="11"/>
          <w:szCs w:val="11"/>
          <w:i w:val="1"/>
          <w:iCs w:val="1"/>
          <w:color w:val="auto"/>
        </w:rPr>
      </w:pPr>
      <w:r>
        <w:rPr>
          <w:rFonts w:ascii="Arial" w:cs="Arial" w:eastAsia="Arial" w:hAnsi="Arial"/>
          <w:sz w:val="11"/>
          <w:szCs w:val="11"/>
          <w:i w:val="1"/>
          <w:iCs w:val="1"/>
          <w:color w:val="auto"/>
        </w:rPr>
        <w:t>Includes Otay Mesa VIE. All of SDG&amp;E's interest rate derivatives relate to Otay Mesa VIE.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STATEMENT PRESENTATION</w:t>
      </w:r>
    </w:p>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provides the fair values of derivative instruments, without consideration of margin deposits held or posted, on the Condensed Consolidated Balance Sheets as of March 31, 2011 and</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December 31, 2010:</w:t>
      </w:r>
    </w:p>
    <w:p>
      <w:pPr>
        <w:spacing w:after="0" w:line="3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DERIVATIVE INSTRUMENTS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(Dollars in millions)</w:t>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2"/>
          </w:tcPr>
          <w:p>
            <w:pPr>
              <w:jc w:val="right"/>
              <w:ind w:right="98"/>
              <w:spacing w:after="0" w:line="121" w:lineRule="exact"/>
              <w:rPr>
                <w:sz w:val="20"/>
                <w:szCs w:val="20"/>
                <w:color w:val="auto"/>
              </w:rPr>
            </w:pPr>
            <w:r>
              <w:rPr>
                <w:rFonts w:ascii="Arial" w:cs="Arial" w:eastAsia="Arial" w:hAnsi="Arial"/>
                <w:sz w:val="11"/>
                <w:szCs w:val="11"/>
                <w:color w:val="auto"/>
              </w:rPr>
              <w:t>March 31, 2011</w:t>
            </w:r>
          </w:p>
        </w:tc>
        <w:tc>
          <w:tcPr>
            <w:tcW w:w="1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28"/>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1"/>
                <w:szCs w:val="11"/>
                <w:color w:val="auto"/>
                <w:w w:val="98"/>
              </w:rPr>
              <w:t>Deferred</w:t>
            </w:r>
          </w:p>
        </w:tc>
      </w:tr>
      <w:tr>
        <w:trPr>
          <w:trHeight w:val="124"/>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2"/>
          </w:tcPr>
          <w:p>
            <w:pPr>
              <w:jc w:val="center"/>
              <w:ind w:right="200"/>
              <w:spacing w:after="0" w:line="124" w:lineRule="exact"/>
              <w:rPr>
                <w:sz w:val="20"/>
                <w:szCs w:val="20"/>
                <w:color w:val="auto"/>
              </w:rPr>
            </w:pPr>
            <w:r>
              <w:rPr>
                <w:rFonts w:ascii="Arial" w:cs="Arial" w:eastAsia="Arial" w:hAnsi="Arial"/>
                <w:sz w:val="11"/>
                <w:szCs w:val="11"/>
                <w:color w:val="auto"/>
              </w:rPr>
              <w:t>credits</w:t>
            </w:r>
          </w:p>
        </w:tc>
      </w:tr>
      <w:tr>
        <w:trPr>
          <w:trHeight w:val="124"/>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280" w:type="dxa"/>
            <w:vAlign w:val="bottom"/>
          </w:tcPr>
          <w:p>
            <w:pPr>
              <w:jc w:val="center"/>
              <w:ind w:left="481"/>
              <w:spacing w:after="0" w:line="124" w:lineRule="exact"/>
              <w:rPr>
                <w:sz w:val="20"/>
                <w:szCs w:val="20"/>
                <w:color w:val="auto"/>
              </w:rPr>
            </w:pPr>
            <w:r>
              <w:rPr>
                <w:rFonts w:ascii="Arial" w:cs="Arial" w:eastAsia="Arial" w:hAnsi="Arial"/>
                <w:sz w:val="11"/>
                <w:szCs w:val="11"/>
                <w:color w:val="auto"/>
              </w:rPr>
              <w:t>Current</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jc w:val="center"/>
              <w:ind w:right="320"/>
              <w:spacing w:after="0" w:line="124" w:lineRule="exact"/>
              <w:rPr>
                <w:sz w:val="20"/>
                <w:szCs w:val="20"/>
                <w:color w:val="auto"/>
              </w:rPr>
            </w:pPr>
            <w:r>
              <w:rPr>
                <w:rFonts w:ascii="Arial" w:cs="Arial" w:eastAsia="Arial" w:hAnsi="Arial"/>
                <w:sz w:val="11"/>
                <w:szCs w:val="11"/>
                <w:color w:val="auto"/>
                <w:w w:val="98"/>
              </w:rPr>
              <w:t>Current</w:t>
            </w:r>
          </w:p>
        </w:tc>
        <w:tc>
          <w:tcPr>
            <w:tcW w:w="360" w:type="dxa"/>
            <w:vAlign w:val="bottom"/>
          </w:tcPr>
          <w:p>
            <w:pPr>
              <w:spacing w:after="0"/>
              <w:rPr>
                <w:sz w:val="10"/>
                <w:szCs w:val="10"/>
                <w:color w:val="auto"/>
              </w:rPr>
            </w:pPr>
          </w:p>
        </w:tc>
        <w:tc>
          <w:tcPr>
            <w:tcW w:w="1140" w:type="dxa"/>
            <w:vAlign w:val="bottom"/>
            <w:gridSpan w:val="2"/>
          </w:tcPr>
          <w:p>
            <w:pPr>
              <w:jc w:val="center"/>
              <w:ind w:right="200"/>
              <w:spacing w:after="0" w:line="124" w:lineRule="exact"/>
              <w:rPr>
                <w:sz w:val="20"/>
                <w:szCs w:val="20"/>
                <w:color w:val="auto"/>
              </w:rPr>
            </w:pPr>
            <w:r>
              <w:rPr>
                <w:rFonts w:ascii="Arial" w:cs="Arial" w:eastAsia="Arial" w:hAnsi="Arial"/>
                <w:sz w:val="11"/>
                <w:szCs w:val="11"/>
                <w:color w:val="auto"/>
                <w:w w:val="98"/>
              </w:rPr>
              <w:t>and other</w:t>
            </w:r>
          </w:p>
        </w:tc>
      </w:tr>
      <w:tr>
        <w:trPr>
          <w:trHeight w:val="124"/>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280" w:type="dxa"/>
            <w:vAlign w:val="bottom"/>
          </w:tcPr>
          <w:p>
            <w:pPr>
              <w:jc w:val="center"/>
              <w:ind w:left="481"/>
              <w:spacing w:after="0" w:line="124" w:lineRule="exact"/>
              <w:rPr>
                <w:sz w:val="20"/>
                <w:szCs w:val="20"/>
                <w:color w:val="auto"/>
              </w:rPr>
            </w:pPr>
            <w:r>
              <w:rPr>
                <w:rFonts w:ascii="Arial" w:cs="Arial" w:eastAsia="Arial" w:hAnsi="Arial"/>
                <w:sz w:val="11"/>
                <w:szCs w:val="11"/>
                <w:color w:val="auto"/>
                <w:w w:val="97"/>
              </w:rPr>
              <w:t>assets:</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jc w:val="center"/>
              <w:ind w:right="320"/>
              <w:spacing w:after="0" w:line="124" w:lineRule="exact"/>
              <w:rPr>
                <w:sz w:val="20"/>
                <w:szCs w:val="20"/>
                <w:color w:val="auto"/>
              </w:rPr>
            </w:pPr>
            <w:r>
              <w:rPr>
                <w:rFonts w:ascii="Arial" w:cs="Arial" w:eastAsia="Arial" w:hAnsi="Arial"/>
                <w:sz w:val="11"/>
                <w:szCs w:val="11"/>
                <w:color w:val="auto"/>
                <w:w w:val="98"/>
              </w:rPr>
              <w:t>liabilities:</w:t>
            </w:r>
          </w:p>
        </w:tc>
        <w:tc>
          <w:tcPr>
            <w:tcW w:w="360" w:type="dxa"/>
            <w:vAlign w:val="bottom"/>
          </w:tcPr>
          <w:p>
            <w:pPr>
              <w:spacing w:after="0"/>
              <w:rPr>
                <w:sz w:val="10"/>
                <w:szCs w:val="10"/>
                <w:color w:val="auto"/>
              </w:rPr>
            </w:pPr>
          </w:p>
        </w:tc>
        <w:tc>
          <w:tcPr>
            <w:tcW w:w="1140" w:type="dxa"/>
            <w:vAlign w:val="bottom"/>
            <w:gridSpan w:val="2"/>
          </w:tcPr>
          <w:p>
            <w:pPr>
              <w:jc w:val="center"/>
              <w:ind w:right="200"/>
              <w:spacing w:after="0" w:line="124" w:lineRule="exact"/>
              <w:rPr>
                <w:sz w:val="20"/>
                <w:szCs w:val="20"/>
                <w:color w:val="auto"/>
              </w:rPr>
            </w:pPr>
            <w:r>
              <w:rPr>
                <w:rFonts w:ascii="Arial" w:cs="Arial" w:eastAsia="Arial" w:hAnsi="Arial"/>
                <w:sz w:val="11"/>
                <w:szCs w:val="11"/>
                <w:color w:val="auto"/>
              </w:rPr>
              <w:t>liabilities:</w:t>
            </w:r>
          </w:p>
        </w:tc>
      </w:tr>
      <w:tr>
        <w:trPr>
          <w:trHeight w:val="124"/>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280" w:type="dxa"/>
            <w:vAlign w:val="bottom"/>
          </w:tcPr>
          <w:p>
            <w:pPr>
              <w:jc w:val="center"/>
              <w:ind w:left="481"/>
              <w:spacing w:after="0" w:line="124" w:lineRule="exact"/>
              <w:rPr>
                <w:sz w:val="20"/>
                <w:szCs w:val="20"/>
                <w:color w:val="auto"/>
              </w:rPr>
            </w:pPr>
            <w:r>
              <w:rPr>
                <w:rFonts w:ascii="Arial" w:cs="Arial" w:eastAsia="Arial" w:hAnsi="Arial"/>
                <w:sz w:val="11"/>
                <w:szCs w:val="11"/>
                <w:color w:val="auto"/>
                <w:w w:val="99"/>
              </w:rPr>
              <w:t>Fixed-price</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jc w:val="center"/>
              <w:ind w:right="200"/>
              <w:spacing w:after="0" w:line="124" w:lineRule="exact"/>
              <w:rPr>
                <w:sz w:val="20"/>
                <w:szCs w:val="20"/>
                <w:color w:val="auto"/>
              </w:rPr>
            </w:pPr>
            <w:r>
              <w:rPr>
                <w:rFonts w:ascii="Arial" w:cs="Arial" w:eastAsia="Arial" w:hAnsi="Arial"/>
                <w:sz w:val="11"/>
                <w:szCs w:val="11"/>
                <w:color w:val="auto"/>
              </w:rPr>
              <w:t>Investments</w:t>
            </w:r>
          </w:p>
        </w:tc>
        <w:tc>
          <w:tcPr>
            <w:tcW w:w="460" w:type="dxa"/>
            <w:vAlign w:val="bottom"/>
          </w:tcPr>
          <w:p>
            <w:pPr>
              <w:spacing w:after="0"/>
              <w:rPr>
                <w:sz w:val="10"/>
                <w:szCs w:val="10"/>
                <w:color w:val="auto"/>
              </w:rPr>
            </w:pPr>
          </w:p>
        </w:tc>
        <w:tc>
          <w:tcPr>
            <w:tcW w:w="1100" w:type="dxa"/>
            <w:vAlign w:val="bottom"/>
          </w:tcPr>
          <w:p>
            <w:pPr>
              <w:jc w:val="center"/>
              <w:ind w:right="300"/>
              <w:spacing w:after="0" w:line="124" w:lineRule="exact"/>
              <w:rPr>
                <w:sz w:val="20"/>
                <w:szCs w:val="20"/>
                <w:color w:val="auto"/>
              </w:rPr>
            </w:pPr>
            <w:r>
              <w:rPr>
                <w:rFonts w:ascii="Arial" w:cs="Arial" w:eastAsia="Arial" w:hAnsi="Arial"/>
                <w:sz w:val="11"/>
                <w:szCs w:val="11"/>
                <w:color w:val="auto"/>
                <w:w w:val="99"/>
              </w:rPr>
              <w:t>Fixed-price</w:t>
            </w:r>
          </w:p>
        </w:tc>
        <w:tc>
          <w:tcPr>
            <w:tcW w:w="360" w:type="dxa"/>
            <w:vAlign w:val="bottom"/>
          </w:tcPr>
          <w:p>
            <w:pPr>
              <w:spacing w:after="0"/>
              <w:rPr>
                <w:sz w:val="10"/>
                <w:szCs w:val="10"/>
                <w:color w:val="auto"/>
              </w:rPr>
            </w:pPr>
          </w:p>
        </w:tc>
        <w:tc>
          <w:tcPr>
            <w:tcW w:w="1140" w:type="dxa"/>
            <w:vAlign w:val="bottom"/>
            <w:gridSpan w:val="2"/>
          </w:tcPr>
          <w:p>
            <w:pPr>
              <w:jc w:val="center"/>
              <w:ind w:right="200"/>
              <w:spacing w:after="0" w:line="124" w:lineRule="exact"/>
              <w:rPr>
                <w:sz w:val="20"/>
                <w:szCs w:val="20"/>
                <w:color w:val="auto"/>
              </w:rPr>
            </w:pPr>
            <w:r>
              <w:rPr>
                <w:rFonts w:ascii="Arial" w:cs="Arial" w:eastAsia="Arial" w:hAnsi="Arial"/>
                <w:sz w:val="11"/>
                <w:szCs w:val="11"/>
                <w:color w:val="auto"/>
                <w:w w:val="99"/>
              </w:rPr>
              <w:t>Fixed-price</w:t>
            </w:r>
          </w:p>
        </w:tc>
      </w:tr>
      <w:tr>
        <w:trPr>
          <w:trHeight w:val="124"/>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280" w:type="dxa"/>
            <w:vAlign w:val="bottom"/>
          </w:tcPr>
          <w:p>
            <w:pPr>
              <w:jc w:val="center"/>
              <w:ind w:left="481"/>
              <w:spacing w:after="0" w:line="124" w:lineRule="exact"/>
              <w:rPr>
                <w:sz w:val="20"/>
                <w:szCs w:val="20"/>
                <w:color w:val="auto"/>
              </w:rPr>
            </w:pPr>
            <w:r>
              <w:rPr>
                <w:rFonts w:ascii="Arial" w:cs="Arial" w:eastAsia="Arial" w:hAnsi="Arial"/>
                <w:sz w:val="11"/>
                <w:szCs w:val="11"/>
                <w:color w:val="auto"/>
              </w:rPr>
              <w:t>contracts</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jc w:val="center"/>
              <w:ind w:right="200"/>
              <w:spacing w:after="0" w:line="124" w:lineRule="exact"/>
              <w:rPr>
                <w:sz w:val="20"/>
                <w:szCs w:val="20"/>
                <w:color w:val="auto"/>
              </w:rPr>
            </w:pPr>
            <w:r>
              <w:rPr>
                <w:rFonts w:ascii="Arial" w:cs="Arial" w:eastAsia="Arial" w:hAnsi="Arial"/>
                <w:sz w:val="11"/>
                <w:szCs w:val="11"/>
                <w:color w:val="auto"/>
              </w:rPr>
              <w:t>and other</w:t>
            </w:r>
          </w:p>
        </w:tc>
        <w:tc>
          <w:tcPr>
            <w:tcW w:w="460" w:type="dxa"/>
            <w:vAlign w:val="bottom"/>
          </w:tcPr>
          <w:p>
            <w:pPr>
              <w:spacing w:after="0"/>
              <w:rPr>
                <w:sz w:val="10"/>
                <w:szCs w:val="10"/>
                <w:color w:val="auto"/>
              </w:rPr>
            </w:pPr>
          </w:p>
        </w:tc>
        <w:tc>
          <w:tcPr>
            <w:tcW w:w="1100" w:type="dxa"/>
            <w:vAlign w:val="bottom"/>
          </w:tcPr>
          <w:p>
            <w:pPr>
              <w:jc w:val="center"/>
              <w:ind w:right="320"/>
              <w:spacing w:after="0" w:line="124" w:lineRule="exact"/>
              <w:rPr>
                <w:sz w:val="20"/>
                <w:szCs w:val="20"/>
                <w:color w:val="auto"/>
              </w:rPr>
            </w:pPr>
            <w:r>
              <w:rPr>
                <w:rFonts w:ascii="Arial" w:cs="Arial" w:eastAsia="Arial" w:hAnsi="Arial"/>
                <w:sz w:val="11"/>
                <w:szCs w:val="11"/>
                <w:color w:val="auto"/>
                <w:w w:val="98"/>
              </w:rPr>
              <w:t>contracts</w:t>
            </w:r>
          </w:p>
        </w:tc>
        <w:tc>
          <w:tcPr>
            <w:tcW w:w="360" w:type="dxa"/>
            <w:vAlign w:val="bottom"/>
          </w:tcPr>
          <w:p>
            <w:pPr>
              <w:spacing w:after="0"/>
              <w:rPr>
                <w:sz w:val="10"/>
                <w:szCs w:val="10"/>
                <w:color w:val="auto"/>
              </w:rPr>
            </w:pPr>
          </w:p>
        </w:tc>
        <w:tc>
          <w:tcPr>
            <w:tcW w:w="1140" w:type="dxa"/>
            <w:vAlign w:val="bottom"/>
            <w:gridSpan w:val="2"/>
          </w:tcPr>
          <w:p>
            <w:pPr>
              <w:jc w:val="center"/>
              <w:ind w:right="200"/>
              <w:spacing w:after="0" w:line="124" w:lineRule="exact"/>
              <w:rPr>
                <w:sz w:val="20"/>
                <w:szCs w:val="20"/>
                <w:color w:val="auto"/>
              </w:rPr>
            </w:pPr>
            <w:r>
              <w:rPr>
                <w:rFonts w:ascii="Arial" w:cs="Arial" w:eastAsia="Arial" w:hAnsi="Arial"/>
                <w:sz w:val="11"/>
                <w:szCs w:val="11"/>
                <w:color w:val="auto"/>
              </w:rPr>
              <w:t>contracts</w:t>
            </w:r>
          </w:p>
        </w:tc>
      </w:tr>
      <w:tr>
        <w:trPr>
          <w:trHeight w:val="124"/>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280" w:type="dxa"/>
            <w:vAlign w:val="bottom"/>
          </w:tcPr>
          <w:p>
            <w:pPr>
              <w:jc w:val="center"/>
              <w:ind w:left="481"/>
              <w:spacing w:after="0" w:line="124" w:lineRule="exact"/>
              <w:rPr>
                <w:sz w:val="20"/>
                <w:szCs w:val="20"/>
                <w:color w:val="auto"/>
              </w:rPr>
            </w:pPr>
            <w:r>
              <w:rPr>
                <w:rFonts w:ascii="Arial" w:cs="Arial" w:eastAsia="Arial" w:hAnsi="Arial"/>
                <w:sz w:val="11"/>
                <w:szCs w:val="11"/>
                <w:color w:val="auto"/>
                <w:w w:val="98"/>
              </w:rPr>
              <w:t>and other</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jc w:val="center"/>
              <w:ind w:right="200"/>
              <w:spacing w:after="0" w:line="124" w:lineRule="exact"/>
              <w:rPr>
                <w:sz w:val="20"/>
                <w:szCs w:val="20"/>
                <w:color w:val="auto"/>
              </w:rPr>
            </w:pPr>
            <w:r>
              <w:rPr>
                <w:rFonts w:ascii="Arial" w:cs="Arial" w:eastAsia="Arial" w:hAnsi="Arial"/>
                <w:sz w:val="11"/>
                <w:szCs w:val="11"/>
                <w:color w:val="auto"/>
              </w:rPr>
              <w:t>assets:</w:t>
            </w:r>
          </w:p>
        </w:tc>
        <w:tc>
          <w:tcPr>
            <w:tcW w:w="460" w:type="dxa"/>
            <w:vAlign w:val="bottom"/>
          </w:tcPr>
          <w:p>
            <w:pPr>
              <w:spacing w:after="0"/>
              <w:rPr>
                <w:sz w:val="10"/>
                <w:szCs w:val="10"/>
                <w:color w:val="auto"/>
              </w:rPr>
            </w:pPr>
          </w:p>
        </w:tc>
        <w:tc>
          <w:tcPr>
            <w:tcW w:w="1100" w:type="dxa"/>
            <w:vAlign w:val="bottom"/>
          </w:tcPr>
          <w:p>
            <w:pPr>
              <w:jc w:val="center"/>
              <w:ind w:right="300"/>
              <w:spacing w:after="0" w:line="124" w:lineRule="exact"/>
              <w:rPr>
                <w:sz w:val="20"/>
                <w:szCs w:val="20"/>
                <w:color w:val="auto"/>
              </w:rPr>
            </w:pPr>
            <w:r>
              <w:rPr>
                <w:rFonts w:ascii="Arial" w:cs="Arial" w:eastAsia="Arial" w:hAnsi="Arial"/>
                <w:sz w:val="11"/>
                <w:szCs w:val="11"/>
                <w:color w:val="auto"/>
                <w:w w:val="98"/>
              </w:rPr>
              <w:t>and other</w:t>
            </w:r>
          </w:p>
        </w:tc>
        <w:tc>
          <w:tcPr>
            <w:tcW w:w="360" w:type="dxa"/>
            <w:vAlign w:val="bottom"/>
          </w:tcPr>
          <w:p>
            <w:pPr>
              <w:spacing w:after="0"/>
              <w:rPr>
                <w:sz w:val="10"/>
                <w:szCs w:val="10"/>
                <w:color w:val="auto"/>
              </w:rPr>
            </w:pPr>
          </w:p>
        </w:tc>
        <w:tc>
          <w:tcPr>
            <w:tcW w:w="1140" w:type="dxa"/>
            <w:vAlign w:val="bottom"/>
            <w:gridSpan w:val="2"/>
          </w:tcPr>
          <w:p>
            <w:pPr>
              <w:jc w:val="center"/>
              <w:ind w:right="200"/>
              <w:spacing w:after="0" w:line="124" w:lineRule="exact"/>
              <w:rPr>
                <w:sz w:val="20"/>
                <w:szCs w:val="20"/>
                <w:color w:val="auto"/>
              </w:rPr>
            </w:pPr>
            <w:r>
              <w:rPr>
                <w:rFonts w:ascii="Arial" w:cs="Arial" w:eastAsia="Arial" w:hAnsi="Arial"/>
                <w:sz w:val="11"/>
                <w:szCs w:val="11"/>
                <w:color w:val="auto"/>
                <w:w w:val="98"/>
              </w:rPr>
              <w:t>and other</w:t>
            </w:r>
          </w:p>
        </w:tc>
      </w:tr>
      <w:tr>
        <w:trPr>
          <w:trHeight w:val="121"/>
        </w:trPr>
        <w:tc>
          <w:tcPr>
            <w:tcW w:w="5220" w:type="dxa"/>
            <w:vAlign w:val="bottom"/>
            <w:gridSpan w:val="3"/>
          </w:tcPr>
          <w:p>
            <w:pPr>
              <w:spacing w:after="0" w:line="121" w:lineRule="exact"/>
              <w:rPr>
                <w:sz w:val="20"/>
                <w:szCs w:val="20"/>
                <w:color w:val="auto"/>
              </w:rPr>
            </w:pPr>
            <w:r>
              <w:rPr>
                <w:rFonts w:ascii="Arial" w:cs="Arial" w:eastAsia="Arial" w:hAnsi="Arial"/>
                <w:sz w:val="11"/>
                <w:szCs w:val="11"/>
                <w:color w:val="auto"/>
              </w:rPr>
              <w:t>Derivatives designated as hedging instruments</w:t>
            </w:r>
          </w:p>
        </w:tc>
        <w:tc>
          <w:tcPr>
            <w:tcW w:w="1280" w:type="dxa"/>
            <w:vAlign w:val="bottom"/>
          </w:tcPr>
          <w:p>
            <w:pPr>
              <w:jc w:val="center"/>
              <w:ind w:left="481"/>
              <w:spacing w:after="0" w:line="121" w:lineRule="exact"/>
              <w:rPr>
                <w:sz w:val="20"/>
                <w:szCs w:val="20"/>
                <w:color w:val="auto"/>
              </w:rPr>
            </w:pPr>
            <w:r>
              <w:rPr>
                <w:rFonts w:ascii="Arial" w:cs="Arial" w:eastAsia="Arial" w:hAnsi="Arial"/>
                <w:sz w:val="11"/>
                <w:szCs w:val="11"/>
                <w:color w:val="auto"/>
                <w:w w:val="99"/>
              </w:rPr>
              <w:t>derivatives(1)</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jc w:val="center"/>
              <w:ind w:right="200"/>
              <w:spacing w:after="0" w:line="121" w:lineRule="exact"/>
              <w:rPr>
                <w:sz w:val="20"/>
                <w:szCs w:val="20"/>
                <w:color w:val="auto"/>
              </w:rPr>
            </w:pPr>
            <w:r>
              <w:rPr>
                <w:rFonts w:ascii="Arial" w:cs="Arial" w:eastAsia="Arial" w:hAnsi="Arial"/>
                <w:sz w:val="11"/>
                <w:szCs w:val="11"/>
                <w:color w:val="auto"/>
              </w:rPr>
              <w:t>Sundry</w:t>
            </w:r>
          </w:p>
        </w:tc>
        <w:tc>
          <w:tcPr>
            <w:tcW w:w="460" w:type="dxa"/>
            <w:vAlign w:val="bottom"/>
          </w:tcPr>
          <w:p>
            <w:pPr>
              <w:spacing w:after="0"/>
              <w:rPr>
                <w:sz w:val="10"/>
                <w:szCs w:val="10"/>
                <w:color w:val="auto"/>
              </w:rPr>
            </w:pPr>
          </w:p>
        </w:tc>
        <w:tc>
          <w:tcPr>
            <w:tcW w:w="1100" w:type="dxa"/>
            <w:vAlign w:val="bottom"/>
          </w:tcPr>
          <w:p>
            <w:pPr>
              <w:jc w:val="center"/>
              <w:ind w:right="300"/>
              <w:spacing w:after="0" w:line="121" w:lineRule="exact"/>
              <w:rPr>
                <w:sz w:val="20"/>
                <w:szCs w:val="20"/>
                <w:color w:val="auto"/>
              </w:rPr>
            </w:pPr>
            <w:r>
              <w:rPr>
                <w:rFonts w:ascii="Arial" w:cs="Arial" w:eastAsia="Arial" w:hAnsi="Arial"/>
                <w:sz w:val="11"/>
                <w:szCs w:val="11"/>
                <w:color w:val="auto"/>
                <w:w w:val="99"/>
              </w:rPr>
              <w:t>derivatives(2)</w:t>
            </w:r>
          </w:p>
        </w:tc>
        <w:tc>
          <w:tcPr>
            <w:tcW w:w="360" w:type="dxa"/>
            <w:vAlign w:val="bottom"/>
          </w:tcPr>
          <w:p>
            <w:pPr>
              <w:spacing w:after="0"/>
              <w:rPr>
                <w:sz w:val="10"/>
                <w:szCs w:val="10"/>
                <w:color w:val="auto"/>
              </w:rPr>
            </w:pPr>
          </w:p>
        </w:tc>
        <w:tc>
          <w:tcPr>
            <w:tcW w:w="1140" w:type="dxa"/>
            <w:vAlign w:val="bottom"/>
            <w:gridSpan w:val="2"/>
          </w:tcPr>
          <w:p>
            <w:pPr>
              <w:jc w:val="center"/>
              <w:ind w:right="200"/>
              <w:spacing w:after="0" w:line="121" w:lineRule="exact"/>
              <w:rPr>
                <w:sz w:val="20"/>
                <w:szCs w:val="20"/>
                <w:color w:val="auto"/>
              </w:rPr>
            </w:pPr>
            <w:r>
              <w:rPr>
                <w:rFonts w:ascii="Arial" w:cs="Arial" w:eastAsia="Arial" w:hAnsi="Arial"/>
                <w:sz w:val="11"/>
                <w:szCs w:val="11"/>
                <w:color w:val="auto"/>
              </w:rPr>
              <w:t>derivatives</w:t>
            </w:r>
          </w:p>
        </w:tc>
      </w:tr>
      <w:tr>
        <w:trPr>
          <w:trHeight w:val="125"/>
        </w:trPr>
        <w:tc>
          <w:tcPr>
            <w:tcW w:w="522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2"/>
                <w:szCs w:val="12"/>
                <w:b w:val="1"/>
                <w:bCs w:val="1"/>
                <w:color w:val="auto"/>
              </w:rPr>
              <w:t>Sempra Energy Consolidated:</w:t>
            </w:r>
          </w:p>
        </w:tc>
        <w:tc>
          <w:tcPr>
            <w:tcW w:w="12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44"/>
        </w:trPr>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Interest rate instruments</w:t>
            </w:r>
          </w:p>
        </w:tc>
        <w:tc>
          <w:tcPr>
            <w:tcW w:w="1280" w:type="dxa"/>
            <w:vAlign w:val="bottom"/>
            <w:tcBorders>
              <w:bottom w:val="single" w:sz="8" w:color="auto"/>
            </w:tcBorders>
          </w:tcPr>
          <w:p>
            <w:pPr>
              <w:jc w:val="right"/>
              <w:ind w:right="961"/>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6</w:t>
            </w:r>
          </w:p>
        </w:tc>
        <w:tc>
          <w:tcPr>
            <w:tcW w:w="3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20" w:type="dxa"/>
            <w:vAlign w:val="bottom"/>
          </w:tcPr>
          <w:p>
            <w:pPr>
              <w:spacing w:after="0"/>
              <w:rPr>
                <w:sz w:val="12"/>
                <w:szCs w:val="12"/>
                <w:color w:val="auto"/>
              </w:rPr>
            </w:pPr>
          </w:p>
        </w:tc>
      </w:tr>
      <w:tr>
        <w:trPr>
          <w:trHeight w:val="280"/>
        </w:trPr>
        <w:tc>
          <w:tcPr>
            <w:tcW w:w="5220" w:type="dxa"/>
            <w:vAlign w:val="bottom"/>
            <w:tcBorders>
              <w:bottom w:val="single" w:sz="8" w:color="auto"/>
            </w:tcBorders>
            <w:gridSpan w:val="3"/>
          </w:tcPr>
          <w:p>
            <w:pPr>
              <w:spacing w:after="0"/>
              <w:rPr>
                <w:sz w:val="20"/>
                <w:szCs w:val="20"/>
                <w:color w:val="auto"/>
              </w:rPr>
            </w:pPr>
            <w:r>
              <w:rPr>
                <w:rFonts w:ascii="Arial" w:cs="Arial" w:eastAsia="Arial" w:hAnsi="Arial"/>
                <w:sz w:val="11"/>
                <w:szCs w:val="11"/>
                <w:color w:val="auto"/>
              </w:rPr>
              <w:t>Derivatives not designated as hedging instruments</w:t>
            </w:r>
          </w:p>
        </w:tc>
        <w:tc>
          <w:tcPr>
            <w:tcW w:w="1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5"/>
        </w:trPr>
        <w:tc>
          <w:tcPr>
            <w:tcW w:w="52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Sempra Energy Consolidated:</w:t>
            </w:r>
          </w:p>
        </w:tc>
        <w:tc>
          <w:tcPr>
            <w:tcW w:w="1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80" w:type="dxa"/>
            <w:vAlign w:val="bottom"/>
          </w:tcPr>
          <w:p>
            <w:pPr>
              <w:spacing w:after="0" w:line="134" w:lineRule="exact"/>
              <w:rPr>
                <w:sz w:val="20"/>
                <w:szCs w:val="20"/>
                <w:color w:val="auto"/>
              </w:rPr>
            </w:pPr>
            <w:r>
              <w:rPr>
                <w:rFonts w:ascii="Arial" w:cs="Arial" w:eastAsia="Arial" w:hAnsi="Arial"/>
                <w:sz w:val="12"/>
                <w:szCs w:val="12"/>
                <w:color w:val="auto"/>
              </w:rPr>
              <w:t>Interest rate instruments(3)</w:t>
            </w:r>
          </w:p>
        </w:tc>
        <w:tc>
          <w:tcPr>
            <w:tcW w:w="1280" w:type="dxa"/>
            <w:vAlign w:val="bottom"/>
          </w:tcPr>
          <w:p>
            <w:pPr>
              <w:jc w:val="right"/>
              <w:ind w:right="961"/>
              <w:spacing w:after="0" w:line="134" w:lineRule="exact"/>
              <w:rPr>
                <w:sz w:val="20"/>
                <w:szCs w:val="20"/>
                <w:color w:val="auto"/>
              </w:rPr>
            </w:pPr>
            <w:r>
              <w:rPr>
                <w:rFonts w:ascii="Arial" w:cs="Arial" w:eastAsia="Arial" w:hAnsi="Arial"/>
                <w:sz w:val="12"/>
                <w:szCs w:val="12"/>
                <w:color w:val="auto"/>
              </w:rPr>
              <w:t>$</w:t>
            </w:r>
          </w:p>
        </w:tc>
        <w:tc>
          <w:tcPr>
            <w:tcW w:w="3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9</w:t>
            </w:r>
          </w:p>
        </w:tc>
        <w:tc>
          <w:tcPr>
            <w:tcW w:w="340" w:type="dxa"/>
            <w:vAlign w:val="bottom"/>
          </w:tcPr>
          <w:p>
            <w:pPr>
              <w:jc w:val="right"/>
              <w:ind w:right="98"/>
              <w:spacing w:after="0" w:line="134"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60"/>
              <w:spacing w:after="0" w:line="134" w:lineRule="exact"/>
              <w:rPr>
                <w:sz w:val="20"/>
                <w:szCs w:val="20"/>
                <w:color w:val="auto"/>
              </w:rPr>
            </w:pPr>
            <w:r>
              <w:rPr>
                <w:rFonts w:ascii="Arial" w:cs="Arial" w:eastAsia="Arial" w:hAnsi="Arial"/>
                <w:sz w:val="12"/>
                <w:szCs w:val="12"/>
                <w:color w:val="auto"/>
              </w:rPr>
              <w:t>19</w:t>
            </w:r>
          </w:p>
        </w:tc>
        <w:tc>
          <w:tcPr>
            <w:tcW w:w="46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20"/>
              <w:spacing w:after="0" w:line="134" w:lineRule="exact"/>
              <w:rPr>
                <w:sz w:val="20"/>
                <w:szCs w:val="20"/>
                <w:color w:val="auto"/>
              </w:rPr>
            </w:pPr>
            <w:r>
              <w:rPr>
                <w:rFonts w:ascii="Arial" w:cs="Arial" w:eastAsia="Arial" w:hAnsi="Arial"/>
                <w:sz w:val="12"/>
                <w:szCs w:val="12"/>
                <w:color w:val="auto"/>
              </w:rPr>
              <w:t>(25)</w:t>
            </w:r>
          </w:p>
        </w:tc>
        <w:tc>
          <w:tcPr>
            <w:tcW w:w="36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(49)</w:t>
            </w: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80" w:type="dxa"/>
            <w:vAlign w:val="bottom"/>
          </w:tcPr>
          <w:p>
            <w:pPr>
              <w:spacing w:after="0" w:line="134" w:lineRule="exact"/>
              <w:rPr>
                <w:sz w:val="20"/>
                <w:szCs w:val="20"/>
                <w:color w:val="auto"/>
              </w:rPr>
            </w:pPr>
            <w:r>
              <w:rPr>
                <w:rFonts w:ascii="Arial" w:cs="Arial" w:eastAsia="Arial" w:hAnsi="Arial"/>
                <w:sz w:val="12"/>
                <w:szCs w:val="12"/>
                <w:color w:val="auto"/>
              </w:rPr>
              <w:t>Commodity contracts not subject to rate recovery</w:t>
            </w:r>
          </w:p>
        </w:tc>
        <w:tc>
          <w:tcPr>
            <w:tcW w:w="1280" w:type="dxa"/>
            <w:vAlign w:val="bottom"/>
          </w:tcPr>
          <w:p>
            <w:pPr>
              <w:spacing w:after="0"/>
              <w:rPr>
                <w:sz w:val="11"/>
                <w:szCs w:val="11"/>
                <w:color w:val="auto"/>
              </w:rPr>
            </w:pPr>
          </w:p>
        </w:tc>
        <w:tc>
          <w:tcPr>
            <w:tcW w:w="3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54</w:t>
            </w:r>
          </w:p>
        </w:tc>
        <w:tc>
          <w:tcPr>
            <w:tcW w:w="340" w:type="dxa"/>
            <w:vAlign w:val="bottom"/>
          </w:tcPr>
          <w:p>
            <w:pPr>
              <w:spacing w:after="0"/>
              <w:rPr>
                <w:sz w:val="11"/>
                <w:szCs w:val="11"/>
                <w:color w:val="auto"/>
              </w:rPr>
            </w:pPr>
          </w:p>
        </w:tc>
        <w:tc>
          <w:tcPr>
            <w:tcW w:w="1220" w:type="dxa"/>
            <w:vAlign w:val="bottom"/>
          </w:tcPr>
          <w:p>
            <w:pPr>
              <w:jc w:val="right"/>
              <w:ind w:right="60"/>
              <w:spacing w:after="0" w:line="134" w:lineRule="exact"/>
              <w:rPr>
                <w:sz w:val="20"/>
                <w:szCs w:val="20"/>
                <w:color w:val="auto"/>
              </w:rPr>
            </w:pPr>
            <w:r>
              <w:rPr>
                <w:rFonts w:ascii="Arial" w:cs="Arial" w:eastAsia="Arial" w:hAnsi="Arial"/>
                <w:sz w:val="12"/>
                <w:szCs w:val="12"/>
                <w:color w:val="auto"/>
              </w:rPr>
              <w:t>16</w:t>
            </w:r>
          </w:p>
        </w:tc>
        <w:tc>
          <w:tcPr>
            <w:tcW w:w="460" w:type="dxa"/>
            <w:vAlign w:val="bottom"/>
          </w:tcPr>
          <w:p>
            <w:pPr>
              <w:spacing w:after="0"/>
              <w:rPr>
                <w:sz w:val="11"/>
                <w:szCs w:val="11"/>
                <w:color w:val="auto"/>
              </w:rPr>
            </w:pPr>
          </w:p>
        </w:tc>
        <w:tc>
          <w:tcPr>
            <w:tcW w:w="1100" w:type="dxa"/>
            <w:vAlign w:val="bottom"/>
          </w:tcPr>
          <w:p>
            <w:pPr>
              <w:jc w:val="right"/>
              <w:ind w:right="20"/>
              <w:spacing w:after="0" w:line="134" w:lineRule="exact"/>
              <w:rPr>
                <w:sz w:val="20"/>
                <w:szCs w:val="20"/>
                <w:color w:val="auto"/>
              </w:rPr>
            </w:pPr>
            <w:r>
              <w:rPr>
                <w:rFonts w:ascii="Arial" w:cs="Arial" w:eastAsia="Arial" w:hAnsi="Arial"/>
                <w:sz w:val="12"/>
                <w:szCs w:val="12"/>
                <w:color w:val="auto"/>
              </w:rPr>
              <w:t>(39)</w:t>
            </w:r>
          </w:p>
        </w:tc>
        <w:tc>
          <w:tcPr>
            <w:tcW w:w="360" w:type="dxa"/>
            <w:vAlign w:val="bottom"/>
          </w:tcPr>
          <w:p>
            <w:pPr>
              <w:spacing w:after="0"/>
              <w:rPr>
                <w:sz w:val="11"/>
                <w:szCs w:val="11"/>
                <w:color w:val="auto"/>
              </w:rPr>
            </w:pPr>
          </w:p>
        </w:tc>
        <w:tc>
          <w:tcPr>
            <w:tcW w:w="11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(30)</w:t>
            </w: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80" w:type="dxa"/>
            <w:vAlign w:val="bottom"/>
          </w:tcPr>
          <w:p>
            <w:pPr>
              <w:ind w:left="140"/>
              <w:spacing w:after="0" w:line="134" w:lineRule="exact"/>
              <w:rPr>
                <w:sz w:val="20"/>
                <w:szCs w:val="20"/>
                <w:color w:val="auto"/>
              </w:rPr>
            </w:pPr>
            <w:r>
              <w:rPr>
                <w:rFonts w:ascii="Arial" w:cs="Arial" w:eastAsia="Arial" w:hAnsi="Arial"/>
                <w:sz w:val="12"/>
                <w:szCs w:val="12"/>
                <w:color w:val="auto"/>
              </w:rPr>
              <w:t>Associated offsetting commodity contracts</w:t>
            </w:r>
          </w:p>
        </w:tc>
        <w:tc>
          <w:tcPr>
            <w:tcW w:w="1280" w:type="dxa"/>
            <w:vAlign w:val="bottom"/>
          </w:tcPr>
          <w:p>
            <w:pPr>
              <w:spacing w:after="0"/>
              <w:rPr>
                <w:sz w:val="11"/>
                <w:szCs w:val="11"/>
                <w:color w:val="auto"/>
              </w:rPr>
            </w:pPr>
          </w:p>
        </w:tc>
        <w:tc>
          <w:tcPr>
            <w:tcW w:w="360" w:type="dxa"/>
            <w:vAlign w:val="bottom"/>
          </w:tcPr>
          <w:p>
            <w:pPr>
              <w:jc w:val="right"/>
              <w:ind w:right="18"/>
              <w:spacing w:after="0" w:line="134" w:lineRule="exact"/>
              <w:rPr>
                <w:sz w:val="20"/>
                <w:szCs w:val="20"/>
                <w:color w:val="auto"/>
              </w:rPr>
            </w:pPr>
            <w:r>
              <w:rPr>
                <w:rFonts w:ascii="Arial" w:cs="Arial" w:eastAsia="Arial" w:hAnsi="Arial"/>
                <w:sz w:val="12"/>
                <w:szCs w:val="12"/>
                <w:color w:val="auto"/>
              </w:rPr>
              <w:t>(8)</w:t>
            </w:r>
          </w:p>
        </w:tc>
        <w:tc>
          <w:tcPr>
            <w:tcW w:w="340" w:type="dxa"/>
            <w:vAlign w:val="bottom"/>
          </w:tcPr>
          <w:p>
            <w:pPr>
              <w:spacing w:after="0"/>
              <w:rPr>
                <w:sz w:val="11"/>
                <w:szCs w:val="11"/>
                <w:color w:val="auto"/>
              </w:rPr>
            </w:pPr>
          </w:p>
        </w:tc>
        <w:tc>
          <w:tcPr>
            <w:tcW w:w="1220" w:type="dxa"/>
            <w:vAlign w:val="bottom"/>
          </w:tcPr>
          <w:p>
            <w:pPr>
              <w:jc w:val="right"/>
              <w:ind w:right="20"/>
              <w:spacing w:after="0" w:line="134" w:lineRule="exact"/>
              <w:rPr>
                <w:sz w:val="20"/>
                <w:szCs w:val="20"/>
                <w:color w:val="auto"/>
              </w:rPr>
            </w:pPr>
            <w:r>
              <w:rPr>
                <w:rFonts w:ascii="Arial" w:cs="Arial" w:eastAsia="Arial" w:hAnsi="Arial"/>
                <w:sz w:val="12"/>
                <w:szCs w:val="12"/>
                <w:color w:val="auto"/>
              </w:rPr>
              <w:t>(2)</w:t>
            </w:r>
          </w:p>
        </w:tc>
        <w:tc>
          <w:tcPr>
            <w:tcW w:w="460" w:type="dxa"/>
            <w:vAlign w:val="bottom"/>
          </w:tcPr>
          <w:p>
            <w:pPr>
              <w:spacing w:after="0"/>
              <w:rPr>
                <w:sz w:val="11"/>
                <w:szCs w:val="11"/>
                <w:color w:val="auto"/>
              </w:rPr>
            </w:pPr>
          </w:p>
        </w:tc>
        <w:tc>
          <w:tcPr>
            <w:tcW w:w="1100" w:type="dxa"/>
            <w:vAlign w:val="bottom"/>
          </w:tcPr>
          <w:p>
            <w:pPr>
              <w:jc w:val="right"/>
              <w:ind w:right="60"/>
              <w:spacing w:after="0" w:line="134" w:lineRule="exact"/>
              <w:rPr>
                <w:sz w:val="20"/>
                <w:szCs w:val="20"/>
                <w:color w:val="auto"/>
              </w:rPr>
            </w:pPr>
            <w:r>
              <w:rPr>
                <w:rFonts w:ascii="Arial" w:cs="Arial" w:eastAsia="Arial" w:hAnsi="Arial"/>
                <w:sz w:val="12"/>
                <w:szCs w:val="12"/>
                <w:color w:val="auto"/>
              </w:rPr>
              <w:t>8</w:t>
            </w:r>
          </w:p>
        </w:tc>
        <w:tc>
          <w:tcPr>
            <w:tcW w:w="36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c>
          <w:tcPr>
            <w:tcW w:w="2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80" w:type="dxa"/>
            <w:vAlign w:val="bottom"/>
          </w:tcPr>
          <w:p>
            <w:pPr>
              <w:spacing w:after="0" w:line="134" w:lineRule="exact"/>
              <w:rPr>
                <w:sz w:val="20"/>
                <w:szCs w:val="20"/>
                <w:color w:val="auto"/>
              </w:rPr>
            </w:pPr>
            <w:r>
              <w:rPr>
                <w:rFonts w:ascii="Arial" w:cs="Arial" w:eastAsia="Arial" w:hAnsi="Arial"/>
                <w:sz w:val="12"/>
                <w:szCs w:val="12"/>
                <w:color w:val="auto"/>
              </w:rPr>
              <w:t>Commodity contracts subject to rate recovery</w:t>
            </w:r>
          </w:p>
        </w:tc>
        <w:tc>
          <w:tcPr>
            <w:tcW w:w="1280" w:type="dxa"/>
            <w:vAlign w:val="bottom"/>
          </w:tcPr>
          <w:p>
            <w:pPr>
              <w:spacing w:after="0"/>
              <w:rPr>
                <w:sz w:val="11"/>
                <w:szCs w:val="11"/>
                <w:color w:val="auto"/>
              </w:rPr>
            </w:pPr>
          </w:p>
        </w:tc>
        <w:tc>
          <w:tcPr>
            <w:tcW w:w="3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7</w:t>
            </w:r>
          </w:p>
        </w:tc>
        <w:tc>
          <w:tcPr>
            <w:tcW w:w="340" w:type="dxa"/>
            <w:vAlign w:val="bottom"/>
          </w:tcPr>
          <w:p>
            <w:pPr>
              <w:spacing w:after="0"/>
              <w:rPr>
                <w:sz w:val="11"/>
                <w:szCs w:val="11"/>
                <w:color w:val="auto"/>
              </w:rPr>
            </w:pPr>
          </w:p>
        </w:tc>
        <w:tc>
          <w:tcPr>
            <w:tcW w:w="1220" w:type="dxa"/>
            <w:vAlign w:val="bottom"/>
          </w:tcPr>
          <w:p>
            <w:pPr>
              <w:jc w:val="right"/>
              <w:ind w:right="60"/>
              <w:spacing w:after="0" w:line="134" w:lineRule="exact"/>
              <w:rPr>
                <w:sz w:val="20"/>
                <w:szCs w:val="20"/>
                <w:color w:val="auto"/>
              </w:rPr>
            </w:pPr>
            <w:r>
              <w:rPr>
                <w:rFonts w:ascii="Arial" w:cs="Arial" w:eastAsia="Arial" w:hAnsi="Arial"/>
                <w:sz w:val="12"/>
                <w:szCs w:val="12"/>
                <w:color w:val="auto"/>
              </w:rPr>
              <w:t>2</w:t>
            </w:r>
          </w:p>
        </w:tc>
        <w:tc>
          <w:tcPr>
            <w:tcW w:w="460" w:type="dxa"/>
            <w:vAlign w:val="bottom"/>
          </w:tcPr>
          <w:p>
            <w:pPr>
              <w:spacing w:after="0"/>
              <w:rPr>
                <w:sz w:val="11"/>
                <w:szCs w:val="11"/>
                <w:color w:val="auto"/>
              </w:rPr>
            </w:pPr>
          </w:p>
        </w:tc>
        <w:tc>
          <w:tcPr>
            <w:tcW w:w="1100" w:type="dxa"/>
            <w:vAlign w:val="bottom"/>
          </w:tcPr>
          <w:p>
            <w:pPr>
              <w:jc w:val="right"/>
              <w:ind w:right="20"/>
              <w:spacing w:after="0" w:line="134" w:lineRule="exact"/>
              <w:rPr>
                <w:sz w:val="20"/>
                <w:szCs w:val="20"/>
                <w:color w:val="auto"/>
              </w:rPr>
            </w:pPr>
            <w:r>
              <w:rPr>
                <w:rFonts w:ascii="Arial" w:cs="Arial" w:eastAsia="Arial" w:hAnsi="Arial"/>
                <w:sz w:val="12"/>
                <w:szCs w:val="12"/>
                <w:color w:val="auto"/>
              </w:rPr>
              <w:t>(30)</w:t>
            </w:r>
          </w:p>
        </w:tc>
        <w:tc>
          <w:tcPr>
            <w:tcW w:w="360" w:type="dxa"/>
            <w:vAlign w:val="bottom"/>
          </w:tcPr>
          <w:p>
            <w:pPr>
              <w:spacing w:after="0"/>
              <w:rPr>
                <w:sz w:val="11"/>
                <w:szCs w:val="11"/>
                <w:color w:val="auto"/>
              </w:rPr>
            </w:pPr>
          </w:p>
        </w:tc>
        <w:tc>
          <w:tcPr>
            <w:tcW w:w="11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(23)</w:t>
            </w: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80" w:type="dxa"/>
            <w:vAlign w:val="bottom"/>
          </w:tcPr>
          <w:p>
            <w:pPr>
              <w:ind w:left="140"/>
              <w:spacing w:after="0"/>
              <w:rPr>
                <w:sz w:val="20"/>
                <w:szCs w:val="20"/>
                <w:color w:val="auto"/>
              </w:rPr>
            </w:pPr>
            <w:r>
              <w:rPr>
                <w:rFonts w:ascii="Arial" w:cs="Arial" w:eastAsia="Arial" w:hAnsi="Arial"/>
                <w:sz w:val="12"/>
                <w:szCs w:val="12"/>
                <w:color w:val="auto"/>
              </w:rPr>
              <w:t>Associated offsetting commodity contracts</w:t>
            </w:r>
          </w:p>
        </w:tc>
        <w:tc>
          <w:tcPr>
            <w:tcW w:w="12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(4)</w:t>
            </w: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w:t>
            </w: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w:t>
            </w: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80" w:type="dxa"/>
            <w:vAlign w:val="bottom"/>
            <w:tcBorders>
              <w:bottom w:val="single" w:sz="8" w:color="auto"/>
            </w:tcBorders>
          </w:tcPr>
          <w:p>
            <w:pPr>
              <w:spacing w:after="0" w:line="134" w:lineRule="exact"/>
              <w:rPr>
                <w:sz w:val="20"/>
                <w:szCs w:val="20"/>
                <w:color w:val="auto"/>
              </w:rPr>
            </w:pPr>
            <w:r>
              <w:rPr>
                <w:rFonts w:ascii="Arial" w:cs="Arial" w:eastAsia="Arial" w:hAnsi="Arial"/>
                <w:sz w:val="12"/>
                <w:szCs w:val="12"/>
                <w:color w:val="auto"/>
              </w:rPr>
              <w:t>Total</w:t>
            </w:r>
          </w:p>
        </w:tc>
        <w:tc>
          <w:tcPr>
            <w:tcW w:w="1280" w:type="dxa"/>
            <w:vAlign w:val="bottom"/>
            <w:tcBorders>
              <w:bottom w:val="single" w:sz="8" w:color="auto"/>
            </w:tcBorders>
          </w:tcPr>
          <w:p>
            <w:pPr>
              <w:jc w:val="right"/>
              <w:ind w:right="961"/>
              <w:spacing w:after="0" w:line="134" w:lineRule="exact"/>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jc w:val="right"/>
              <w:ind w:right="58"/>
              <w:spacing w:after="0" w:line="134" w:lineRule="exact"/>
              <w:rPr>
                <w:sz w:val="20"/>
                <w:szCs w:val="20"/>
                <w:color w:val="auto"/>
              </w:rPr>
            </w:pPr>
            <w:r>
              <w:rPr>
                <w:rFonts w:ascii="Arial" w:cs="Arial" w:eastAsia="Arial" w:hAnsi="Arial"/>
                <w:sz w:val="12"/>
                <w:szCs w:val="12"/>
                <w:color w:val="auto"/>
              </w:rPr>
              <w:t>58</w:t>
            </w:r>
          </w:p>
        </w:tc>
        <w:tc>
          <w:tcPr>
            <w:tcW w:w="340" w:type="dxa"/>
            <w:vAlign w:val="bottom"/>
            <w:tcBorders>
              <w:bottom w:val="single" w:sz="8" w:color="auto"/>
            </w:tcBorders>
          </w:tcPr>
          <w:p>
            <w:pPr>
              <w:jc w:val="right"/>
              <w:ind w:right="98"/>
              <w:spacing w:after="0" w:line="134" w:lineRule="exact"/>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jc w:val="right"/>
              <w:ind w:right="60"/>
              <w:spacing w:after="0" w:line="134" w:lineRule="exact"/>
              <w:rPr>
                <w:sz w:val="20"/>
                <w:szCs w:val="20"/>
                <w:color w:val="auto"/>
              </w:rPr>
            </w:pPr>
            <w:r>
              <w:rPr>
                <w:rFonts w:ascii="Arial" w:cs="Arial" w:eastAsia="Arial" w:hAnsi="Arial"/>
                <w:sz w:val="12"/>
                <w:szCs w:val="12"/>
                <w:color w:val="auto"/>
              </w:rPr>
              <w:t>34</w:t>
            </w:r>
          </w:p>
        </w:tc>
        <w:tc>
          <w:tcPr>
            <w:tcW w:w="460" w:type="dxa"/>
            <w:vAlign w:val="bottom"/>
            <w:tcBorders>
              <w:bottom w:val="single" w:sz="8" w:color="auto"/>
            </w:tcBorders>
          </w:tcPr>
          <w:p>
            <w:pPr>
              <w:jc w:val="right"/>
              <w:ind w:right="218"/>
              <w:spacing w:after="0" w:line="134" w:lineRule="exact"/>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ind w:right="20"/>
              <w:spacing w:after="0" w:line="134" w:lineRule="exact"/>
              <w:rPr>
                <w:sz w:val="20"/>
                <w:szCs w:val="20"/>
                <w:color w:val="auto"/>
              </w:rPr>
            </w:pPr>
            <w:r>
              <w:rPr>
                <w:rFonts w:ascii="Arial" w:cs="Arial" w:eastAsia="Arial" w:hAnsi="Arial"/>
                <w:sz w:val="12"/>
                <w:szCs w:val="12"/>
                <w:color w:val="auto"/>
              </w:rPr>
              <w:t>(82)</w:t>
            </w:r>
          </w:p>
        </w:tc>
        <w:tc>
          <w:tcPr>
            <w:tcW w:w="360" w:type="dxa"/>
            <w:vAlign w:val="bottom"/>
            <w:tcBorders>
              <w:bottom w:val="single" w:sz="8" w:color="auto"/>
            </w:tcBorders>
          </w:tcPr>
          <w:p>
            <w:pPr>
              <w:jc w:val="right"/>
              <w:ind w:right="118"/>
              <w:spacing w:after="0" w:line="134" w:lineRule="exact"/>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(99)</w:t>
            </w:r>
          </w:p>
        </w:tc>
        <w:tc>
          <w:tcPr>
            <w:tcW w:w="20" w:type="dxa"/>
            <w:vAlign w:val="bottom"/>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52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SDG&amp;E:</w:t>
            </w:r>
          </w:p>
        </w:tc>
        <w:tc>
          <w:tcPr>
            <w:tcW w:w="1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80" w:type="dxa"/>
            <w:vAlign w:val="bottom"/>
          </w:tcPr>
          <w:p>
            <w:pPr>
              <w:spacing w:after="0" w:line="134" w:lineRule="exact"/>
              <w:rPr>
                <w:sz w:val="20"/>
                <w:szCs w:val="20"/>
                <w:color w:val="auto"/>
              </w:rPr>
            </w:pPr>
            <w:r>
              <w:rPr>
                <w:rFonts w:ascii="Arial" w:cs="Arial" w:eastAsia="Arial" w:hAnsi="Arial"/>
                <w:sz w:val="12"/>
                <w:szCs w:val="12"/>
                <w:color w:val="auto"/>
              </w:rPr>
              <w:t>Interest rate instruments(3)</w:t>
            </w:r>
          </w:p>
        </w:tc>
        <w:tc>
          <w:tcPr>
            <w:tcW w:w="1280" w:type="dxa"/>
            <w:vAlign w:val="bottom"/>
          </w:tcPr>
          <w:p>
            <w:pPr>
              <w:jc w:val="right"/>
              <w:ind w:right="961"/>
              <w:spacing w:after="0" w:line="134" w:lineRule="exact"/>
              <w:rPr>
                <w:sz w:val="20"/>
                <w:szCs w:val="20"/>
                <w:color w:val="auto"/>
              </w:rPr>
            </w:pPr>
            <w:r>
              <w:rPr>
                <w:rFonts w:ascii="Arial" w:cs="Arial" w:eastAsia="Arial" w:hAnsi="Arial"/>
                <w:sz w:val="12"/>
                <w:szCs w:val="12"/>
                <w:color w:val="auto"/>
              </w:rPr>
              <w:t>$</w:t>
            </w:r>
          </w:p>
        </w:tc>
        <w:tc>
          <w:tcPr>
            <w:tcW w:w="3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w:t>
            </w:r>
          </w:p>
        </w:tc>
        <w:tc>
          <w:tcPr>
            <w:tcW w:w="340" w:type="dxa"/>
            <w:vAlign w:val="bottom"/>
          </w:tcPr>
          <w:p>
            <w:pPr>
              <w:jc w:val="right"/>
              <w:ind w:right="98"/>
              <w:spacing w:after="0" w:line="134"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60"/>
              <w:spacing w:after="0" w:line="134"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20"/>
              <w:spacing w:after="0" w:line="134" w:lineRule="exact"/>
              <w:rPr>
                <w:sz w:val="20"/>
                <w:szCs w:val="20"/>
                <w:color w:val="auto"/>
              </w:rPr>
            </w:pPr>
            <w:r>
              <w:rPr>
                <w:rFonts w:ascii="Arial" w:cs="Arial" w:eastAsia="Arial" w:hAnsi="Arial"/>
                <w:sz w:val="12"/>
                <w:szCs w:val="12"/>
                <w:color w:val="auto"/>
              </w:rPr>
              <w:t>(17)</w:t>
            </w:r>
          </w:p>
        </w:tc>
        <w:tc>
          <w:tcPr>
            <w:tcW w:w="36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(36)</w:t>
            </w: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80" w:type="dxa"/>
            <w:vAlign w:val="bottom"/>
          </w:tcPr>
          <w:p>
            <w:pPr>
              <w:spacing w:after="0" w:line="134" w:lineRule="exact"/>
              <w:rPr>
                <w:sz w:val="20"/>
                <w:szCs w:val="20"/>
                <w:color w:val="auto"/>
              </w:rPr>
            </w:pPr>
            <w:r>
              <w:rPr>
                <w:rFonts w:ascii="Arial" w:cs="Arial" w:eastAsia="Arial" w:hAnsi="Arial"/>
                <w:sz w:val="12"/>
                <w:szCs w:val="12"/>
                <w:color w:val="auto"/>
              </w:rPr>
              <w:t>Commodity contracts not subject to rate recovery</w:t>
            </w:r>
          </w:p>
        </w:tc>
        <w:tc>
          <w:tcPr>
            <w:tcW w:w="1280" w:type="dxa"/>
            <w:vAlign w:val="bottom"/>
          </w:tcPr>
          <w:p>
            <w:pPr>
              <w:spacing w:after="0"/>
              <w:rPr>
                <w:sz w:val="11"/>
                <w:szCs w:val="11"/>
                <w:color w:val="auto"/>
              </w:rPr>
            </w:pPr>
          </w:p>
        </w:tc>
        <w:tc>
          <w:tcPr>
            <w:tcW w:w="3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w:t>
            </w:r>
          </w:p>
        </w:tc>
        <w:tc>
          <w:tcPr>
            <w:tcW w:w="340" w:type="dxa"/>
            <w:vAlign w:val="bottom"/>
          </w:tcPr>
          <w:p>
            <w:pPr>
              <w:spacing w:after="0"/>
              <w:rPr>
                <w:sz w:val="11"/>
                <w:szCs w:val="11"/>
                <w:color w:val="auto"/>
              </w:rPr>
            </w:pPr>
          </w:p>
        </w:tc>
        <w:tc>
          <w:tcPr>
            <w:tcW w:w="1220" w:type="dxa"/>
            <w:vAlign w:val="bottom"/>
          </w:tcPr>
          <w:p>
            <w:pPr>
              <w:jc w:val="right"/>
              <w:ind w:right="60"/>
              <w:spacing w:after="0" w:line="134"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1100" w:type="dxa"/>
            <w:vAlign w:val="bottom"/>
          </w:tcPr>
          <w:p>
            <w:pPr>
              <w:jc w:val="right"/>
              <w:ind w:right="60"/>
              <w:spacing w:after="0" w:line="134" w:lineRule="exact"/>
              <w:rPr>
                <w:sz w:val="20"/>
                <w:szCs w:val="20"/>
                <w:color w:val="auto"/>
              </w:rPr>
            </w:pPr>
            <w:r>
              <w:rPr>
                <w:rFonts w:ascii="Arial" w:cs="Arial" w:eastAsia="Arial" w:hAnsi="Arial"/>
                <w:sz w:val="12"/>
                <w:szCs w:val="12"/>
                <w:color w:val="auto"/>
              </w:rPr>
              <w:t>―</w:t>
            </w:r>
          </w:p>
        </w:tc>
        <w:tc>
          <w:tcPr>
            <w:tcW w:w="360" w:type="dxa"/>
            <w:vAlign w:val="bottom"/>
          </w:tcPr>
          <w:p>
            <w:pPr>
              <w:spacing w:after="0"/>
              <w:rPr>
                <w:sz w:val="11"/>
                <w:szCs w:val="11"/>
                <w:color w:val="auto"/>
              </w:rPr>
            </w:pPr>
          </w:p>
        </w:tc>
        <w:tc>
          <w:tcPr>
            <w:tcW w:w="114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w:t>
            </w: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80" w:type="dxa"/>
            <w:vAlign w:val="bottom"/>
          </w:tcPr>
          <w:p>
            <w:pPr>
              <w:spacing w:after="0" w:line="134" w:lineRule="exact"/>
              <w:rPr>
                <w:sz w:val="20"/>
                <w:szCs w:val="20"/>
                <w:color w:val="auto"/>
              </w:rPr>
            </w:pPr>
            <w:r>
              <w:rPr>
                <w:rFonts w:ascii="Arial" w:cs="Arial" w:eastAsia="Arial" w:hAnsi="Arial"/>
                <w:sz w:val="12"/>
                <w:szCs w:val="12"/>
                <w:color w:val="auto"/>
              </w:rPr>
              <w:t>Commodity contracts subject to rate recovery</w:t>
            </w:r>
          </w:p>
        </w:tc>
        <w:tc>
          <w:tcPr>
            <w:tcW w:w="1280" w:type="dxa"/>
            <w:vAlign w:val="bottom"/>
          </w:tcPr>
          <w:p>
            <w:pPr>
              <w:spacing w:after="0"/>
              <w:rPr>
                <w:sz w:val="11"/>
                <w:szCs w:val="11"/>
                <w:color w:val="auto"/>
              </w:rPr>
            </w:pPr>
          </w:p>
        </w:tc>
        <w:tc>
          <w:tcPr>
            <w:tcW w:w="3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5</w:t>
            </w:r>
          </w:p>
        </w:tc>
        <w:tc>
          <w:tcPr>
            <w:tcW w:w="340" w:type="dxa"/>
            <w:vAlign w:val="bottom"/>
          </w:tcPr>
          <w:p>
            <w:pPr>
              <w:spacing w:after="0"/>
              <w:rPr>
                <w:sz w:val="11"/>
                <w:szCs w:val="11"/>
                <w:color w:val="auto"/>
              </w:rPr>
            </w:pPr>
          </w:p>
        </w:tc>
        <w:tc>
          <w:tcPr>
            <w:tcW w:w="1220" w:type="dxa"/>
            <w:vAlign w:val="bottom"/>
          </w:tcPr>
          <w:p>
            <w:pPr>
              <w:jc w:val="right"/>
              <w:ind w:right="60"/>
              <w:spacing w:after="0" w:line="134" w:lineRule="exact"/>
              <w:rPr>
                <w:sz w:val="20"/>
                <w:szCs w:val="20"/>
                <w:color w:val="auto"/>
              </w:rPr>
            </w:pPr>
            <w:r>
              <w:rPr>
                <w:rFonts w:ascii="Arial" w:cs="Arial" w:eastAsia="Arial" w:hAnsi="Arial"/>
                <w:sz w:val="12"/>
                <w:szCs w:val="12"/>
                <w:color w:val="auto"/>
              </w:rPr>
              <w:t>2</w:t>
            </w:r>
          </w:p>
        </w:tc>
        <w:tc>
          <w:tcPr>
            <w:tcW w:w="460" w:type="dxa"/>
            <w:vAlign w:val="bottom"/>
          </w:tcPr>
          <w:p>
            <w:pPr>
              <w:spacing w:after="0"/>
              <w:rPr>
                <w:sz w:val="11"/>
                <w:szCs w:val="11"/>
                <w:color w:val="auto"/>
              </w:rPr>
            </w:pPr>
          </w:p>
        </w:tc>
        <w:tc>
          <w:tcPr>
            <w:tcW w:w="1100" w:type="dxa"/>
            <w:vAlign w:val="bottom"/>
          </w:tcPr>
          <w:p>
            <w:pPr>
              <w:jc w:val="right"/>
              <w:ind w:right="20"/>
              <w:spacing w:after="0" w:line="134" w:lineRule="exact"/>
              <w:rPr>
                <w:sz w:val="20"/>
                <w:szCs w:val="20"/>
                <w:color w:val="auto"/>
              </w:rPr>
            </w:pPr>
            <w:r>
              <w:rPr>
                <w:rFonts w:ascii="Arial" w:cs="Arial" w:eastAsia="Arial" w:hAnsi="Arial"/>
                <w:sz w:val="12"/>
                <w:szCs w:val="12"/>
                <w:color w:val="auto"/>
              </w:rPr>
              <w:t>(25)</w:t>
            </w:r>
          </w:p>
        </w:tc>
        <w:tc>
          <w:tcPr>
            <w:tcW w:w="360" w:type="dxa"/>
            <w:vAlign w:val="bottom"/>
          </w:tcPr>
          <w:p>
            <w:pPr>
              <w:spacing w:after="0"/>
              <w:rPr>
                <w:sz w:val="11"/>
                <w:szCs w:val="11"/>
                <w:color w:val="auto"/>
              </w:rPr>
            </w:pPr>
          </w:p>
        </w:tc>
        <w:tc>
          <w:tcPr>
            <w:tcW w:w="11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(23)</w:t>
            </w: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80" w:type="dxa"/>
            <w:vAlign w:val="bottom"/>
          </w:tcPr>
          <w:p>
            <w:pPr>
              <w:ind w:left="140"/>
              <w:spacing w:after="0"/>
              <w:rPr>
                <w:sz w:val="20"/>
                <w:szCs w:val="20"/>
                <w:color w:val="auto"/>
              </w:rPr>
            </w:pPr>
            <w:r>
              <w:rPr>
                <w:rFonts w:ascii="Arial" w:cs="Arial" w:eastAsia="Arial" w:hAnsi="Arial"/>
                <w:sz w:val="12"/>
                <w:szCs w:val="12"/>
                <w:color w:val="auto"/>
              </w:rPr>
              <w:t>Associated offsetting commodity contracts</w:t>
            </w:r>
          </w:p>
        </w:tc>
        <w:tc>
          <w:tcPr>
            <w:tcW w:w="12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w:t>
            </w: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w:t>
            </w: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w:t>
            </w: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80" w:type="dxa"/>
            <w:vAlign w:val="bottom"/>
            <w:tcBorders>
              <w:bottom w:val="single" w:sz="8" w:color="auto"/>
            </w:tcBorders>
          </w:tcPr>
          <w:p>
            <w:pPr>
              <w:spacing w:after="0" w:line="134" w:lineRule="exact"/>
              <w:rPr>
                <w:sz w:val="20"/>
                <w:szCs w:val="20"/>
                <w:color w:val="auto"/>
              </w:rPr>
            </w:pPr>
            <w:r>
              <w:rPr>
                <w:rFonts w:ascii="Arial" w:cs="Arial" w:eastAsia="Arial" w:hAnsi="Arial"/>
                <w:sz w:val="12"/>
                <w:szCs w:val="12"/>
                <w:color w:val="auto"/>
              </w:rPr>
              <w:t>Total</w:t>
            </w:r>
          </w:p>
        </w:tc>
        <w:tc>
          <w:tcPr>
            <w:tcW w:w="1280" w:type="dxa"/>
            <w:vAlign w:val="bottom"/>
            <w:tcBorders>
              <w:bottom w:val="single" w:sz="8" w:color="auto"/>
            </w:tcBorders>
          </w:tcPr>
          <w:p>
            <w:pPr>
              <w:jc w:val="right"/>
              <w:ind w:right="961"/>
              <w:spacing w:after="0" w:line="134" w:lineRule="exact"/>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jc w:val="right"/>
              <w:ind w:right="58"/>
              <w:spacing w:after="0" w:line="134" w:lineRule="exact"/>
              <w:rPr>
                <w:sz w:val="20"/>
                <w:szCs w:val="20"/>
                <w:color w:val="auto"/>
              </w:rPr>
            </w:pPr>
            <w:r>
              <w:rPr>
                <w:rFonts w:ascii="Arial" w:cs="Arial" w:eastAsia="Arial" w:hAnsi="Arial"/>
                <w:sz w:val="12"/>
                <w:szCs w:val="12"/>
                <w:color w:val="auto"/>
              </w:rPr>
              <w:t>4</w:t>
            </w:r>
          </w:p>
        </w:tc>
        <w:tc>
          <w:tcPr>
            <w:tcW w:w="340" w:type="dxa"/>
            <w:vAlign w:val="bottom"/>
            <w:tcBorders>
              <w:bottom w:val="single" w:sz="8" w:color="auto"/>
            </w:tcBorders>
          </w:tcPr>
          <w:p>
            <w:pPr>
              <w:jc w:val="right"/>
              <w:ind w:right="98"/>
              <w:spacing w:after="0" w:line="134" w:lineRule="exact"/>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jc w:val="right"/>
              <w:ind w:right="60"/>
              <w:spacing w:after="0" w:line="134" w:lineRule="exact"/>
              <w:rPr>
                <w:sz w:val="20"/>
                <w:szCs w:val="20"/>
                <w:color w:val="auto"/>
              </w:rPr>
            </w:pPr>
            <w:r>
              <w:rPr>
                <w:rFonts w:ascii="Arial" w:cs="Arial" w:eastAsia="Arial" w:hAnsi="Arial"/>
                <w:sz w:val="12"/>
                <w:szCs w:val="12"/>
                <w:color w:val="auto"/>
              </w:rPr>
              <w:t>1</w:t>
            </w:r>
          </w:p>
        </w:tc>
        <w:tc>
          <w:tcPr>
            <w:tcW w:w="460" w:type="dxa"/>
            <w:vAlign w:val="bottom"/>
            <w:tcBorders>
              <w:bottom w:val="single" w:sz="8" w:color="auto"/>
            </w:tcBorders>
          </w:tcPr>
          <w:p>
            <w:pPr>
              <w:jc w:val="right"/>
              <w:ind w:right="218"/>
              <w:spacing w:after="0" w:line="134" w:lineRule="exact"/>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ind w:right="20"/>
              <w:spacing w:after="0" w:line="134" w:lineRule="exact"/>
              <w:rPr>
                <w:sz w:val="20"/>
                <w:szCs w:val="20"/>
                <w:color w:val="auto"/>
              </w:rPr>
            </w:pPr>
            <w:r>
              <w:rPr>
                <w:rFonts w:ascii="Arial" w:cs="Arial" w:eastAsia="Arial" w:hAnsi="Arial"/>
                <w:sz w:val="12"/>
                <w:szCs w:val="12"/>
                <w:color w:val="auto"/>
              </w:rPr>
              <w:t>(40)</w:t>
            </w:r>
          </w:p>
        </w:tc>
        <w:tc>
          <w:tcPr>
            <w:tcW w:w="360" w:type="dxa"/>
            <w:vAlign w:val="bottom"/>
            <w:tcBorders>
              <w:bottom w:val="single" w:sz="8" w:color="auto"/>
            </w:tcBorders>
          </w:tcPr>
          <w:p>
            <w:pPr>
              <w:jc w:val="right"/>
              <w:ind w:right="118"/>
              <w:spacing w:after="0" w:line="134" w:lineRule="exact"/>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(58)</w:t>
            </w:r>
          </w:p>
        </w:tc>
        <w:tc>
          <w:tcPr>
            <w:tcW w:w="20" w:type="dxa"/>
            <w:vAlign w:val="bottom"/>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52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SoCalGas:</w:t>
            </w:r>
          </w:p>
        </w:tc>
        <w:tc>
          <w:tcPr>
            <w:tcW w:w="1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5"/>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Arial" w:cs="Arial" w:eastAsia="Arial" w:hAnsi="Arial"/>
                <w:sz w:val="12"/>
                <w:szCs w:val="12"/>
                <w:color w:val="auto"/>
              </w:rPr>
              <w:t>Commodity contracts not subject to rate recovery</w:t>
            </w:r>
          </w:p>
        </w:tc>
        <w:tc>
          <w:tcPr>
            <w:tcW w:w="1280" w:type="dxa"/>
            <w:vAlign w:val="bottom"/>
          </w:tcPr>
          <w:p>
            <w:pPr>
              <w:jc w:val="right"/>
              <w:ind w:right="961"/>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58"/>
              <w:spacing w:after="0"/>
              <w:rPr>
                <w:sz w:val="20"/>
                <w:szCs w:val="20"/>
                <w:color w:val="auto"/>
              </w:rPr>
            </w:pPr>
            <w:r>
              <w:rPr>
                <w:rFonts w:ascii="Arial" w:cs="Arial" w:eastAsia="Arial" w:hAnsi="Arial"/>
                <w:sz w:val="11"/>
                <w:szCs w:val="11"/>
                <w:color w:val="auto"/>
              </w:rPr>
              <w:t>2</w:t>
            </w:r>
          </w:p>
        </w:tc>
        <w:tc>
          <w:tcPr>
            <w:tcW w:w="34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60"/>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r>
      <w:tr>
        <w:trPr>
          <w:trHeight w:val="135"/>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80" w:type="dxa"/>
            <w:vAlign w:val="bottom"/>
          </w:tcPr>
          <w:p>
            <w:pPr>
              <w:spacing w:after="0" w:line="135" w:lineRule="exact"/>
              <w:rPr>
                <w:sz w:val="20"/>
                <w:szCs w:val="20"/>
                <w:color w:val="auto"/>
              </w:rPr>
            </w:pPr>
            <w:r>
              <w:rPr>
                <w:rFonts w:ascii="Arial" w:cs="Arial" w:eastAsia="Arial" w:hAnsi="Arial"/>
                <w:sz w:val="12"/>
                <w:szCs w:val="12"/>
                <w:color w:val="auto"/>
              </w:rPr>
              <w:t>Commodity contracts subject to rate recovery</w:t>
            </w:r>
          </w:p>
        </w:tc>
        <w:tc>
          <w:tcPr>
            <w:tcW w:w="1280" w:type="dxa"/>
            <w:vAlign w:val="bottom"/>
          </w:tcPr>
          <w:p>
            <w:pPr>
              <w:spacing w:after="0"/>
              <w:rPr>
                <w:sz w:val="11"/>
                <w:szCs w:val="11"/>
                <w:color w:val="auto"/>
              </w:rPr>
            </w:pPr>
          </w:p>
        </w:tc>
        <w:tc>
          <w:tcPr>
            <w:tcW w:w="360" w:type="dxa"/>
            <w:vAlign w:val="bottom"/>
          </w:tcPr>
          <w:p>
            <w:pPr>
              <w:jc w:val="right"/>
              <w:ind w:right="58"/>
              <w:spacing w:after="0" w:line="135" w:lineRule="exact"/>
              <w:rPr>
                <w:sz w:val="20"/>
                <w:szCs w:val="20"/>
                <w:color w:val="auto"/>
              </w:rPr>
            </w:pPr>
            <w:r>
              <w:rPr>
                <w:rFonts w:ascii="Arial" w:cs="Arial" w:eastAsia="Arial" w:hAnsi="Arial"/>
                <w:sz w:val="12"/>
                <w:szCs w:val="12"/>
                <w:color w:val="auto"/>
              </w:rPr>
              <w:t>2</w:t>
            </w:r>
          </w:p>
        </w:tc>
        <w:tc>
          <w:tcPr>
            <w:tcW w:w="340" w:type="dxa"/>
            <w:vAlign w:val="bottom"/>
          </w:tcPr>
          <w:p>
            <w:pPr>
              <w:spacing w:after="0"/>
              <w:rPr>
                <w:sz w:val="11"/>
                <w:szCs w:val="11"/>
                <w:color w:val="auto"/>
              </w:rPr>
            </w:pPr>
          </w:p>
        </w:tc>
        <w:tc>
          <w:tcPr>
            <w:tcW w:w="1220" w:type="dxa"/>
            <w:vAlign w:val="bottom"/>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1100" w:type="dxa"/>
            <w:vAlign w:val="bottom"/>
          </w:tcPr>
          <w:p>
            <w:pPr>
              <w:jc w:val="right"/>
              <w:ind w:right="20"/>
              <w:spacing w:after="0" w:line="135" w:lineRule="exact"/>
              <w:rPr>
                <w:sz w:val="20"/>
                <w:szCs w:val="20"/>
                <w:color w:val="auto"/>
              </w:rPr>
            </w:pPr>
            <w:r>
              <w:rPr>
                <w:rFonts w:ascii="Arial" w:cs="Arial" w:eastAsia="Arial" w:hAnsi="Arial"/>
                <w:sz w:val="12"/>
                <w:szCs w:val="12"/>
                <w:color w:val="auto"/>
              </w:rPr>
              <w:t>(3)</w:t>
            </w:r>
          </w:p>
        </w:tc>
        <w:tc>
          <w:tcPr>
            <w:tcW w:w="360" w:type="dxa"/>
            <w:vAlign w:val="bottom"/>
          </w:tcPr>
          <w:p>
            <w:pPr>
              <w:spacing w:after="0"/>
              <w:rPr>
                <w:sz w:val="11"/>
                <w:szCs w:val="11"/>
                <w:color w:val="auto"/>
              </w:rPr>
            </w:pPr>
          </w:p>
        </w:tc>
        <w:tc>
          <w:tcPr>
            <w:tcW w:w="11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80" w:type="dxa"/>
            <w:vAlign w:val="bottom"/>
          </w:tcPr>
          <w:p>
            <w:pPr>
              <w:ind w:left="140"/>
              <w:spacing w:after="0"/>
              <w:rPr>
                <w:sz w:val="20"/>
                <w:szCs w:val="20"/>
                <w:color w:val="auto"/>
              </w:rPr>
            </w:pPr>
            <w:r>
              <w:rPr>
                <w:rFonts w:ascii="Arial" w:cs="Arial" w:eastAsia="Arial" w:hAnsi="Arial"/>
                <w:sz w:val="12"/>
                <w:szCs w:val="12"/>
                <w:color w:val="auto"/>
              </w:rPr>
              <w:t>Associated offsetting commodity contracts</w:t>
            </w:r>
          </w:p>
        </w:tc>
        <w:tc>
          <w:tcPr>
            <w:tcW w:w="1280" w:type="dxa"/>
            <w:vAlign w:val="bottom"/>
          </w:tcPr>
          <w:p>
            <w:pPr>
              <w:spacing w:after="0"/>
              <w:rPr>
                <w:sz w:val="12"/>
                <w:szCs w:val="12"/>
                <w:color w:val="auto"/>
              </w:rPr>
            </w:pPr>
          </w:p>
        </w:tc>
        <w:tc>
          <w:tcPr>
            <w:tcW w:w="360" w:type="dxa"/>
            <w:vAlign w:val="bottom"/>
          </w:tcPr>
          <w:p>
            <w:pPr>
              <w:jc w:val="right"/>
              <w:ind w:right="18"/>
              <w:spacing w:after="0"/>
              <w:rPr>
                <w:sz w:val="20"/>
                <w:szCs w:val="20"/>
                <w:color w:val="auto"/>
              </w:rPr>
            </w:pPr>
            <w:r>
              <w:rPr>
                <w:rFonts w:ascii="Arial" w:cs="Arial" w:eastAsia="Arial" w:hAnsi="Arial"/>
                <w:sz w:val="12"/>
                <w:szCs w:val="12"/>
                <w:color w:val="auto"/>
              </w:rPr>
              <w:t>(2)</w:t>
            </w:r>
          </w:p>
        </w:tc>
        <w:tc>
          <w:tcPr>
            <w:tcW w:w="340" w:type="dxa"/>
            <w:vAlign w:val="bottom"/>
          </w:tcPr>
          <w:p>
            <w:pPr>
              <w:spacing w:after="0"/>
              <w:rPr>
                <w:sz w:val="12"/>
                <w:szCs w:val="12"/>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2</w:t>
            </w:r>
          </w:p>
        </w:tc>
        <w:tc>
          <w:tcPr>
            <w:tcW w:w="360" w:type="dxa"/>
            <w:vAlign w:val="bottom"/>
          </w:tcPr>
          <w:p>
            <w:pPr>
              <w:spacing w:after="0"/>
              <w:rPr>
                <w:sz w:val="12"/>
                <w:szCs w:val="1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35"/>
        </w:trPr>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80" w:type="dxa"/>
            <w:vAlign w:val="bottom"/>
            <w:tcBorders>
              <w:bottom w:val="single" w:sz="8" w:color="auto"/>
            </w:tcBorders>
          </w:tcPr>
          <w:p>
            <w:pPr>
              <w:spacing w:after="0" w:line="134" w:lineRule="exact"/>
              <w:rPr>
                <w:sz w:val="20"/>
                <w:szCs w:val="20"/>
                <w:color w:val="auto"/>
              </w:rPr>
            </w:pPr>
            <w:r>
              <w:rPr>
                <w:rFonts w:ascii="Arial" w:cs="Arial" w:eastAsia="Arial" w:hAnsi="Arial"/>
                <w:sz w:val="12"/>
                <w:szCs w:val="12"/>
                <w:color w:val="auto"/>
              </w:rPr>
              <w:t>Total</w:t>
            </w:r>
          </w:p>
        </w:tc>
        <w:tc>
          <w:tcPr>
            <w:tcW w:w="1280" w:type="dxa"/>
            <w:vAlign w:val="bottom"/>
            <w:tcBorders>
              <w:top w:val="single" w:sz="8" w:color="auto"/>
              <w:bottom w:val="single" w:sz="8" w:color="auto"/>
            </w:tcBorders>
          </w:tcPr>
          <w:p>
            <w:pPr>
              <w:jc w:val="right"/>
              <w:ind w:right="961"/>
              <w:spacing w:after="0" w:line="134" w:lineRule="exact"/>
              <w:rPr>
                <w:sz w:val="20"/>
                <w:szCs w:val="20"/>
                <w:color w:val="auto"/>
              </w:rPr>
            </w:pPr>
            <w:r>
              <w:rPr>
                <w:rFonts w:ascii="Arial" w:cs="Arial" w:eastAsia="Arial" w:hAnsi="Arial"/>
                <w:sz w:val="12"/>
                <w:szCs w:val="12"/>
                <w:color w:val="auto"/>
              </w:rPr>
              <w:t>$</w:t>
            </w:r>
          </w:p>
        </w:tc>
        <w:tc>
          <w:tcPr>
            <w:tcW w:w="360" w:type="dxa"/>
            <w:vAlign w:val="bottom"/>
            <w:tcBorders>
              <w:top w:val="single" w:sz="8" w:color="auto"/>
              <w:bottom w:val="single" w:sz="8" w:color="auto"/>
            </w:tcBorders>
          </w:tcPr>
          <w:p>
            <w:pPr>
              <w:jc w:val="right"/>
              <w:ind w:right="58"/>
              <w:spacing w:after="0" w:line="134" w:lineRule="exact"/>
              <w:rPr>
                <w:sz w:val="20"/>
                <w:szCs w:val="20"/>
                <w:color w:val="auto"/>
              </w:rPr>
            </w:pPr>
            <w:r>
              <w:rPr>
                <w:rFonts w:ascii="Arial" w:cs="Arial" w:eastAsia="Arial" w:hAnsi="Arial"/>
                <w:sz w:val="12"/>
                <w:szCs w:val="12"/>
                <w:color w:val="auto"/>
              </w:rPr>
              <w:t>2</w:t>
            </w:r>
          </w:p>
        </w:tc>
        <w:tc>
          <w:tcPr>
            <w:tcW w:w="340" w:type="dxa"/>
            <w:vAlign w:val="bottom"/>
            <w:tcBorders>
              <w:top w:val="single" w:sz="8" w:color="auto"/>
              <w:bottom w:val="single" w:sz="8" w:color="auto"/>
            </w:tcBorders>
          </w:tcPr>
          <w:p>
            <w:pPr>
              <w:jc w:val="right"/>
              <w:ind w:right="98"/>
              <w:spacing w:after="0" w:line="134" w:lineRule="exact"/>
              <w:rPr>
                <w:sz w:val="20"/>
                <w:szCs w:val="20"/>
                <w:color w:val="auto"/>
              </w:rPr>
            </w:pPr>
            <w:r>
              <w:rPr>
                <w:rFonts w:ascii="Arial" w:cs="Arial" w:eastAsia="Arial" w:hAnsi="Arial"/>
                <w:sz w:val="12"/>
                <w:szCs w:val="12"/>
                <w:color w:val="auto"/>
              </w:rPr>
              <w:t>$</w:t>
            </w:r>
          </w:p>
        </w:tc>
        <w:tc>
          <w:tcPr>
            <w:tcW w:w="1220" w:type="dxa"/>
            <w:vAlign w:val="bottom"/>
            <w:tcBorders>
              <w:top w:val="single" w:sz="8" w:color="auto"/>
              <w:bottom w:val="single" w:sz="8" w:color="auto"/>
            </w:tcBorders>
          </w:tcPr>
          <w:p>
            <w:pPr>
              <w:jc w:val="right"/>
              <w:ind w:right="60"/>
              <w:spacing w:after="0" w:line="134" w:lineRule="exact"/>
              <w:rPr>
                <w:sz w:val="20"/>
                <w:szCs w:val="20"/>
                <w:color w:val="auto"/>
              </w:rPr>
            </w:pPr>
            <w:r>
              <w:rPr>
                <w:rFonts w:ascii="Arial" w:cs="Arial" w:eastAsia="Arial" w:hAnsi="Arial"/>
                <w:sz w:val="12"/>
                <w:szCs w:val="12"/>
                <w:color w:val="auto"/>
              </w:rPr>
              <w:t>―</w:t>
            </w:r>
          </w:p>
        </w:tc>
        <w:tc>
          <w:tcPr>
            <w:tcW w:w="460" w:type="dxa"/>
            <w:vAlign w:val="bottom"/>
            <w:tcBorders>
              <w:top w:val="single" w:sz="8" w:color="auto"/>
              <w:bottom w:val="single" w:sz="8" w:color="auto"/>
            </w:tcBorders>
          </w:tcPr>
          <w:p>
            <w:pPr>
              <w:jc w:val="right"/>
              <w:ind w:right="218"/>
              <w:spacing w:after="0" w:line="134" w:lineRule="exact"/>
              <w:rPr>
                <w:sz w:val="20"/>
                <w:szCs w:val="20"/>
                <w:color w:val="auto"/>
              </w:rPr>
            </w:pPr>
            <w:r>
              <w:rPr>
                <w:rFonts w:ascii="Arial" w:cs="Arial" w:eastAsia="Arial" w:hAnsi="Arial"/>
                <w:sz w:val="12"/>
                <w:szCs w:val="12"/>
                <w:color w:val="auto"/>
              </w:rPr>
              <w:t>$</w:t>
            </w:r>
          </w:p>
        </w:tc>
        <w:tc>
          <w:tcPr>
            <w:tcW w:w="1100" w:type="dxa"/>
            <w:vAlign w:val="bottom"/>
            <w:tcBorders>
              <w:top w:val="single" w:sz="8" w:color="auto"/>
              <w:bottom w:val="single" w:sz="8" w:color="auto"/>
            </w:tcBorders>
          </w:tcPr>
          <w:p>
            <w:pPr>
              <w:jc w:val="right"/>
              <w:ind w:right="20"/>
              <w:spacing w:after="0" w:line="134" w:lineRule="exact"/>
              <w:rPr>
                <w:sz w:val="20"/>
                <w:szCs w:val="20"/>
                <w:color w:val="auto"/>
              </w:rPr>
            </w:pPr>
            <w:r>
              <w:rPr>
                <w:rFonts w:ascii="Arial" w:cs="Arial" w:eastAsia="Arial" w:hAnsi="Arial"/>
                <w:sz w:val="12"/>
                <w:szCs w:val="12"/>
                <w:color w:val="auto"/>
              </w:rPr>
              <w:t>(1)</w:t>
            </w:r>
          </w:p>
        </w:tc>
        <w:tc>
          <w:tcPr>
            <w:tcW w:w="360" w:type="dxa"/>
            <w:vAlign w:val="bottom"/>
            <w:tcBorders>
              <w:top w:val="single" w:sz="8" w:color="auto"/>
              <w:bottom w:val="single" w:sz="8" w:color="auto"/>
            </w:tcBorders>
          </w:tcPr>
          <w:p>
            <w:pPr>
              <w:jc w:val="right"/>
              <w:ind w:right="118"/>
              <w:spacing w:after="0" w:line="134" w:lineRule="exact"/>
              <w:rPr>
                <w:sz w:val="20"/>
                <w:szCs w:val="20"/>
                <w:color w:val="auto"/>
              </w:rPr>
            </w:pPr>
            <w:r>
              <w:rPr>
                <w:rFonts w:ascii="Arial" w:cs="Arial" w:eastAsia="Arial" w:hAnsi="Arial"/>
                <w:sz w:val="12"/>
                <w:szCs w:val="12"/>
                <w:color w:val="auto"/>
              </w:rPr>
              <w:t>$</w:t>
            </w:r>
          </w:p>
        </w:tc>
        <w:tc>
          <w:tcPr>
            <w:tcW w:w="11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83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December 31, 2010</w:t>
            </w:r>
          </w:p>
        </w:tc>
        <w:tc>
          <w:tcPr>
            <w:tcW w:w="1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8"/>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1"/>
                <w:szCs w:val="11"/>
                <w:color w:val="auto"/>
                <w:w w:val="98"/>
              </w:rPr>
              <w:t>Deferred</w:t>
            </w:r>
          </w:p>
        </w:tc>
      </w:tr>
      <w:tr>
        <w:trPr>
          <w:trHeight w:val="124"/>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2"/>
          </w:tcPr>
          <w:p>
            <w:pPr>
              <w:jc w:val="center"/>
              <w:ind w:right="200"/>
              <w:spacing w:after="0" w:line="124" w:lineRule="exact"/>
              <w:rPr>
                <w:sz w:val="20"/>
                <w:szCs w:val="20"/>
                <w:color w:val="auto"/>
              </w:rPr>
            </w:pPr>
            <w:r>
              <w:rPr>
                <w:rFonts w:ascii="Arial" w:cs="Arial" w:eastAsia="Arial" w:hAnsi="Arial"/>
                <w:sz w:val="11"/>
                <w:szCs w:val="11"/>
                <w:color w:val="auto"/>
              </w:rPr>
              <w:t>credits</w:t>
            </w:r>
          </w:p>
        </w:tc>
      </w:tr>
      <w:tr>
        <w:trPr>
          <w:trHeight w:val="124"/>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280" w:type="dxa"/>
            <w:vAlign w:val="bottom"/>
          </w:tcPr>
          <w:p>
            <w:pPr>
              <w:jc w:val="center"/>
              <w:ind w:left="481"/>
              <w:spacing w:after="0" w:line="124" w:lineRule="exact"/>
              <w:rPr>
                <w:sz w:val="20"/>
                <w:szCs w:val="20"/>
                <w:color w:val="auto"/>
              </w:rPr>
            </w:pPr>
            <w:r>
              <w:rPr>
                <w:rFonts w:ascii="Arial" w:cs="Arial" w:eastAsia="Arial" w:hAnsi="Arial"/>
                <w:sz w:val="11"/>
                <w:szCs w:val="11"/>
                <w:color w:val="auto"/>
              </w:rPr>
              <w:t>Current</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jc w:val="center"/>
              <w:ind w:right="320"/>
              <w:spacing w:after="0" w:line="124" w:lineRule="exact"/>
              <w:rPr>
                <w:sz w:val="20"/>
                <w:szCs w:val="20"/>
                <w:color w:val="auto"/>
              </w:rPr>
            </w:pPr>
            <w:r>
              <w:rPr>
                <w:rFonts w:ascii="Arial" w:cs="Arial" w:eastAsia="Arial" w:hAnsi="Arial"/>
                <w:sz w:val="11"/>
                <w:szCs w:val="11"/>
                <w:color w:val="auto"/>
                <w:w w:val="98"/>
              </w:rPr>
              <w:t>Current</w:t>
            </w:r>
          </w:p>
        </w:tc>
        <w:tc>
          <w:tcPr>
            <w:tcW w:w="360" w:type="dxa"/>
            <w:vAlign w:val="bottom"/>
          </w:tcPr>
          <w:p>
            <w:pPr>
              <w:spacing w:after="0"/>
              <w:rPr>
                <w:sz w:val="10"/>
                <w:szCs w:val="10"/>
                <w:color w:val="auto"/>
              </w:rPr>
            </w:pPr>
          </w:p>
        </w:tc>
        <w:tc>
          <w:tcPr>
            <w:tcW w:w="1140" w:type="dxa"/>
            <w:vAlign w:val="bottom"/>
            <w:gridSpan w:val="2"/>
          </w:tcPr>
          <w:p>
            <w:pPr>
              <w:jc w:val="center"/>
              <w:ind w:right="200"/>
              <w:spacing w:after="0" w:line="124" w:lineRule="exact"/>
              <w:rPr>
                <w:sz w:val="20"/>
                <w:szCs w:val="20"/>
                <w:color w:val="auto"/>
              </w:rPr>
            </w:pPr>
            <w:r>
              <w:rPr>
                <w:rFonts w:ascii="Arial" w:cs="Arial" w:eastAsia="Arial" w:hAnsi="Arial"/>
                <w:sz w:val="11"/>
                <w:szCs w:val="11"/>
                <w:color w:val="auto"/>
                <w:w w:val="98"/>
              </w:rPr>
              <w:t>and other</w:t>
            </w:r>
          </w:p>
        </w:tc>
      </w:tr>
      <w:tr>
        <w:trPr>
          <w:trHeight w:val="124"/>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280" w:type="dxa"/>
            <w:vAlign w:val="bottom"/>
          </w:tcPr>
          <w:p>
            <w:pPr>
              <w:jc w:val="center"/>
              <w:ind w:left="481"/>
              <w:spacing w:after="0" w:line="124" w:lineRule="exact"/>
              <w:rPr>
                <w:sz w:val="20"/>
                <w:szCs w:val="20"/>
                <w:color w:val="auto"/>
              </w:rPr>
            </w:pPr>
            <w:r>
              <w:rPr>
                <w:rFonts w:ascii="Arial" w:cs="Arial" w:eastAsia="Arial" w:hAnsi="Arial"/>
                <w:sz w:val="11"/>
                <w:szCs w:val="11"/>
                <w:color w:val="auto"/>
                <w:w w:val="97"/>
              </w:rPr>
              <w:t>assets:</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jc w:val="center"/>
              <w:ind w:right="320"/>
              <w:spacing w:after="0" w:line="124" w:lineRule="exact"/>
              <w:rPr>
                <w:sz w:val="20"/>
                <w:szCs w:val="20"/>
                <w:color w:val="auto"/>
              </w:rPr>
            </w:pPr>
            <w:r>
              <w:rPr>
                <w:rFonts w:ascii="Arial" w:cs="Arial" w:eastAsia="Arial" w:hAnsi="Arial"/>
                <w:sz w:val="11"/>
                <w:szCs w:val="11"/>
                <w:color w:val="auto"/>
                <w:w w:val="98"/>
              </w:rPr>
              <w:t>liabilities:</w:t>
            </w:r>
          </w:p>
        </w:tc>
        <w:tc>
          <w:tcPr>
            <w:tcW w:w="360" w:type="dxa"/>
            <w:vAlign w:val="bottom"/>
          </w:tcPr>
          <w:p>
            <w:pPr>
              <w:spacing w:after="0"/>
              <w:rPr>
                <w:sz w:val="10"/>
                <w:szCs w:val="10"/>
                <w:color w:val="auto"/>
              </w:rPr>
            </w:pPr>
          </w:p>
        </w:tc>
        <w:tc>
          <w:tcPr>
            <w:tcW w:w="1140" w:type="dxa"/>
            <w:vAlign w:val="bottom"/>
            <w:gridSpan w:val="2"/>
          </w:tcPr>
          <w:p>
            <w:pPr>
              <w:jc w:val="center"/>
              <w:ind w:right="200"/>
              <w:spacing w:after="0" w:line="124" w:lineRule="exact"/>
              <w:rPr>
                <w:sz w:val="20"/>
                <w:szCs w:val="20"/>
                <w:color w:val="auto"/>
              </w:rPr>
            </w:pPr>
            <w:r>
              <w:rPr>
                <w:rFonts w:ascii="Arial" w:cs="Arial" w:eastAsia="Arial" w:hAnsi="Arial"/>
                <w:sz w:val="11"/>
                <w:szCs w:val="11"/>
                <w:color w:val="auto"/>
              </w:rPr>
              <w:t>liabilities:</w:t>
            </w:r>
          </w:p>
        </w:tc>
      </w:tr>
      <w:tr>
        <w:trPr>
          <w:trHeight w:val="124"/>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280" w:type="dxa"/>
            <w:vAlign w:val="bottom"/>
          </w:tcPr>
          <w:p>
            <w:pPr>
              <w:jc w:val="center"/>
              <w:ind w:left="481"/>
              <w:spacing w:after="0" w:line="124" w:lineRule="exact"/>
              <w:rPr>
                <w:sz w:val="20"/>
                <w:szCs w:val="20"/>
                <w:color w:val="auto"/>
              </w:rPr>
            </w:pPr>
            <w:r>
              <w:rPr>
                <w:rFonts w:ascii="Arial" w:cs="Arial" w:eastAsia="Arial" w:hAnsi="Arial"/>
                <w:sz w:val="11"/>
                <w:szCs w:val="11"/>
                <w:color w:val="auto"/>
                <w:w w:val="99"/>
              </w:rPr>
              <w:t>Fixed-price</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jc w:val="center"/>
              <w:ind w:right="200"/>
              <w:spacing w:after="0" w:line="124" w:lineRule="exact"/>
              <w:rPr>
                <w:sz w:val="20"/>
                <w:szCs w:val="20"/>
                <w:color w:val="auto"/>
              </w:rPr>
            </w:pPr>
            <w:r>
              <w:rPr>
                <w:rFonts w:ascii="Arial" w:cs="Arial" w:eastAsia="Arial" w:hAnsi="Arial"/>
                <w:sz w:val="11"/>
                <w:szCs w:val="11"/>
                <w:color w:val="auto"/>
              </w:rPr>
              <w:t>Investments</w:t>
            </w:r>
          </w:p>
        </w:tc>
        <w:tc>
          <w:tcPr>
            <w:tcW w:w="460" w:type="dxa"/>
            <w:vAlign w:val="bottom"/>
          </w:tcPr>
          <w:p>
            <w:pPr>
              <w:spacing w:after="0"/>
              <w:rPr>
                <w:sz w:val="10"/>
                <w:szCs w:val="10"/>
                <w:color w:val="auto"/>
              </w:rPr>
            </w:pPr>
          </w:p>
        </w:tc>
        <w:tc>
          <w:tcPr>
            <w:tcW w:w="1100" w:type="dxa"/>
            <w:vAlign w:val="bottom"/>
          </w:tcPr>
          <w:p>
            <w:pPr>
              <w:jc w:val="center"/>
              <w:ind w:right="300"/>
              <w:spacing w:after="0" w:line="124" w:lineRule="exact"/>
              <w:rPr>
                <w:sz w:val="20"/>
                <w:szCs w:val="20"/>
                <w:color w:val="auto"/>
              </w:rPr>
            </w:pPr>
            <w:r>
              <w:rPr>
                <w:rFonts w:ascii="Arial" w:cs="Arial" w:eastAsia="Arial" w:hAnsi="Arial"/>
                <w:sz w:val="11"/>
                <w:szCs w:val="11"/>
                <w:color w:val="auto"/>
                <w:w w:val="99"/>
              </w:rPr>
              <w:t>Fixed-price</w:t>
            </w:r>
          </w:p>
        </w:tc>
        <w:tc>
          <w:tcPr>
            <w:tcW w:w="360" w:type="dxa"/>
            <w:vAlign w:val="bottom"/>
          </w:tcPr>
          <w:p>
            <w:pPr>
              <w:spacing w:after="0"/>
              <w:rPr>
                <w:sz w:val="10"/>
                <w:szCs w:val="10"/>
                <w:color w:val="auto"/>
              </w:rPr>
            </w:pPr>
          </w:p>
        </w:tc>
        <w:tc>
          <w:tcPr>
            <w:tcW w:w="1140" w:type="dxa"/>
            <w:vAlign w:val="bottom"/>
            <w:gridSpan w:val="2"/>
          </w:tcPr>
          <w:p>
            <w:pPr>
              <w:jc w:val="center"/>
              <w:ind w:right="200"/>
              <w:spacing w:after="0" w:line="124" w:lineRule="exact"/>
              <w:rPr>
                <w:sz w:val="20"/>
                <w:szCs w:val="20"/>
                <w:color w:val="auto"/>
              </w:rPr>
            </w:pPr>
            <w:r>
              <w:rPr>
                <w:rFonts w:ascii="Arial" w:cs="Arial" w:eastAsia="Arial" w:hAnsi="Arial"/>
                <w:sz w:val="11"/>
                <w:szCs w:val="11"/>
                <w:color w:val="auto"/>
                <w:w w:val="99"/>
              </w:rPr>
              <w:t>Fixed-price</w:t>
            </w:r>
          </w:p>
        </w:tc>
      </w:tr>
      <w:tr>
        <w:trPr>
          <w:trHeight w:val="124"/>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280" w:type="dxa"/>
            <w:vAlign w:val="bottom"/>
          </w:tcPr>
          <w:p>
            <w:pPr>
              <w:jc w:val="center"/>
              <w:ind w:left="481"/>
              <w:spacing w:after="0" w:line="124" w:lineRule="exact"/>
              <w:rPr>
                <w:sz w:val="20"/>
                <w:szCs w:val="20"/>
                <w:color w:val="auto"/>
              </w:rPr>
            </w:pPr>
            <w:r>
              <w:rPr>
                <w:rFonts w:ascii="Arial" w:cs="Arial" w:eastAsia="Arial" w:hAnsi="Arial"/>
                <w:sz w:val="11"/>
                <w:szCs w:val="11"/>
                <w:color w:val="auto"/>
              </w:rPr>
              <w:t>contracts</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jc w:val="center"/>
              <w:ind w:right="200"/>
              <w:spacing w:after="0" w:line="124" w:lineRule="exact"/>
              <w:rPr>
                <w:sz w:val="20"/>
                <w:szCs w:val="20"/>
                <w:color w:val="auto"/>
              </w:rPr>
            </w:pPr>
            <w:r>
              <w:rPr>
                <w:rFonts w:ascii="Arial" w:cs="Arial" w:eastAsia="Arial" w:hAnsi="Arial"/>
                <w:sz w:val="11"/>
                <w:szCs w:val="11"/>
                <w:color w:val="auto"/>
              </w:rPr>
              <w:t>and other</w:t>
            </w:r>
          </w:p>
        </w:tc>
        <w:tc>
          <w:tcPr>
            <w:tcW w:w="460" w:type="dxa"/>
            <w:vAlign w:val="bottom"/>
          </w:tcPr>
          <w:p>
            <w:pPr>
              <w:spacing w:after="0"/>
              <w:rPr>
                <w:sz w:val="10"/>
                <w:szCs w:val="10"/>
                <w:color w:val="auto"/>
              </w:rPr>
            </w:pPr>
          </w:p>
        </w:tc>
        <w:tc>
          <w:tcPr>
            <w:tcW w:w="1100" w:type="dxa"/>
            <w:vAlign w:val="bottom"/>
          </w:tcPr>
          <w:p>
            <w:pPr>
              <w:jc w:val="center"/>
              <w:ind w:right="320"/>
              <w:spacing w:after="0" w:line="124" w:lineRule="exact"/>
              <w:rPr>
                <w:sz w:val="20"/>
                <w:szCs w:val="20"/>
                <w:color w:val="auto"/>
              </w:rPr>
            </w:pPr>
            <w:r>
              <w:rPr>
                <w:rFonts w:ascii="Arial" w:cs="Arial" w:eastAsia="Arial" w:hAnsi="Arial"/>
                <w:sz w:val="11"/>
                <w:szCs w:val="11"/>
                <w:color w:val="auto"/>
                <w:w w:val="98"/>
              </w:rPr>
              <w:t>contracts</w:t>
            </w:r>
          </w:p>
        </w:tc>
        <w:tc>
          <w:tcPr>
            <w:tcW w:w="360" w:type="dxa"/>
            <w:vAlign w:val="bottom"/>
          </w:tcPr>
          <w:p>
            <w:pPr>
              <w:spacing w:after="0"/>
              <w:rPr>
                <w:sz w:val="10"/>
                <w:szCs w:val="10"/>
                <w:color w:val="auto"/>
              </w:rPr>
            </w:pPr>
          </w:p>
        </w:tc>
        <w:tc>
          <w:tcPr>
            <w:tcW w:w="1140" w:type="dxa"/>
            <w:vAlign w:val="bottom"/>
            <w:gridSpan w:val="2"/>
          </w:tcPr>
          <w:p>
            <w:pPr>
              <w:jc w:val="center"/>
              <w:ind w:right="200"/>
              <w:spacing w:after="0" w:line="124" w:lineRule="exact"/>
              <w:rPr>
                <w:sz w:val="20"/>
                <w:szCs w:val="20"/>
                <w:color w:val="auto"/>
              </w:rPr>
            </w:pPr>
            <w:r>
              <w:rPr>
                <w:rFonts w:ascii="Arial" w:cs="Arial" w:eastAsia="Arial" w:hAnsi="Arial"/>
                <w:sz w:val="11"/>
                <w:szCs w:val="11"/>
                <w:color w:val="auto"/>
              </w:rPr>
              <w:t>contracts</w:t>
            </w:r>
          </w:p>
        </w:tc>
      </w:tr>
      <w:tr>
        <w:trPr>
          <w:trHeight w:val="124"/>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280" w:type="dxa"/>
            <w:vAlign w:val="bottom"/>
          </w:tcPr>
          <w:p>
            <w:pPr>
              <w:jc w:val="center"/>
              <w:ind w:left="481"/>
              <w:spacing w:after="0" w:line="124" w:lineRule="exact"/>
              <w:rPr>
                <w:sz w:val="20"/>
                <w:szCs w:val="20"/>
                <w:color w:val="auto"/>
              </w:rPr>
            </w:pPr>
            <w:r>
              <w:rPr>
                <w:rFonts w:ascii="Arial" w:cs="Arial" w:eastAsia="Arial" w:hAnsi="Arial"/>
                <w:sz w:val="11"/>
                <w:szCs w:val="11"/>
                <w:color w:val="auto"/>
                <w:w w:val="98"/>
              </w:rPr>
              <w:t>and other</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jc w:val="center"/>
              <w:ind w:right="200"/>
              <w:spacing w:after="0" w:line="124" w:lineRule="exact"/>
              <w:rPr>
                <w:sz w:val="20"/>
                <w:szCs w:val="20"/>
                <w:color w:val="auto"/>
              </w:rPr>
            </w:pPr>
            <w:r>
              <w:rPr>
                <w:rFonts w:ascii="Arial" w:cs="Arial" w:eastAsia="Arial" w:hAnsi="Arial"/>
                <w:sz w:val="11"/>
                <w:szCs w:val="11"/>
                <w:color w:val="auto"/>
              </w:rPr>
              <w:t>assets:</w:t>
            </w:r>
          </w:p>
        </w:tc>
        <w:tc>
          <w:tcPr>
            <w:tcW w:w="460" w:type="dxa"/>
            <w:vAlign w:val="bottom"/>
          </w:tcPr>
          <w:p>
            <w:pPr>
              <w:spacing w:after="0"/>
              <w:rPr>
                <w:sz w:val="10"/>
                <w:szCs w:val="10"/>
                <w:color w:val="auto"/>
              </w:rPr>
            </w:pPr>
          </w:p>
        </w:tc>
        <w:tc>
          <w:tcPr>
            <w:tcW w:w="1100" w:type="dxa"/>
            <w:vAlign w:val="bottom"/>
          </w:tcPr>
          <w:p>
            <w:pPr>
              <w:jc w:val="center"/>
              <w:ind w:right="300"/>
              <w:spacing w:after="0" w:line="124" w:lineRule="exact"/>
              <w:rPr>
                <w:sz w:val="20"/>
                <w:szCs w:val="20"/>
                <w:color w:val="auto"/>
              </w:rPr>
            </w:pPr>
            <w:r>
              <w:rPr>
                <w:rFonts w:ascii="Arial" w:cs="Arial" w:eastAsia="Arial" w:hAnsi="Arial"/>
                <w:sz w:val="11"/>
                <w:szCs w:val="11"/>
                <w:color w:val="auto"/>
                <w:w w:val="98"/>
              </w:rPr>
              <w:t>and other</w:t>
            </w:r>
          </w:p>
        </w:tc>
        <w:tc>
          <w:tcPr>
            <w:tcW w:w="360" w:type="dxa"/>
            <w:vAlign w:val="bottom"/>
          </w:tcPr>
          <w:p>
            <w:pPr>
              <w:spacing w:after="0"/>
              <w:rPr>
                <w:sz w:val="10"/>
                <w:szCs w:val="10"/>
                <w:color w:val="auto"/>
              </w:rPr>
            </w:pPr>
          </w:p>
        </w:tc>
        <w:tc>
          <w:tcPr>
            <w:tcW w:w="1140" w:type="dxa"/>
            <w:vAlign w:val="bottom"/>
            <w:gridSpan w:val="2"/>
          </w:tcPr>
          <w:p>
            <w:pPr>
              <w:jc w:val="center"/>
              <w:ind w:right="200"/>
              <w:spacing w:after="0" w:line="124" w:lineRule="exact"/>
              <w:rPr>
                <w:sz w:val="20"/>
                <w:szCs w:val="20"/>
                <w:color w:val="auto"/>
              </w:rPr>
            </w:pPr>
            <w:r>
              <w:rPr>
                <w:rFonts w:ascii="Arial" w:cs="Arial" w:eastAsia="Arial" w:hAnsi="Arial"/>
                <w:sz w:val="11"/>
                <w:szCs w:val="11"/>
                <w:color w:val="auto"/>
                <w:w w:val="98"/>
              </w:rPr>
              <w:t>and other</w:t>
            </w:r>
          </w:p>
        </w:tc>
      </w:tr>
      <w:tr>
        <w:trPr>
          <w:trHeight w:val="121"/>
        </w:trPr>
        <w:tc>
          <w:tcPr>
            <w:tcW w:w="5220" w:type="dxa"/>
            <w:vAlign w:val="bottom"/>
            <w:gridSpan w:val="3"/>
          </w:tcPr>
          <w:p>
            <w:pPr>
              <w:spacing w:after="0" w:line="121" w:lineRule="exact"/>
              <w:rPr>
                <w:sz w:val="20"/>
                <w:szCs w:val="20"/>
                <w:color w:val="auto"/>
              </w:rPr>
            </w:pPr>
            <w:r>
              <w:rPr>
                <w:rFonts w:ascii="Arial" w:cs="Arial" w:eastAsia="Arial" w:hAnsi="Arial"/>
                <w:sz w:val="11"/>
                <w:szCs w:val="11"/>
                <w:color w:val="auto"/>
              </w:rPr>
              <w:t>Derivatives designated as hedging instruments</w:t>
            </w:r>
          </w:p>
        </w:tc>
        <w:tc>
          <w:tcPr>
            <w:tcW w:w="1280" w:type="dxa"/>
            <w:vAlign w:val="bottom"/>
          </w:tcPr>
          <w:p>
            <w:pPr>
              <w:jc w:val="center"/>
              <w:ind w:left="481"/>
              <w:spacing w:after="0" w:line="121" w:lineRule="exact"/>
              <w:rPr>
                <w:sz w:val="20"/>
                <w:szCs w:val="20"/>
                <w:color w:val="auto"/>
              </w:rPr>
            </w:pPr>
            <w:r>
              <w:rPr>
                <w:rFonts w:ascii="Arial" w:cs="Arial" w:eastAsia="Arial" w:hAnsi="Arial"/>
                <w:sz w:val="11"/>
                <w:szCs w:val="11"/>
                <w:color w:val="auto"/>
                <w:w w:val="99"/>
              </w:rPr>
              <w:t>derivatives(1)</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jc w:val="center"/>
              <w:ind w:right="200"/>
              <w:spacing w:after="0" w:line="121" w:lineRule="exact"/>
              <w:rPr>
                <w:sz w:val="20"/>
                <w:szCs w:val="20"/>
                <w:color w:val="auto"/>
              </w:rPr>
            </w:pPr>
            <w:r>
              <w:rPr>
                <w:rFonts w:ascii="Arial" w:cs="Arial" w:eastAsia="Arial" w:hAnsi="Arial"/>
                <w:sz w:val="11"/>
                <w:szCs w:val="11"/>
                <w:color w:val="auto"/>
              </w:rPr>
              <w:t>Sundry</w:t>
            </w:r>
          </w:p>
        </w:tc>
        <w:tc>
          <w:tcPr>
            <w:tcW w:w="460" w:type="dxa"/>
            <w:vAlign w:val="bottom"/>
          </w:tcPr>
          <w:p>
            <w:pPr>
              <w:spacing w:after="0"/>
              <w:rPr>
                <w:sz w:val="10"/>
                <w:szCs w:val="10"/>
                <w:color w:val="auto"/>
              </w:rPr>
            </w:pPr>
          </w:p>
        </w:tc>
        <w:tc>
          <w:tcPr>
            <w:tcW w:w="1100" w:type="dxa"/>
            <w:vAlign w:val="bottom"/>
          </w:tcPr>
          <w:p>
            <w:pPr>
              <w:jc w:val="center"/>
              <w:ind w:right="300"/>
              <w:spacing w:after="0" w:line="121" w:lineRule="exact"/>
              <w:rPr>
                <w:sz w:val="20"/>
                <w:szCs w:val="20"/>
                <w:color w:val="auto"/>
              </w:rPr>
            </w:pPr>
            <w:r>
              <w:rPr>
                <w:rFonts w:ascii="Arial" w:cs="Arial" w:eastAsia="Arial" w:hAnsi="Arial"/>
                <w:sz w:val="11"/>
                <w:szCs w:val="11"/>
                <w:color w:val="auto"/>
                <w:w w:val="99"/>
              </w:rPr>
              <w:t>derivatives(2)</w:t>
            </w:r>
          </w:p>
        </w:tc>
        <w:tc>
          <w:tcPr>
            <w:tcW w:w="360" w:type="dxa"/>
            <w:vAlign w:val="bottom"/>
          </w:tcPr>
          <w:p>
            <w:pPr>
              <w:spacing w:after="0"/>
              <w:rPr>
                <w:sz w:val="10"/>
                <w:szCs w:val="10"/>
                <w:color w:val="auto"/>
              </w:rPr>
            </w:pPr>
          </w:p>
        </w:tc>
        <w:tc>
          <w:tcPr>
            <w:tcW w:w="1140" w:type="dxa"/>
            <w:vAlign w:val="bottom"/>
            <w:gridSpan w:val="2"/>
          </w:tcPr>
          <w:p>
            <w:pPr>
              <w:jc w:val="center"/>
              <w:ind w:right="200"/>
              <w:spacing w:after="0" w:line="121" w:lineRule="exact"/>
              <w:rPr>
                <w:sz w:val="20"/>
                <w:szCs w:val="20"/>
                <w:color w:val="auto"/>
              </w:rPr>
            </w:pPr>
            <w:r>
              <w:rPr>
                <w:rFonts w:ascii="Arial" w:cs="Arial" w:eastAsia="Arial" w:hAnsi="Arial"/>
                <w:sz w:val="11"/>
                <w:szCs w:val="11"/>
                <w:color w:val="auto"/>
              </w:rPr>
              <w:t>derivatives</w:t>
            </w:r>
          </w:p>
        </w:tc>
      </w:tr>
      <w:tr>
        <w:trPr>
          <w:trHeight w:val="125"/>
        </w:trPr>
        <w:tc>
          <w:tcPr>
            <w:tcW w:w="522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2"/>
                <w:szCs w:val="12"/>
                <w:b w:val="1"/>
                <w:bCs w:val="1"/>
                <w:color w:val="auto"/>
              </w:rPr>
              <w:t>Sempra Energy Consolidated:</w:t>
            </w:r>
          </w:p>
        </w:tc>
        <w:tc>
          <w:tcPr>
            <w:tcW w:w="12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80" w:type="dxa"/>
            <w:vAlign w:val="bottom"/>
          </w:tcPr>
          <w:p>
            <w:pPr>
              <w:spacing w:after="0"/>
              <w:rPr>
                <w:sz w:val="20"/>
                <w:szCs w:val="20"/>
                <w:color w:val="auto"/>
              </w:rPr>
            </w:pPr>
            <w:r>
              <w:rPr>
                <w:rFonts w:ascii="Arial" w:cs="Arial" w:eastAsia="Arial" w:hAnsi="Arial"/>
                <w:sz w:val="12"/>
                <w:szCs w:val="12"/>
                <w:color w:val="auto"/>
              </w:rPr>
              <w:t>Interest rate instruments</w:t>
            </w:r>
          </w:p>
        </w:tc>
        <w:tc>
          <w:tcPr>
            <w:tcW w:w="1280" w:type="dxa"/>
            <w:vAlign w:val="bottom"/>
          </w:tcPr>
          <w:p>
            <w:pPr>
              <w:jc w:val="right"/>
              <w:ind w:right="961"/>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58"/>
              <w:spacing w:after="0"/>
              <w:rPr>
                <w:sz w:val="20"/>
                <w:szCs w:val="20"/>
                <w:color w:val="auto"/>
              </w:rPr>
            </w:pPr>
            <w:r>
              <w:rPr>
                <w:rFonts w:ascii="Arial" w:cs="Arial" w:eastAsia="Arial" w:hAnsi="Arial"/>
                <w:sz w:val="12"/>
                <w:szCs w:val="12"/>
                <w:color w:val="auto"/>
              </w:rPr>
              <w:t>3</w:t>
            </w:r>
          </w:p>
        </w:tc>
        <w:tc>
          <w:tcPr>
            <w:tcW w:w="34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25"/>
        </w:trPr>
        <w:tc>
          <w:tcPr>
            <w:tcW w:w="20" w:type="dxa"/>
            <w:vAlign w:val="bottom"/>
          </w:tcPr>
          <w:p>
            <w:pPr>
              <w:spacing w:after="0"/>
              <w:rPr>
                <w:sz w:val="10"/>
                <w:szCs w:val="10"/>
                <w:color w:val="auto"/>
              </w:rPr>
            </w:pPr>
          </w:p>
        </w:tc>
        <w:tc>
          <w:tcPr>
            <w:tcW w:w="520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2"/>
                <w:szCs w:val="12"/>
                <w:b w:val="1"/>
                <w:bCs w:val="1"/>
                <w:color w:val="auto"/>
              </w:rPr>
              <w:t>SoCalGas:</w:t>
            </w:r>
          </w:p>
        </w:tc>
        <w:tc>
          <w:tcPr>
            <w:tcW w:w="12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44"/>
        </w:trPr>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Interest rate instrument</w:t>
            </w:r>
          </w:p>
        </w:tc>
        <w:tc>
          <w:tcPr>
            <w:tcW w:w="1280" w:type="dxa"/>
            <w:vAlign w:val="bottom"/>
            <w:tcBorders>
              <w:bottom w:val="single" w:sz="8" w:color="auto"/>
            </w:tcBorders>
          </w:tcPr>
          <w:p>
            <w:pPr>
              <w:jc w:val="right"/>
              <w:ind w:right="961"/>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3</w:t>
            </w:r>
          </w:p>
        </w:tc>
        <w:tc>
          <w:tcPr>
            <w:tcW w:w="3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280"/>
        </w:trPr>
        <w:tc>
          <w:tcPr>
            <w:tcW w:w="5220" w:type="dxa"/>
            <w:vAlign w:val="bottom"/>
            <w:tcBorders>
              <w:bottom w:val="single" w:sz="8" w:color="auto"/>
            </w:tcBorders>
            <w:gridSpan w:val="3"/>
          </w:tcPr>
          <w:p>
            <w:pPr>
              <w:spacing w:after="0"/>
              <w:rPr>
                <w:sz w:val="20"/>
                <w:szCs w:val="20"/>
                <w:color w:val="auto"/>
              </w:rPr>
            </w:pPr>
            <w:r>
              <w:rPr>
                <w:rFonts w:ascii="Arial" w:cs="Arial" w:eastAsia="Arial" w:hAnsi="Arial"/>
                <w:sz w:val="11"/>
                <w:szCs w:val="11"/>
                <w:color w:val="auto"/>
              </w:rPr>
              <w:t>Derivatives not designated as hedging instruments</w:t>
            </w:r>
          </w:p>
        </w:tc>
        <w:tc>
          <w:tcPr>
            <w:tcW w:w="1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5"/>
        </w:trPr>
        <w:tc>
          <w:tcPr>
            <w:tcW w:w="52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Sempra Energy Consolidated:</w:t>
            </w:r>
          </w:p>
        </w:tc>
        <w:tc>
          <w:tcPr>
            <w:tcW w:w="1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80" w:type="dxa"/>
            <w:vAlign w:val="bottom"/>
          </w:tcPr>
          <w:p>
            <w:pPr>
              <w:spacing w:after="0" w:line="134" w:lineRule="exact"/>
              <w:rPr>
                <w:sz w:val="20"/>
                <w:szCs w:val="20"/>
                <w:color w:val="auto"/>
              </w:rPr>
            </w:pPr>
            <w:r>
              <w:rPr>
                <w:rFonts w:ascii="Arial" w:cs="Arial" w:eastAsia="Arial" w:hAnsi="Arial"/>
                <w:sz w:val="12"/>
                <w:szCs w:val="12"/>
                <w:color w:val="auto"/>
              </w:rPr>
              <w:t>Interest rate instruments(3)</w:t>
            </w:r>
          </w:p>
        </w:tc>
        <w:tc>
          <w:tcPr>
            <w:tcW w:w="1280" w:type="dxa"/>
            <w:vAlign w:val="bottom"/>
          </w:tcPr>
          <w:p>
            <w:pPr>
              <w:jc w:val="right"/>
              <w:ind w:right="961"/>
              <w:spacing w:after="0" w:line="134" w:lineRule="exact"/>
              <w:rPr>
                <w:sz w:val="20"/>
                <w:szCs w:val="20"/>
                <w:color w:val="auto"/>
              </w:rPr>
            </w:pPr>
            <w:r>
              <w:rPr>
                <w:rFonts w:ascii="Arial" w:cs="Arial" w:eastAsia="Arial" w:hAnsi="Arial"/>
                <w:sz w:val="12"/>
                <w:szCs w:val="12"/>
                <w:color w:val="auto"/>
              </w:rPr>
              <w:t>$</w:t>
            </w:r>
          </w:p>
        </w:tc>
        <w:tc>
          <w:tcPr>
            <w:tcW w:w="3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9</w:t>
            </w:r>
          </w:p>
        </w:tc>
        <w:tc>
          <w:tcPr>
            <w:tcW w:w="340" w:type="dxa"/>
            <w:vAlign w:val="bottom"/>
          </w:tcPr>
          <w:p>
            <w:pPr>
              <w:jc w:val="right"/>
              <w:ind w:right="98"/>
              <w:spacing w:after="0" w:line="134"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60"/>
              <w:spacing w:after="0" w:line="134" w:lineRule="exact"/>
              <w:rPr>
                <w:sz w:val="20"/>
                <w:szCs w:val="20"/>
                <w:color w:val="auto"/>
              </w:rPr>
            </w:pPr>
            <w:r>
              <w:rPr>
                <w:rFonts w:ascii="Arial" w:cs="Arial" w:eastAsia="Arial" w:hAnsi="Arial"/>
                <w:sz w:val="12"/>
                <w:szCs w:val="12"/>
                <w:color w:val="auto"/>
              </w:rPr>
              <w:t>22</w:t>
            </w:r>
          </w:p>
        </w:tc>
        <w:tc>
          <w:tcPr>
            <w:tcW w:w="46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20"/>
              <w:spacing w:after="0" w:line="134" w:lineRule="exact"/>
              <w:rPr>
                <w:sz w:val="20"/>
                <w:szCs w:val="20"/>
                <w:color w:val="auto"/>
              </w:rPr>
            </w:pPr>
            <w:r>
              <w:rPr>
                <w:rFonts w:ascii="Arial" w:cs="Arial" w:eastAsia="Arial" w:hAnsi="Arial"/>
                <w:sz w:val="12"/>
                <w:szCs w:val="12"/>
                <w:color w:val="auto"/>
              </w:rPr>
              <w:t>(25)</w:t>
            </w:r>
          </w:p>
        </w:tc>
        <w:tc>
          <w:tcPr>
            <w:tcW w:w="36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(57)</w:t>
            </w: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80" w:type="dxa"/>
            <w:vAlign w:val="bottom"/>
          </w:tcPr>
          <w:p>
            <w:pPr>
              <w:spacing w:after="0" w:line="134" w:lineRule="exact"/>
              <w:rPr>
                <w:sz w:val="20"/>
                <w:szCs w:val="20"/>
                <w:color w:val="auto"/>
              </w:rPr>
            </w:pPr>
            <w:r>
              <w:rPr>
                <w:rFonts w:ascii="Arial" w:cs="Arial" w:eastAsia="Arial" w:hAnsi="Arial"/>
                <w:sz w:val="12"/>
                <w:szCs w:val="12"/>
                <w:color w:val="auto"/>
              </w:rPr>
              <w:t>Commodity contracts not subject to rate recovery</w:t>
            </w:r>
          </w:p>
        </w:tc>
        <w:tc>
          <w:tcPr>
            <w:tcW w:w="1280" w:type="dxa"/>
            <w:vAlign w:val="bottom"/>
          </w:tcPr>
          <w:p>
            <w:pPr>
              <w:spacing w:after="0"/>
              <w:rPr>
                <w:sz w:val="11"/>
                <w:szCs w:val="11"/>
                <w:color w:val="auto"/>
              </w:rPr>
            </w:pPr>
          </w:p>
        </w:tc>
        <w:tc>
          <w:tcPr>
            <w:tcW w:w="3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59</w:t>
            </w:r>
          </w:p>
        </w:tc>
        <w:tc>
          <w:tcPr>
            <w:tcW w:w="340" w:type="dxa"/>
            <w:vAlign w:val="bottom"/>
          </w:tcPr>
          <w:p>
            <w:pPr>
              <w:spacing w:after="0"/>
              <w:rPr>
                <w:sz w:val="11"/>
                <w:szCs w:val="11"/>
                <w:color w:val="auto"/>
              </w:rPr>
            </w:pPr>
          </w:p>
        </w:tc>
        <w:tc>
          <w:tcPr>
            <w:tcW w:w="1220" w:type="dxa"/>
            <w:vAlign w:val="bottom"/>
          </w:tcPr>
          <w:p>
            <w:pPr>
              <w:jc w:val="right"/>
              <w:ind w:right="60"/>
              <w:spacing w:after="0" w:line="134" w:lineRule="exact"/>
              <w:rPr>
                <w:sz w:val="20"/>
                <w:szCs w:val="20"/>
                <w:color w:val="auto"/>
              </w:rPr>
            </w:pPr>
            <w:r>
              <w:rPr>
                <w:rFonts w:ascii="Arial" w:cs="Arial" w:eastAsia="Arial" w:hAnsi="Arial"/>
                <w:sz w:val="12"/>
                <w:szCs w:val="12"/>
                <w:color w:val="auto"/>
              </w:rPr>
              <w:t>20</w:t>
            </w:r>
          </w:p>
        </w:tc>
        <w:tc>
          <w:tcPr>
            <w:tcW w:w="460" w:type="dxa"/>
            <w:vAlign w:val="bottom"/>
          </w:tcPr>
          <w:p>
            <w:pPr>
              <w:spacing w:after="0"/>
              <w:rPr>
                <w:sz w:val="11"/>
                <w:szCs w:val="11"/>
                <w:color w:val="auto"/>
              </w:rPr>
            </w:pPr>
          </w:p>
        </w:tc>
        <w:tc>
          <w:tcPr>
            <w:tcW w:w="1100" w:type="dxa"/>
            <w:vAlign w:val="bottom"/>
          </w:tcPr>
          <w:p>
            <w:pPr>
              <w:jc w:val="right"/>
              <w:ind w:right="20"/>
              <w:spacing w:after="0" w:line="134" w:lineRule="exact"/>
              <w:rPr>
                <w:sz w:val="20"/>
                <w:szCs w:val="20"/>
                <w:color w:val="auto"/>
              </w:rPr>
            </w:pPr>
            <w:r>
              <w:rPr>
                <w:rFonts w:ascii="Arial" w:cs="Arial" w:eastAsia="Arial" w:hAnsi="Arial"/>
                <w:sz w:val="12"/>
                <w:szCs w:val="12"/>
                <w:color w:val="auto"/>
              </w:rPr>
              <w:t>(44)</w:t>
            </w:r>
          </w:p>
        </w:tc>
        <w:tc>
          <w:tcPr>
            <w:tcW w:w="360" w:type="dxa"/>
            <w:vAlign w:val="bottom"/>
          </w:tcPr>
          <w:p>
            <w:pPr>
              <w:spacing w:after="0"/>
              <w:rPr>
                <w:sz w:val="11"/>
                <w:szCs w:val="11"/>
                <w:color w:val="auto"/>
              </w:rPr>
            </w:pPr>
          </w:p>
        </w:tc>
        <w:tc>
          <w:tcPr>
            <w:tcW w:w="11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(34)</w:t>
            </w: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80" w:type="dxa"/>
            <w:vAlign w:val="bottom"/>
          </w:tcPr>
          <w:p>
            <w:pPr>
              <w:ind w:left="140"/>
              <w:spacing w:after="0" w:line="134" w:lineRule="exact"/>
              <w:rPr>
                <w:sz w:val="20"/>
                <w:szCs w:val="20"/>
                <w:color w:val="auto"/>
              </w:rPr>
            </w:pPr>
            <w:r>
              <w:rPr>
                <w:rFonts w:ascii="Arial" w:cs="Arial" w:eastAsia="Arial" w:hAnsi="Arial"/>
                <w:sz w:val="12"/>
                <w:szCs w:val="12"/>
                <w:color w:val="auto"/>
              </w:rPr>
              <w:t>Associated offsetting commodity contracts</w:t>
            </w:r>
          </w:p>
        </w:tc>
        <w:tc>
          <w:tcPr>
            <w:tcW w:w="1280" w:type="dxa"/>
            <w:vAlign w:val="bottom"/>
          </w:tcPr>
          <w:p>
            <w:pPr>
              <w:spacing w:after="0"/>
              <w:rPr>
                <w:sz w:val="11"/>
                <w:szCs w:val="11"/>
                <w:color w:val="auto"/>
              </w:rPr>
            </w:pPr>
          </w:p>
        </w:tc>
        <w:tc>
          <w:tcPr>
            <w:tcW w:w="360" w:type="dxa"/>
            <w:vAlign w:val="bottom"/>
          </w:tcPr>
          <w:p>
            <w:pPr>
              <w:jc w:val="right"/>
              <w:ind w:right="18"/>
              <w:spacing w:after="0" w:line="134" w:lineRule="exact"/>
              <w:rPr>
                <w:sz w:val="20"/>
                <w:szCs w:val="20"/>
                <w:color w:val="auto"/>
              </w:rPr>
            </w:pPr>
            <w:r>
              <w:rPr>
                <w:rFonts w:ascii="Arial" w:cs="Arial" w:eastAsia="Arial" w:hAnsi="Arial"/>
                <w:sz w:val="12"/>
                <w:szCs w:val="12"/>
                <w:color w:val="auto"/>
              </w:rPr>
              <w:t>(2)</w:t>
            </w:r>
          </w:p>
        </w:tc>
        <w:tc>
          <w:tcPr>
            <w:tcW w:w="340" w:type="dxa"/>
            <w:vAlign w:val="bottom"/>
          </w:tcPr>
          <w:p>
            <w:pPr>
              <w:spacing w:after="0"/>
              <w:rPr>
                <w:sz w:val="11"/>
                <w:szCs w:val="11"/>
                <w:color w:val="auto"/>
              </w:rPr>
            </w:pPr>
          </w:p>
        </w:tc>
        <w:tc>
          <w:tcPr>
            <w:tcW w:w="1220" w:type="dxa"/>
            <w:vAlign w:val="bottom"/>
          </w:tcPr>
          <w:p>
            <w:pPr>
              <w:jc w:val="right"/>
              <w:ind w:right="20"/>
              <w:spacing w:after="0" w:line="134" w:lineRule="exact"/>
              <w:rPr>
                <w:sz w:val="20"/>
                <w:szCs w:val="20"/>
                <w:color w:val="auto"/>
              </w:rPr>
            </w:pPr>
            <w:r>
              <w:rPr>
                <w:rFonts w:ascii="Arial" w:cs="Arial" w:eastAsia="Arial" w:hAnsi="Arial"/>
                <w:sz w:val="12"/>
                <w:szCs w:val="12"/>
                <w:color w:val="auto"/>
              </w:rPr>
              <w:t>(8)</w:t>
            </w:r>
          </w:p>
        </w:tc>
        <w:tc>
          <w:tcPr>
            <w:tcW w:w="460" w:type="dxa"/>
            <w:vAlign w:val="bottom"/>
          </w:tcPr>
          <w:p>
            <w:pPr>
              <w:spacing w:after="0"/>
              <w:rPr>
                <w:sz w:val="11"/>
                <w:szCs w:val="11"/>
                <w:color w:val="auto"/>
              </w:rPr>
            </w:pPr>
          </w:p>
        </w:tc>
        <w:tc>
          <w:tcPr>
            <w:tcW w:w="1100" w:type="dxa"/>
            <w:vAlign w:val="bottom"/>
          </w:tcPr>
          <w:p>
            <w:pPr>
              <w:jc w:val="right"/>
              <w:ind w:right="60"/>
              <w:spacing w:after="0" w:line="134" w:lineRule="exact"/>
              <w:rPr>
                <w:sz w:val="20"/>
                <w:szCs w:val="20"/>
                <w:color w:val="auto"/>
              </w:rPr>
            </w:pPr>
            <w:r>
              <w:rPr>
                <w:rFonts w:ascii="Arial" w:cs="Arial" w:eastAsia="Arial" w:hAnsi="Arial"/>
                <w:sz w:val="12"/>
                <w:szCs w:val="12"/>
                <w:color w:val="auto"/>
              </w:rPr>
              <w:t>2</w:t>
            </w:r>
          </w:p>
        </w:tc>
        <w:tc>
          <w:tcPr>
            <w:tcW w:w="36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Arial" w:cs="Arial" w:eastAsia="Arial" w:hAnsi="Arial"/>
                <w:sz w:val="12"/>
                <w:szCs w:val="12"/>
                <w:color w:val="auto"/>
              </w:rPr>
              <w:t>8</w:t>
            </w:r>
          </w:p>
        </w:tc>
        <w:tc>
          <w:tcPr>
            <w:tcW w:w="2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80" w:type="dxa"/>
            <w:vAlign w:val="bottom"/>
          </w:tcPr>
          <w:p>
            <w:pPr>
              <w:spacing w:after="0" w:line="134" w:lineRule="exact"/>
              <w:rPr>
                <w:sz w:val="20"/>
                <w:szCs w:val="20"/>
                <w:color w:val="auto"/>
              </w:rPr>
            </w:pPr>
            <w:r>
              <w:rPr>
                <w:rFonts w:ascii="Arial" w:cs="Arial" w:eastAsia="Arial" w:hAnsi="Arial"/>
                <w:sz w:val="12"/>
                <w:szCs w:val="12"/>
                <w:color w:val="auto"/>
              </w:rPr>
              <w:t>Commodity contracts subject to rate recovery</w:t>
            </w:r>
          </w:p>
        </w:tc>
        <w:tc>
          <w:tcPr>
            <w:tcW w:w="1280" w:type="dxa"/>
            <w:vAlign w:val="bottom"/>
          </w:tcPr>
          <w:p>
            <w:pPr>
              <w:spacing w:after="0"/>
              <w:rPr>
                <w:sz w:val="11"/>
                <w:szCs w:val="11"/>
                <w:color w:val="auto"/>
              </w:rPr>
            </w:pPr>
          </w:p>
        </w:tc>
        <w:tc>
          <w:tcPr>
            <w:tcW w:w="3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5</w:t>
            </w:r>
          </w:p>
        </w:tc>
        <w:tc>
          <w:tcPr>
            <w:tcW w:w="340" w:type="dxa"/>
            <w:vAlign w:val="bottom"/>
          </w:tcPr>
          <w:p>
            <w:pPr>
              <w:spacing w:after="0"/>
              <w:rPr>
                <w:sz w:val="11"/>
                <w:szCs w:val="11"/>
                <w:color w:val="auto"/>
              </w:rPr>
            </w:pPr>
          </w:p>
        </w:tc>
        <w:tc>
          <w:tcPr>
            <w:tcW w:w="1220" w:type="dxa"/>
            <w:vAlign w:val="bottom"/>
          </w:tcPr>
          <w:p>
            <w:pPr>
              <w:jc w:val="right"/>
              <w:ind w:right="60"/>
              <w:spacing w:after="0" w:line="134"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1100" w:type="dxa"/>
            <w:vAlign w:val="bottom"/>
          </w:tcPr>
          <w:p>
            <w:pPr>
              <w:jc w:val="right"/>
              <w:ind w:right="20"/>
              <w:spacing w:after="0" w:line="134" w:lineRule="exact"/>
              <w:rPr>
                <w:sz w:val="20"/>
                <w:szCs w:val="20"/>
                <w:color w:val="auto"/>
              </w:rPr>
            </w:pPr>
            <w:r>
              <w:rPr>
                <w:rFonts w:ascii="Arial" w:cs="Arial" w:eastAsia="Arial" w:hAnsi="Arial"/>
                <w:sz w:val="12"/>
                <w:szCs w:val="12"/>
                <w:color w:val="auto"/>
              </w:rPr>
              <w:t>(43)</w:t>
            </w:r>
          </w:p>
        </w:tc>
        <w:tc>
          <w:tcPr>
            <w:tcW w:w="360" w:type="dxa"/>
            <w:vAlign w:val="bottom"/>
          </w:tcPr>
          <w:p>
            <w:pPr>
              <w:spacing w:after="0"/>
              <w:rPr>
                <w:sz w:val="11"/>
                <w:szCs w:val="11"/>
                <w:color w:val="auto"/>
              </w:rPr>
            </w:pPr>
          </w:p>
        </w:tc>
        <w:tc>
          <w:tcPr>
            <w:tcW w:w="11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(27)</w:t>
            </w: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80" w:type="dxa"/>
            <w:vAlign w:val="bottom"/>
          </w:tcPr>
          <w:p>
            <w:pPr>
              <w:ind w:left="140"/>
              <w:spacing w:after="0"/>
              <w:rPr>
                <w:sz w:val="20"/>
                <w:szCs w:val="20"/>
                <w:color w:val="auto"/>
              </w:rPr>
            </w:pPr>
            <w:r>
              <w:rPr>
                <w:rFonts w:ascii="Arial" w:cs="Arial" w:eastAsia="Arial" w:hAnsi="Arial"/>
                <w:sz w:val="12"/>
                <w:szCs w:val="12"/>
                <w:color w:val="auto"/>
              </w:rPr>
              <w:t>Associated offsetting commodity contracts</w:t>
            </w:r>
          </w:p>
        </w:tc>
        <w:tc>
          <w:tcPr>
            <w:tcW w:w="12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(37)</w:t>
            </w: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(26)</w:t>
            </w: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37</w:t>
            </w: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c>
          <w:tcPr>
            <w:tcW w:w="2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80" w:type="dxa"/>
            <w:vAlign w:val="bottom"/>
            <w:tcBorders>
              <w:bottom w:val="single" w:sz="8" w:color="auto"/>
            </w:tcBorders>
          </w:tcPr>
          <w:p>
            <w:pPr>
              <w:spacing w:after="0" w:line="134" w:lineRule="exact"/>
              <w:rPr>
                <w:sz w:val="20"/>
                <w:szCs w:val="20"/>
                <w:color w:val="auto"/>
              </w:rPr>
            </w:pPr>
            <w:r>
              <w:rPr>
                <w:rFonts w:ascii="Arial" w:cs="Arial" w:eastAsia="Arial" w:hAnsi="Arial"/>
                <w:sz w:val="12"/>
                <w:szCs w:val="12"/>
                <w:color w:val="auto"/>
              </w:rPr>
              <w:t>Total</w:t>
            </w:r>
          </w:p>
        </w:tc>
        <w:tc>
          <w:tcPr>
            <w:tcW w:w="1280" w:type="dxa"/>
            <w:vAlign w:val="bottom"/>
            <w:tcBorders>
              <w:bottom w:val="single" w:sz="8" w:color="auto"/>
            </w:tcBorders>
          </w:tcPr>
          <w:p>
            <w:pPr>
              <w:jc w:val="right"/>
              <w:ind w:right="961"/>
              <w:spacing w:after="0" w:line="134" w:lineRule="exact"/>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jc w:val="right"/>
              <w:ind w:right="58"/>
              <w:spacing w:after="0" w:line="134" w:lineRule="exact"/>
              <w:rPr>
                <w:sz w:val="20"/>
                <w:szCs w:val="20"/>
                <w:color w:val="auto"/>
              </w:rPr>
            </w:pPr>
            <w:r>
              <w:rPr>
                <w:rFonts w:ascii="Arial" w:cs="Arial" w:eastAsia="Arial" w:hAnsi="Arial"/>
                <w:sz w:val="12"/>
                <w:szCs w:val="12"/>
                <w:color w:val="auto"/>
              </w:rPr>
              <w:t>34</w:t>
            </w:r>
          </w:p>
        </w:tc>
        <w:tc>
          <w:tcPr>
            <w:tcW w:w="340" w:type="dxa"/>
            <w:vAlign w:val="bottom"/>
            <w:tcBorders>
              <w:bottom w:val="single" w:sz="8" w:color="auto"/>
            </w:tcBorders>
          </w:tcPr>
          <w:p>
            <w:pPr>
              <w:jc w:val="right"/>
              <w:ind w:right="98"/>
              <w:spacing w:after="0" w:line="134" w:lineRule="exact"/>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jc w:val="right"/>
              <w:ind w:right="60"/>
              <w:spacing w:after="0" w:line="134" w:lineRule="exact"/>
              <w:rPr>
                <w:sz w:val="20"/>
                <w:szCs w:val="20"/>
                <w:color w:val="auto"/>
              </w:rPr>
            </w:pPr>
            <w:r>
              <w:rPr>
                <w:rFonts w:ascii="Arial" w:cs="Arial" w:eastAsia="Arial" w:hAnsi="Arial"/>
                <w:sz w:val="12"/>
                <w:szCs w:val="12"/>
                <w:color w:val="auto"/>
              </w:rPr>
              <w:t>8</w:t>
            </w:r>
          </w:p>
        </w:tc>
        <w:tc>
          <w:tcPr>
            <w:tcW w:w="460" w:type="dxa"/>
            <w:vAlign w:val="bottom"/>
            <w:tcBorders>
              <w:bottom w:val="single" w:sz="8" w:color="auto"/>
            </w:tcBorders>
          </w:tcPr>
          <w:p>
            <w:pPr>
              <w:jc w:val="right"/>
              <w:ind w:right="218"/>
              <w:spacing w:after="0" w:line="134" w:lineRule="exact"/>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ind w:right="20"/>
              <w:spacing w:after="0" w:line="134" w:lineRule="exact"/>
              <w:rPr>
                <w:sz w:val="20"/>
                <w:szCs w:val="20"/>
                <w:color w:val="auto"/>
              </w:rPr>
            </w:pPr>
            <w:r>
              <w:rPr>
                <w:rFonts w:ascii="Arial" w:cs="Arial" w:eastAsia="Arial" w:hAnsi="Arial"/>
                <w:sz w:val="12"/>
                <w:szCs w:val="12"/>
                <w:color w:val="auto"/>
              </w:rPr>
              <w:t>(73)</w:t>
            </w:r>
          </w:p>
        </w:tc>
        <w:tc>
          <w:tcPr>
            <w:tcW w:w="360" w:type="dxa"/>
            <w:vAlign w:val="bottom"/>
            <w:tcBorders>
              <w:bottom w:val="single" w:sz="8" w:color="auto"/>
            </w:tcBorders>
          </w:tcPr>
          <w:p>
            <w:pPr>
              <w:jc w:val="right"/>
              <w:ind w:right="118"/>
              <w:spacing w:after="0" w:line="134" w:lineRule="exact"/>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(84)</w:t>
            </w:r>
          </w:p>
        </w:tc>
        <w:tc>
          <w:tcPr>
            <w:tcW w:w="20" w:type="dxa"/>
            <w:vAlign w:val="bottom"/>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52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SDG&amp;E:</w:t>
            </w:r>
          </w:p>
        </w:tc>
        <w:tc>
          <w:tcPr>
            <w:tcW w:w="1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80" w:type="dxa"/>
            <w:vAlign w:val="bottom"/>
          </w:tcPr>
          <w:p>
            <w:pPr>
              <w:spacing w:after="0" w:line="134" w:lineRule="exact"/>
              <w:rPr>
                <w:sz w:val="20"/>
                <w:szCs w:val="20"/>
                <w:color w:val="auto"/>
              </w:rPr>
            </w:pPr>
            <w:r>
              <w:rPr>
                <w:rFonts w:ascii="Arial" w:cs="Arial" w:eastAsia="Arial" w:hAnsi="Arial"/>
                <w:sz w:val="12"/>
                <w:szCs w:val="12"/>
                <w:color w:val="auto"/>
              </w:rPr>
              <w:t>Interest rate instruments(3)</w:t>
            </w:r>
          </w:p>
        </w:tc>
        <w:tc>
          <w:tcPr>
            <w:tcW w:w="1280" w:type="dxa"/>
            <w:vAlign w:val="bottom"/>
          </w:tcPr>
          <w:p>
            <w:pPr>
              <w:jc w:val="right"/>
              <w:ind w:right="961"/>
              <w:spacing w:after="0" w:line="134" w:lineRule="exact"/>
              <w:rPr>
                <w:sz w:val="20"/>
                <w:szCs w:val="20"/>
                <w:color w:val="auto"/>
              </w:rPr>
            </w:pPr>
            <w:r>
              <w:rPr>
                <w:rFonts w:ascii="Arial" w:cs="Arial" w:eastAsia="Arial" w:hAnsi="Arial"/>
                <w:sz w:val="12"/>
                <w:szCs w:val="12"/>
                <w:color w:val="auto"/>
              </w:rPr>
              <w:t>$</w:t>
            </w:r>
          </w:p>
        </w:tc>
        <w:tc>
          <w:tcPr>
            <w:tcW w:w="3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w:t>
            </w:r>
          </w:p>
        </w:tc>
        <w:tc>
          <w:tcPr>
            <w:tcW w:w="340" w:type="dxa"/>
            <w:vAlign w:val="bottom"/>
          </w:tcPr>
          <w:p>
            <w:pPr>
              <w:jc w:val="right"/>
              <w:ind w:right="98"/>
              <w:spacing w:after="0" w:line="134"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60"/>
              <w:spacing w:after="0" w:line="134" w:lineRule="exact"/>
              <w:rPr>
                <w:sz w:val="20"/>
                <w:szCs w:val="20"/>
                <w:color w:val="auto"/>
              </w:rPr>
            </w:pPr>
            <w:r>
              <w:rPr>
                <w:rFonts w:ascii="Arial" w:cs="Arial" w:eastAsia="Arial" w:hAnsi="Arial"/>
                <w:sz w:val="12"/>
                <w:szCs w:val="12"/>
                <w:color w:val="auto"/>
              </w:rPr>
              <w:t>―</w:t>
            </w:r>
          </w:p>
        </w:tc>
        <w:tc>
          <w:tcPr>
            <w:tcW w:w="46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20"/>
              <w:spacing w:after="0" w:line="134" w:lineRule="exact"/>
              <w:rPr>
                <w:sz w:val="20"/>
                <w:szCs w:val="20"/>
                <w:color w:val="auto"/>
              </w:rPr>
            </w:pPr>
            <w:r>
              <w:rPr>
                <w:rFonts w:ascii="Arial" w:cs="Arial" w:eastAsia="Arial" w:hAnsi="Arial"/>
                <w:sz w:val="12"/>
                <w:szCs w:val="12"/>
                <w:color w:val="auto"/>
              </w:rPr>
              <w:t>(17)</w:t>
            </w:r>
          </w:p>
        </w:tc>
        <w:tc>
          <w:tcPr>
            <w:tcW w:w="36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(41)</w:t>
            </w: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80" w:type="dxa"/>
            <w:vAlign w:val="bottom"/>
          </w:tcPr>
          <w:p>
            <w:pPr>
              <w:spacing w:after="0" w:line="134" w:lineRule="exact"/>
              <w:rPr>
                <w:sz w:val="20"/>
                <w:szCs w:val="20"/>
                <w:color w:val="auto"/>
              </w:rPr>
            </w:pPr>
            <w:r>
              <w:rPr>
                <w:rFonts w:ascii="Arial" w:cs="Arial" w:eastAsia="Arial" w:hAnsi="Arial"/>
                <w:sz w:val="12"/>
                <w:szCs w:val="12"/>
                <w:color w:val="auto"/>
              </w:rPr>
              <w:t>Commodity contracts not subject to rate recovery</w:t>
            </w:r>
          </w:p>
        </w:tc>
        <w:tc>
          <w:tcPr>
            <w:tcW w:w="1280" w:type="dxa"/>
            <w:vAlign w:val="bottom"/>
          </w:tcPr>
          <w:p>
            <w:pPr>
              <w:spacing w:after="0"/>
              <w:rPr>
                <w:sz w:val="11"/>
                <w:szCs w:val="11"/>
                <w:color w:val="auto"/>
              </w:rPr>
            </w:pPr>
          </w:p>
        </w:tc>
        <w:tc>
          <w:tcPr>
            <w:tcW w:w="3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w:t>
            </w:r>
          </w:p>
        </w:tc>
        <w:tc>
          <w:tcPr>
            <w:tcW w:w="340" w:type="dxa"/>
            <w:vAlign w:val="bottom"/>
          </w:tcPr>
          <w:p>
            <w:pPr>
              <w:spacing w:after="0"/>
              <w:rPr>
                <w:sz w:val="11"/>
                <w:szCs w:val="11"/>
                <w:color w:val="auto"/>
              </w:rPr>
            </w:pPr>
          </w:p>
        </w:tc>
        <w:tc>
          <w:tcPr>
            <w:tcW w:w="1220" w:type="dxa"/>
            <w:vAlign w:val="bottom"/>
          </w:tcPr>
          <w:p>
            <w:pPr>
              <w:jc w:val="right"/>
              <w:ind w:right="60"/>
              <w:spacing w:after="0" w:line="134"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1100" w:type="dxa"/>
            <w:vAlign w:val="bottom"/>
          </w:tcPr>
          <w:p>
            <w:pPr>
              <w:jc w:val="right"/>
              <w:ind w:right="60"/>
              <w:spacing w:after="0" w:line="134" w:lineRule="exact"/>
              <w:rPr>
                <w:sz w:val="20"/>
                <w:szCs w:val="20"/>
                <w:color w:val="auto"/>
              </w:rPr>
            </w:pPr>
            <w:r>
              <w:rPr>
                <w:rFonts w:ascii="Arial" w:cs="Arial" w:eastAsia="Arial" w:hAnsi="Arial"/>
                <w:sz w:val="12"/>
                <w:szCs w:val="12"/>
                <w:color w:val="auto"/>
              </w:rPr>
              <w:t>―</w:t>
            </w:r>
          </w:p>
        </w:tc>
        <w:tc>
          <w:tcPr>
            <w:tcW w:w="360" w:type="dxa"/>
            <w:vAlign w:val="bottom"/>
          </w:tcPr>
          <w:p>
            <w:pPr>
              <w:spacing w:after="0"/>
              <w:rPr>
                <w:sz w:val="11"/>
                <w:szCs w:val="11"/>
                <w:color w:val="auto"/>
              </w:rPr>
            </w:pPr>
          </w:p>
        </w:tc>
        <w:tc>
          <w:tcPr>
            <w:tcW w:w="114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w:t>
            </w: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80" w:type="dxa"/>
            <w:vAlign w:val="bottom"/>
          </w:tcPr>
          <w:p>
            <w:pPr>
              <w:spacing w:after="0" w:line="134" w:lineRule="exact"/>
              <w:rPr>
                <w:sz w:val="20"/>
                <w:szCs w:val="20"/>
                <w:color w:val="auto"/>
              </w:rPr>
            </w:pPr>
            <w:r>
              <w:rPr>
                <w:rFonts w:ascii="Arial" w:cs="Arial" w:eastAsia="Arial" w:hAnsi="Arial"/>
                <w:sz w:val="12"/>
                <w:szCs w:val="12"/>
                <w:color w:val="auto"/>
              </w:rPr>
              <w:t>Commodity contracts subject to rate recovery</w:t>
            </w:r>
          </w:p>
        </w:tc>
        <w:tc>
          <w:tcPr>
            <w:tcW w:w="1280" w:type="dxa"/>
            <w:vAlign w:val="bottom"/>
          </w:tcPr>
          <w:p>
            <w:pPr>
              <w:spacing w:after="0"/>
              <w:rPr>
                <w:sz w:val="11"/>
                <w:szCs w:val="11"/>
                <w:color w:val="auto"/>
              </w:rPr>
            </w:pPr>
          </w:p>
        </w:tc>
        <w:tc>
          <w:tcPr>
            <w:tcW w:w="3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2</w:t>
            </w:r>
          </w:p>
        </w:tc>
        <w:tc>
          <w:tcPr>
            <w:tcW w:w="340" w:type="dxa"/>
            <w:vAlign w:val="bottom"/>
          </w:tcPr>
          <w:p>
            <w:pPr>
              <w:spacing w:after="0"/>
              <w:rPr>
                <w:sz w:val="11"/>
                <w:szCs w:val="11"/>
                <w:color w:val="auto"/>
              </w:rPr>
            </w:pPr>
          </w:p>
        </w:tc>
        <w:tc>
          <w:tcPr>
            <w:tcW w:w="1220" w:type="dxa"/>
            <w:vAlign w:val="bottom"/>
          </w:tcPr>
          <w:p>
            <w:pPr>
              <w:jc w:val="right"/>
              <w:ind w:right="60"/>
              <w:spacing w:after="0" w:line="134"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1100" w:type="dxa"/>
            <w:vAlign w:val="bottom"/>
          </w:tcPr>
          <w:p>
            <w:pPr>
              <w:jc w:val="right"/>
              <w:ind w:right="20"/>
              <w:spacing w:after="0" w:line="134" w:lineRule="exact"/>
              <w:rPr>
                <w:sz w:val="20"/>
                <w:szCs w:val="20"/>
                <w:color w:val="auto"/>
              </w:rPr>
            </w:pPr>
            <w:r>
              <w:rPr>
                <w:rFonts w:ascii="Arial" w:cs="Arial" w:eastAsia="Arial" w:hAnsi="Arial"/>
                <w:sz w:val="12"/>
                <w:szCs w:val="12"/>
                <w:color w:val="auto"/>
              </w:rPr>
              <w:t>(35)</w:t>
            </w:r>
          </w:p>
        </w:tc>
        <w:tc>
          <w:tcPr>
            <w:tcW w:w="360" w:type="dxa"/>
            <w:vAlign w:val="bottom"/>
          </w:tcPr>
          <w:p>
            <w:pPr>
              <w:spacing w:after="0"/>
              <w:rPr>
                <w:sz w:val="11"/>
                <w:szCs w:val="11"/>
                <w:color w:val="auto"/>
              </w:rPr>
            </w:pPr>
          </w:p>
        </w:tc>
        <w:tc>
          <w:tcPr>
            <w:tcW w:w="11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(27)</w:t>
            </w: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80" w:type="dxa"/>
            <w:vAlign w:val="bottom"/>
          </w:tcPr>
          <w:p>
            <w:pPr>
              <w:ind w:left="140"/>
              <w:spacing w:after="0"/>
              <w:rPr>
                <w:sz w:val="20"/>
                <w:szCs w:val="20"/>
                <w:color w:val="auto"/>
              </w:rPr>
            </w:pPr>
            <w:r>
              <w:rPr>
                <w:rFonts w:ascii="Arial" w:cs="Arial" w:eastAsia="Arial" w:hAnsi="Arial"/>
                <w:sz w:val="12"/>
                <w:szCs w:val="12"/>
                <w:color w:val="auto"/>
              </w:rPr>
              <w:t>Associated offsetting commodity contracts</w:t>
            </w:r>
          </w:p>
        </w:tc>
        <w:tc>
          <w:tcPr>
            <w:tcW w:w="12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(34)</w:t>
            </w: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(26)</w:t>
            </w: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34</w:t>
            </w: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c>
          <w:tcPr>
            <w:tcW w:w="2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80" w:type="dxa"/>
            <w:vAlign w:val="bottom"/>
            <w:tcBorders>
              <w:bottom w:val="single" w:sz="8" w:color="auto"/>
            </w:tcBorders>
          </w:tcPr>
          <w:p>
            <w:pPr>
              <w:spacing w:after="0" w:line="134" w:lineRule="exact"/>
              <w:rPr>
                <w:sz w:val="20"/>
                <w:szCs w:val="20"/>
                <w:color w:val="auto"/>
              </w:rPr>
            </w:pPr>
            <w:r>
              <w:rPr>
                <w:rFonts w:ascii="Arial" w:cs="Arial" w:eastAsia="Arial" w:hAnsi="Arial"/>
                <w:sz w:val="12"/>
                <w:szCs w:val="12"/>
                <w:color w:val="auto"/>
              </w:rPr>
              <w:t>Total</w:t>
            </w:r>
          </w:p>
        </w:tc>
        <w:tc>
          <w:tcPr>
            <w:tcW w:w="1280" w:type="dxa"/>
            <w:vAlign w:val="bottom"/>
            <w:tcBorders>
              <w:bottom w:val="single" w:sz="8" w:color="auto"/>
            </w:tcBorders>
          </w:tcPr>
          <w:p>
            <w:pPr>
              <w:jc w:val="right"/>
              <w:ind w:right="961"/>
              <w:spacing w:after="0" w:line="134" w:lineRule="exact"/>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jc w:val="right"/>
              <w:ind w:right="18"/>
              <w:spacing w:after="0" w:line="134" w:lineRule="exact"/>
              <w:rPr>
                <w:sz w:val="20"/>
                <w:szCs w:val="20"/>
                <w:color w:val="auto"/>
              </w:rPr>
            </w:pPr>
            <w:r>
              <w:rPr>
                <w:rFonts w:ascii="Arial" w:cs="Arial" w:eastAsia="Arial" w:hAnsi="Arial"/>
                <w:sz w:val="12"/>
                <w:szCs w:val="12"/>
                <w:color w:val="auto"/>
              </w:rPr>
              <w:t>(31)</w:t>
            </w:r>
          </w:p>
        </w:tc>
        <w:tc>
          <w:tcPr>
            <w:tcW w:w="340" w:type="dxa"/>
            <w:vAlign w:val="bottom"/>
            <w:tcBorders>
              <w:bottom w:val="single" w:sz="8" w:color="auto"/>
            </w:tcBorders>
          </w:tcPr>
          <w:p>
            <w:pPr>
              <w:jc w:val="right"/>
              <w:ind w:right="98"/>
              <w:spacing w:after="0" w:line="134" w:lineRule="exact"/>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jc w:val="right"/>
              <w:ind w:right="20"/>
              <w:spacing w:after="0" w:line="134" w:lineRule="exact"/>
              <w:rPr>
                <w:sz w:val="20"/>
                <w:szCs w:val="20"/>
                <w:color w:val="auto"/>
              </w:rPr>
            </w:pPr>
            <w:r>
              <w:rPr>
                <w:rFonts w:ascii="Arial" w:cs="Arial" w:eastAsia="Arial" w:hAnsi="Arial"/>
                <w:sz w:val="12"/>
                <w:szCs w:val="12"/>
                <w:color w:val="auto"/>
              </w:rPr>
              <w:t>(26)</w:t>
            </w:r>
          </w:p>
        </w:tc>
        <w:tc>
          <w:tcPr>
            <w:tcW w:w="460" w:type="dxa"/>
            <w:vAlign w:val="bottom"/>
            <w:tcBorders>
              <w:bottom w:val="single" w:sz="8" w:color="auto"/>
            </w:tcBorders>
          </w:tcPr>
          <w:p>
            <w:pPr>
              <w:jc w:val="right"/>
              <w:ind w:right="218"/>
              <w:spacing w:after="0" w:line="134" w:lineRule="exact"/>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ind w:right="20"/>
              <w:spacing w:after="0" w:line="134" w:lineRule="exact"/>
              <w:rPr>
                <w:sz w:val="20"/>
                <w:szCs w:val="20"/>
                <w:color w:val="auto"/>
              </w:rPr>
            </w:pPr>
            <w:r>
              <w:rPr>
                <w:rFonts w:ascii="Arial" w:cs="Arial" w:eastAsia="Arial" w:hAnsi="Arial"/>
                <w:sz w:val="12"/>
                <w:szCs w:val="12"/>
                <w:color w:val="auto"/>
              </w:rPr>
              <w:t>(18)</w:t>
            </w:r>
          </w:p>
        </w:tc>
        <w:tc>
          <w:tcPr>
            <w:tcW w:w="360" w:type="dxa"/>
            <w:vAlign w:val="bottom"/>
            <w:tcBorders>
              <w:bottom w:val="single" w:sz="8" w:color="auto"/>
            </w:tcBorders>
          </w:tcPr>
          <w:p>
            <w:pPr>
              <w:jc w:val="right"/>
              <w:ind w:right="118"/>
              <w:spacing w:after="0" w:line="134" w:lineRule="exact"/>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(42)</w:t>
            </w:r>
          </w:p>
        </w:tc>
        <w:tc>
          <w:tcPr>
            <w:tcW w:w="20" w:type="dxa"/>
            <w:vAlign w:val="bottom"/>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52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SoCalGas:</w:t>
            </w:r>
          </w:p>
        </w:tc>
        <w:tc>
          <w:tcPr>
            <w:tcW w:w="1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5"/>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Arial" w:cs="Arial" w:eastAsia="Arial" w:hAnsi="Arial"/>
                <w:sz w:val="12"/>
                <w:szCs w:val="12"/>
                <w:color w:val="auto"/>
              </w:rPr>
              <w:t>Commodity contracts not subject to rate recovery</w:t>
            </w:r>
          </w:p>
        </w:tc>
        <w:tc>
          <w:tcPr>
            <w:tcW w:w="1280" w:type="dxa"/>
            <w:vAlign w:val="bottom"/>
          </w:tcPr>
          <w:p>
            <w:pPr>
              <w:jc w:val="right"/>
              <w:ind w:right="961"/>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58"/>
              <w:spacing w:after="0"/>
              <w:rPr>
                <w:sz w:val="20"/>
                <w:szCs w:val="20"/>
                <w:color w:val="auto"/>
              </w:rPr>
            </w:pPr>
            <w:r>
              <w:rPr>
                <w:rFonts w:ascii="Arial" w:cs="Arial" w:eastAsia="Arial" w:hAnsi="Arial"/>
                <w:sz w:val="11"/>
                <w:szCs w:val="11"/>
                <w:color w:val="auto"/>
              </w:rPr>
              <w:t>1</w:t>
            </w:r>
          </w:p>
        </w:tc>
        <w:tc>
          <w:tcPr>
            <w:tcW w:w="34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60"/>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r>
      <w:tr>
        <w:trPr>
          <w:trHeight w:val="135"/>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80" w:type="dxa"/>
            <w:vAlign w:val="bottom"/>
          </w:tcPr>
          <w:p>
            <w:pPr>
              <w:spacing w:after="0" w:line="135" w:lineRule="exact"/>
              <w:rPr>
                <w:sz w:val="20"/>
                <w:szCs w:val="20"/>
                <w:color w:val="auto"/>
              </w:rPr>
            </w:pPr>
            <w:r>
              <w:rPr>
                <w:rFonts w:ascii="Arial" w:cs="Arial" w:eastAsia="Arial" w:hAnsi="Arial"/>
                <w:sz w:val="12"/>
                <w:szCs w:val="12"/>
                <w:color w:val="auto"/>
              </w:rPr>
              <w:t>Commodity contracts subject to rate recovery</w:t>
            </w:r>
          </w:p>
        </w:tc>
        <w:tc>
          <w:tcPr>
            <w:tcW w:w="1280" w:type="dxa"/>
            <w:vAlign w:val="bottom"/>
          </w:tcPr>
          <w:p>
            <w:pPr>
              <w:spacing w:after="0"/>
              <w:rPr>
                <w:sz w:val="11"/>
                <w:szCs w:val="11"/>
                <w:color w:val="auto"/>
              </w:rPr>
            </w:pPr>
          </w:p>
        </w:tc>
        <w:tc>
          <w:tcPr>
            <w:tcW w:w="360" w:type="dxa"/>
            <w:vAlign w:val="bottom"/>
          </w:tcPr>
          <w:p>
            <w:pPr>
              <w:jc w:val="right"/>
              <w:ind w:right="58"/>
              <w:spacing w:after="0" w:line="135" w:lineRule="exact"/>
              <w:rPr>
                <w:sz w:val="20"/>
                <w:szCs w:val="20"/>
                <w:color w:val="auto"/>
              </w:rPr>
            </w:pPr>
            <w:r>
              <w:rPr>
                <w:rFonts w:ascii="Arial" w:cs="Arial" w:eastAsia="Arial" w:hAnsi="Arial"/>
                <w:sz w:val="12"/>
                <w:szCs w:val="12"/>
                <w:color w:val="auto"/>
              </w:rPr>
              <w:t>3</w:t>
            </w:r>
          </w:p>
        </w:tc>
        <w:tc>
          <w:tcPr>
            <w:tcW w:w="340" w:type="dxa"/>
            <w:vAlign w:val="bottom"/>
          </w:tcPr>
          <w:p>
            <w:pPr>
              <w:spacing w:after="0"/>
              <w:rPr>
                <w:sz w:val="11"/>
                <w:szCs w:val="11"/>
                <w:color w:val="auto"/>
              </w:rPr>
            </w:pPr>
          </w:p>
        </w:tc>
        <w:tc>
          <w:tcPr>
            <w:tcW w:w="1220" w:type="dxa"/>
            <w:vAlign w:val="bottom"/>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c>
          <w:tcPr>
            <w:tcW w:w="1100" w:type="dxa"/>
            <w:vAlign w:val="bottom"/>
          </w:tcPr>
          <w:p>
            <w:pPr>
              <w:jc w:val="right"/>
              <w:ind w:right="20"/>
              <w:spacing w:after="0" w:line="135" w:lineRule="exact"/>
              <w:rPr>
                <w:sz w:val="20"/>
                <w:szCs w:val="20"/>
                <w:color w:val="auto"/>
              </w:rPr>
            </w:pPr>
            <w:r>
              <w:rPr>
                <w:rFonts w:ascii="Arial" w:cs="Arial" w:eastAsia="Arial" w:hAnsi="Arial"/>
                <w:sz w:val="12"/>
                <w:szCs w:val="12"/>
                <w:color w:val="auto"/>
              </w:rPr>
              <w:t>(3)</w:t>
            </w:r>
          </w:p>
        </w:tc>
        <w:tc>
          <w:tcPr>
            <w:tcW w:w="360" w:type="dxa"/>
            <w:vAlign w:val="bottom"/>
          </w:tcPr>
          <w:p>
            <w:pPr>
              <w:spacing w:after="0"/>
              <w:rPr>
                <w:sz w:val="11"/>
                <w:szCs w:val="11"/>
                <w:color w:val="auto"/>
              </w:rPr>
            </w:pPr>
          </w:p>
        </w:tc>
        <w:tc>
          <w:tcPr>
            <w:tcW w:w="11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80" w:type="dxa"/>
            <w:vAlign w:val="bottom"/>
          </w:tcPr>
          <w:p>
            <w:pPr>
              <w:ind w:left="140"/>
              <w:spacing w:after="0"/>
              <w:rPr>
                <w:sz w:val="20"/>
                <w:szCs w:val="20"/>
                <w:color w:val="auto"/>
              </w:rPr>
            </w:pPr>
            <w:r>
              <w:rPr>
                <w:rFonts w:ascii="Arial" w:cs="Arial" w:eastAsia="Arial" w:hAnsi="Arial"/>
                <w:sz w:val="12"/>
                <w:szCs w:val="12"/>
                <w:color w:val="auto"/>
              </w:rPr>
              <w:t>Associated offsetting commodity contracts</w:t>
            </w:r>
          </w:p>
        </w:tc>
        <w:tc>
          <w:tcPr>
            <w:tcW w:w="1280" w:type="dxa"/>
            <w:vAlign w:val="bottom"/>
          </w:tcPr>
          <w:p>
            <w:pPr>
              <w:spacing w:after="0"/>
              <w:rPr>
                <w:sz w:val="12"/>
                <w:szCs w:val="12"/>
                <w:color w:val="auto"/>
              </w:rPr>
            </w:pPr>
          </w:p>
        </w:tc>
        <w:tc>
          <w:tcPr>
            <w:tcW w:w="360" w:type="dxa"/>
            <w:vAlign w:val="bottom"/>
          </w:tcPr>
          <w:p>
            <w:pPr>
              <w:jc w:val="right"/>
              <w:ind w:right="18"/>
              <w:spacing w:after="0"/>
              <w:rPr>
                <w:sz w:val="20"/>
                <w:szCs w:val="20"/>
                <w:color w:val="auto"/>
              </w:rPr>
            </w:pPr>
            <w:r>
              <w:rPr>
                <w:rFonts w:ascii="Arial" w:cs="Arial" w:eastAsia="Arial" w:hAnsi="Arial"/>
                <w:sz w:val="12"/>
                <w:szCs w:val="12"/>
                <w:color w:val="auto"/>
              </w:rPr>
              <w:t>(3)</w:t>
            </w:r>
          </w:p>
        </w:tc>
        <w:tc>
          <w:tcPr>
            <w:tcW w:w="340" w:type="dxa"/>
            <w:vAlign w:val="bottom"/>
          </w:tcPr>
          <w:p>
            <w:pPr>
              <w:spacing w:after="0"/>
              <w:rPr>
                <w:sz w:val="12"/>
                <w:szCs w:val="12"/>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3</w:t>
            </w:r>
          </w:p>
        </w:tc>
        <w:tc>
          <w:tcPr>
            <w:tcW w:w="360" w:type="dxa"/>
            <w:vAlign w:val="bottom"/>
          </w:tcPr>
          <w:p>
            <w:pPr>
              <w:spacing w:after="0"/>
              <w:rPr>
                <w:sz w:val="12"/>
                <w:szCs w:val="1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35"/>
        </w:trPr>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80" w:type="dxa"/>
            <w:vAlign w:val="bottom"/>
            <w:tcBorders>
              <w:bottom w:val="single" w:sz="8" w:color="auto"/>
            </w:tcBorders>
          </w:tcPr>
          <w:p>
            <w:pPr>
              <w:spacing w:after="0" w:line="134" w:lineRule="exact"/>
              <w:rPr>
                <w:sz w:val="20"/>
                <w:szCs w:val="20"/>
                <w:color w:val="auto"/>
              </w:rPr>
            </w:pPr>
            <w:r>
              <w:rPr>
                <w:rFonts w:ascii="Arial" w:cs="Arial" w:eastAsia="Arial" w:hAnsi="Arial"/>
                <w:sz w:val="12"/>
                <w:szCs w:val="12"/>
                <w:color w:val="auto"/>
              </w:rPr>
              <w:t>Total</w:t>
            </w:r>
          </w:p>
        </w:tc>
        <w:tc>
          <w:tcPr>
            <w:tcW w:w="1280" w:type="dxa"/>
            <w:vAlign w:val="bottom"/>
            <w:tcBorders>
              <w:top w:val="single" w:sz="8" w:color="auto"/>
              <w:bottom w:val="single" w:sz="8" w:color="auto"/>
            </w:tcBorders>
          </w:tcPr>
          <w:p>
            <w:pPr>
              <w:jc w:val="right"/>
              <w:ind w:right="961"/>
              <w:spacing w:after="0" w:line="134" w:lineRule="exact"/>
              <w:rPr>
                <w:sz w:val="20"/>
                <w:szCs w:val="20"/>
                <w:color w:val="auto"/>
              </w:rPr>
            </w:pPr>
            <w:r>
              <w:rPr>
                <w:rFonts w:ascii="Arial" w:cs="Arial" w:eastAsia="Arial" w:hAnsi="Arial"/>
                <w:sz w:val="12"/>
                <w:szCs w:val="12"/>
                <w:color w:val="auto"/>
              </w:rPr>
              <w:t>$</w:t>
            </w:r>
          </w:p>
        </w:tc>
        <w:tc>
          <w:tcPr>
            <w:tcW w:w="360" w:type="dxa"/>
            <w:vAlign w:val="bottom"/>
            <w:tcBorders>
              <w:top w:val="single" w:sz="8" w:color="auto"/>
              <w:bottom w:val="single" w:sz="8" w:color="auto"/>
            </w:tcBorders>
          </w:tcPr>
          <w:p>
            <w:pPr>
              <w:jc w:val="right"/>
              <w:ind w:right="58"/>
              <w:spacing w:after="0" w:line="134" w:lineRule="exact"/>
              <w:rPr>
                <w:sz w:val="20"/>
                <w:szCs w:val="20"/>
                <w:color w:val="auto"/>
              </w:rPr>
            </w:pPr>
            <w:r>
              <w:rPr>
                <w:rFonts w:ascii="Arial" w:cs="Arial" w:eastAsia="Arial" w:hAnsi="Arial"/>
                <w:sz w:val="12"/>
                <w:szCs w:val="12"/>
                <w:color w:val="auto"/>
              </w:rPr>
              <w:t>1</w:t>
            </w:r>
          </w:p>
        </w:tc>
        <w:tc>
          <w:tcPr>
            <w:tcW w:w="340" w:type="dxa"/>
            <w:vAlign w:val="bottom"/>
            <w:tcBorders>
              <w:top w:val="single" w:sz="8" w:color="auto"/>
              <w:bottom w:val="single" w:sz="8" w:color="auto"/>
            </w:tcBorders>
          </w:tcPr>
          <w:p>
            <w:pPr>
              <w:jc w:val="right"/>
              <w:ind w:right="98"/>
              <w:spacing w:after="0" w:line="134" w:lineRule="exact"/>
              <w:rPr>
                <w:sz w:val="20"/>
                <w:szCs w:val="20"/>
                <w:color w:val="auto"/>
              </w:rPr>
            </w:pPr>
            <w:r>
              <w:rPr>
                <w:rFonts w:ascii="Arial" w:cs="Arial" w:eastAsia="Arial" w:hAnsi="Arial"/>
                <w:sz w:val="12"/>
                <w:szCs w:val="12"/>
                <w:color w:val="auto"/>
              </w:rPr>
              <w:t>$</w:t>
            </w:r>
          </w:p>
        </w:tc>
        <w:tc>
          <w:tcPr>
            <w:tcW w:w="1220" w:type="dxa"/>
            <w:vAlign w:val="bottom"/>
            <w:tcBorders>
              <w:top w:val="single" w:sz="8" w:color="auto"/>
              <w:bottom w:val="single" w:sz="8" w:color="auto"/>
            </w:tcBorders>
          </w:tcPr>
          <w:p>
            <w:pPr>
              <w:jc w:val="right"/>
              <w:ind w:right="60"/>
              <w:spacing w:after="0" w:line="134" w:lineRule="exact"/>
              <w:rPr>
                <w:sz w:val="20"/>
                <w:szCs w:val="20"/>
                <w:color w:val="auto"/>
              </w:rPr>
            </w:pPr>
            <w:r>
              <w:rPr>
                <w:rFonts w:ascii="Arial" w:cs="Arial" w:eastAsia="Arial" w:hAnsi="Arial"/>
                <w:sz w:val="12"/>
                <w:szCs w:val="12"/>
                <w:color w:val="auto"/>
              </w:rPr>
              <w:t>―</w:t>
            </w:r>
          </w:p>
        </w:tc>
        <w:tc>
          <w:tcPr>
            <w:tcW w:w="460" w:type="dxa"/>
            <w:vAlign w:val="bottom"/>
            <w:tcBorders>
              <w:top w:val="single" w:sz="8" w:color="auto"/>
              <w:bottom w:val="single" w:sz="8" w:color="auto"/>
            </w:tcBorders>
          </w:tcPr>
          <w:p>
            <w:pPr>
              <w:jc w:val="right"/>
              <w:ind w:right="218"/>
              <w:spacing w:after="0" w:line="134" w:lineRule="exact"/>
              <w:rPr>
                <w:sz w:val="20"/>
                <w:szCs w:val="20"/>
                <w:color w:val="auto"/>
              </w:rPr>
            </w:pPr>
            <w:r>
              <w:rPr>
                <w:rFonts w:ascii="Arial" w:cs="Arial" w:eastAsia="Arial" w:hAnsi="Arial"/>
                <w:sz w:val="12"/>
                <w:szCs w:val="12"/>
                <w:color w:val="auto"/>
              </w:rPr>
              <w:t>$</w:t>
            </w:r>
          </w:p>
        </w:tc>
        <w:tc>
          <w:tcPr>
            <w:tcW w:w="1100" w:type="dxa"/>
            <w:vAlign w:val="bottom"/>
            <w:tcBorders>
              <w:top w:val="single" w:sz="8" w:color="auto"/>
              <w:bottom w:val="single" w:sz="8" w:color="auto"/>
            </w:tcBorders>
          </w:tcPr>
          <w:p>
            <w:pPr>
              <w:jc w:val="right"/>
              <w:ind w:right="60"/>
              <w:spacing w:after="0" w:line="134" w:lineRule="exact"/>
              <w:rPr>
                <w:sz w:val="20"/>
                <w:szCs w:val="20"/>
                <w:color w:val="auto"/>
              </w:rPr>
            </w:pPr>
            <w:r>
              <w:rPr>
                <w:rFonts w:ascii="Arial" w:cs="Arial" w:eastAsia="Arial" w:hAnsi="Arial"/>
                <w:sz w:val="12"/>
                <w:szCs w:val="12"/>
                <w:color w:val="auto"/>
              </w:rPr>
              <w:t>―</w:t>
            </w:r>
          </w:p>
        </w:tc>
        <w:tc>
          <w:tcPr>
            <w:tcW w:w="360" w:type="dxa"/>
            <w:vAlign w:val="bottom"/>
            <w:tcBorders>
              <w:top w:val="single" w:sz="8" w:color="auto"/>
              <w:bottom w:val="single" w:sz="8" w:color="auto"/>
            </w:tcBorders>
          </w:tcPr>
          <w:p>
            <w:pPr>
              <w:jc w:val="right"/>
              <w:ind w:right="118"/>
              <w:spacing w:after="0" w:line="134" w:lineRule="exact"/>
              <w:rPr>
                <w:sz w:val="20"/>
                <w:szCs w:val="20"/>
                <w:color w:val="auto"/>
              </w:rPr>
            </w:pPr>
            <w:r>
              <w:rPr>
                <w:rFonts w:ascii="Arial" w:cs="Arial" w:eastAsia="Arial" w:hAnsi="Arial"/>
                <w:sz w:val="12"/>
                <w:szCs w:val="12"/>
                <w:color w:val="auto"/>
              </w:rPr>
              <w:t>$</w:t>
            </w:r>
          </w:p>
        </w:tc>
        <w:tc>
          <w:tcPr>
            <w:tcW w:w="11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16"/>
        </w:trPr>
        <w:tc>
          <w:tcPr>
            <w:tcW w:w="20" w:type="dxa"/>
            <w:vAlign w:val="bottom"/>
          </w:tcPr>
          <w:p>
            <w:pPr>
              <w:spacing w:after="0"/>
              <w:rPr>
                <w:sz w:val="10"/>
                <w:szCs w:val="10"/>
                <w:color w:val="auto"/>
              </w:rPr>
            </w:pPr>
          </w:p>
        </w:tc>
        <w:tc>
          <w:tcPr>
            <w:tcW w:w="120" w:type="dxa"/>
            <w:vAlign w:val="bottom"/>
          </w:tcPr>
          <w:p>
            <w:pPr>
              <w:spacing w:after="0" w:line="116" w:lineRule="exact"/>
              <w:rPr>
                <w:sz w:val="20"/>
                <w:szCs w:val="20"/>
                <w:color w:val="auto"/>
              </w:rPr>
            </w:pPr>
            <w:r>
              <w:rPr>
                <w:rFonts w:ascii="Arial" w:cs="Arial" w:eastAsia="Arial" w:hAnsi="Arial"/>
                <w:sz w:val="11"/>
                <w:szCs w:val="11"/>
                <w:i w:val="1"/>
                <w:iCs w:val="1"/>
                <w:color w:val="auto"/>
                <w:w w:val="74"/>
              </w:rPr>
              <w:t>(1)</w:t>
            </w:r>
          </w:p>
        </w:tc>
        <w:tc>
          <w:tcPr>
            <w:tcW w:w="5080" w:type="dxa"/>
            <w:vAlign w:val="bottom"/>
          </w:tcPr>
          <w:p>
            <w:pPr>
              <w:ind w:left="380"/>
              <w:spacing w:after="0" w:line="116" w:lineRule="exact"/>
              <w:rPr>
                <w:sz w:val="20"/>
                <w:szCs w:val="20"/>
                <w:color w:val="auto"/>
              </w:rPr>
            </w:pPr>
            <w:r>
              <w:rPr>
                <w:rFonts w:ascii="Arial" w:cs="Arial" w:eastAsia="Arial" w:hAnsi="Arial"/>
                <w:sz w:val="11"/>
                <w:szCs w:val="11"/>
                <w:i w:val="1"/>
                <w:iCs w:val="1"/>
                <w:color w:val="auto"/>
              </w:rPr>
              <w:t>Included in Current Assets: Other for SoCalGas.</w:t>
            </w:r>
          </w:p>
        </w:tc>
        <w:tc>
          <w:tcPr>
            <w:tcW w:w="1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40" w:type="dxa"/>
            <w:vAlign w:val="bottom"/>
            <w:gridSpan w:val="2"/>
          </w:tcPr>
          <w:p>
            <w:pPr>
              <w:spacing w:after="0" w:line="124" w:lineRule="exact"/>
              <w:rPr>
                <w:sz w:val="20"/>
                <w:szCs w:val="20"/>
                <w:color w:val="auto"/>
              </w:rPr>
            </w:pPr>
            <w:r>
              <w:rPr>
                <w:rFonts w:ascii="Arial" w:cs="Arial" w:eastAsia="Arial" w:hAnsi="Arial"/>
                <w:sz w:val="11"/>
                <w:szCs w:val="11"/>
                <w:i w:val="1"/>
                <w:iCs w:val="1"/>
                <w:color w:val="auto"/>
                <w:w w:val="88"/>
              </w:rPr>
              <w:t>(2)</w:t>
            </w:r>
          </w:p>
        </w:tc>
        <w:tc>
          <w:tcPr>
            <w:tcW w:w="5080" w:type="dxa"/>
            <w:vAlign w:val="bottom"/>
          </w:tcPr>
          <w:p>
            <w:pPr>
              <w:ind w:left="380"/>
              <w:spacing w:after="0" w:line="124" w:lineRule="exact"/>
              <w:rPr>
                <w:sz w:val="20"/>
                <w:szCs w:val="20"/>
                <w:color w:val="auto"/>
              </w:rPr>
            </w:pPr>
            <w:r>
              <w:rPr>
                <w:rFonts w:ascii="Arial" w:cs="Arial" w:eastAsia="Arial" w:hAnsi="Arial"/>
                <w:sz w:val="11"/>
                <w:szCs w:val="11"/>
                <w:i w:val="1"/>
                <w:iCs w:val="1"/>
                <w:color w:val="auto"/>
              </w:rPr>
              <w:t>Included in Current Liabilities: Other for SoCalGas.</w:t>
            </w:r>
          </w:p>
        </w:tc>
        <w:tc>
          <w:tcPr>
            <w:tcW w:w="1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4"/>
        </w:trPr>
        <w:tc>
          <w:tcPr>
            <w:tcW w:w="140" w:type="dxa"/>
            <w:vAlign w:val="bottom"/>
            <w:gridSpan w:val="2"/>
          </w:tcPr>
          <w:p>
            <w:pPr>
              <w:spacing w:after="0"/>
              <w:rPr>
                <w:sz w:val="20"/>
                <w:szCs w:val="20"/>
                <w:color w:val="auto"/>
              </w:rPr>
            </w:pPr>
            <w:r>
              <w:rPr>
                <w:rFonts w:ascii="Arial" w:cs="Arial" w:eastAsia="Arial" w:hAnsi="Arial"/>
                <w:sz w:val="11"/>
                <w:szCs w:val="11"/>
                <w:i w:val="1"/>
                <w:iCs w:val="1"/>
                <w:color w:val="auto"/>
                <w:w w:val="88"/>
              </w:rPr>
              <w:t>(3)</w:t>
            </w:r>
          </w:p>
        </w:tc>
        <w:tc>
          <w:tcPr>
            <w:tcW w:w="5080" w:type="dxa"/>
            <w:vAlign w:val="bottom"/>
          </w:tcPr>
          <w:p>
            <w:pPr>
              <w:ind w:left="380"/>
              <w:spacing w:after="0"/>
              <w:rPr>
                <w:sz w:val="20"/>
                <w:szCs w:val="20"/>
                <w:color w:val="auto"/>
              </w:rPr>
            </w:pPr>
            <w:r>
              <w:rPr>
                <w:rFonts w:ascii="Arial" w:cs="Arial" w:eastAsia="Arial" w:hAnsi="Arial"/>
                <w:sz w:val="11"/>
                <w:szCs w:val="11"/>
                <w:i w:val="1"/>
                <w:iCs w:val="1"/>
                <w:color w:val="auto"/>
              </w:rPr>
              <w:t>Includes Otay Mesa VIE. All of SDG&amp;E's amounts relate to Otay Mesa VIE.</w:t>
            </w:r>
          </w:p>
        </w:tc>
        <w:tc>
          <w:tcPr>
            <w:tcW w:w="1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200" w:lineRule="exact"/>
        <w:rPr>
          <w:sz w:val="20"/>
          <w:szCs w:val="20"/>
          <w:color w:val="auto"/>
        </w:rPr>
      </w:pPr>
    </w:p>
    <w:p>
      <w:pPr>
        <w:sectPr>
          <w:pgSz w:w="11900" w:h="16838" w:orient="portrait"/>
          <w:cols w:equalWidth="0" w:num="1">
            <w:col w:w="11460"/>
          </w:cols>
          <w:pgMar w:left="220" w:top="129" w:right="219" w:bottom="0" w:gutter="0" w:footer="0" w:header="0"/>
        </w:sectPr>
      </w:pPr>
    </w:p>
    <w:p>
      <w:pPr>
        <w:spacing w:after="0" w:line="336" w:lineRule="exact"/>
        <w:rPr>
          <w:sz w:val="20"/>
          <w:szCs w:val="20"/>
          <w:color w:val="auto"/>
        </w:rPr>
      </w:pPr>
    </w:p>
    <w:p>
      <w:pPr>
        <w:spacing w:after="0"/>
        <w:rPr>
          <w:sz w:val="20"/>
          <w:szCs w:val="20"/>
          <w:color w:val="auto"/>
        </w:rPr>
      </w:pPr>
      <w:r>
        <w:rPr>
          <w:rFonts w:ascii="Arial" w:cs="Arial" w:eastAsia="Arial" w:hAnsi="Arial"/>
          <w:sz w:val="11"/>
          <w:szCs w:val="11"/>
          <w:color w:val="auto"/>
        </w:rPr>
        <w:t>The effects of derivative instruments designated as hedges on the Condensed Consolidated Statements of Operations for the three months ended March 31, 2011 and 2010 were:</w:t>
      </w:r>
    </w:p>
    <w:p>
      <w:pPr>
        <w:sectPr>
          <w:pgSz w:w="11900" w:h="16838" w:orient="portrait"/>
          <w:cols w:equalWidth="0" w:num="1">
            <w:col w:w="11460"/>
          </w:cols>
          <w:pgMar w:left="220" w:top="129" w:right="219" w:bottom="0" w:gutter="0" w:footer="0" w:header="0"/>
          <w:type w:val="continuous"/>
        </w:sectPr>
      </w:pPr>
    </w:p>
    <w:bookmarkStart w:id="33" w:name="page34"/>
    <w:bookmarkEnd w:id="33"/>
    <w:p>
      <w:pPr>
        <w:spacing w:after="0" w:line="82" w:lineRule="exact"/>
        <w:rPr>
          <w:sz w:val="20"/>
          <w:szCs w:val="20"/>
          <w:color w:val="auto"/>
        </w:rPr>
      </w:pPr>
    </w:p>
    <w:p>
      <w:pPr>
        <w:ind w:right="5500"/>
        <w:spacing w:after="0" w:line="247" w:lineRule="auto"/>
        <w:rPr>
          <w:sz w:val="20"/>
          <w:szCs w:val="20"/>
          <w:color w:val="auto"/>
        </w:rPr>
      </w:pPr>
      <w:r>
        <w:rPr>
          <w:rFonts w:ascii="Arial" w:cs="Arial" w:eastAsia="Arial" w:hAnsi="Arial"/>
          <w:sz w:val="12"/>
          <w:szCs w:val="12"/>
          <w:b w:val="1"/>
          <w:bCs w:val="1"/>
          <w:color w:val="auto"/>
        </w:rPr>
        <w:t xml:space="preserve">FAIR VALUE HEDGE IMPACT ON THE CONDENSED CONSOLIDATED STATEMENTS OF OPERATIONS </w:t>
      </w:r>
      <w:r>
        <w:rPr>
          <w:rFonts w:ascii="Arial" w:cs="Arial" w:eastAsia="Arial" w:hAnsi="Arial"/>
          <w:sz w:val="11"/>
          <w:szCs w:val="11"/>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279005" cy="1708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960" w:type="dxa"/>
            <w:vAlign w:val="bottom"/>
            <w:gridSpan w:val="4"/>
          </w:tcPr>
          <w:p>
            <w:pPr>
              <w:jc w:val="right"/>
              <w:ind w:right="1140"/>
              <w:spacing w:after="0" w:line="122" w:lineRule="exact"/>
              <w:rPr>
                <w:sz w:val="20"/>
                <w:szCs w:val="20"/>
                <w:color w:val="auto"/>
              </w:rPr>
            </w:pPr>
            <w:r>
              <w:rPr>
                <w:rFonts w:ascii="Arial" w:cs="Arial" w:eastAsia="Arial" w:hAnsi="Arial"/>
                <w:sz w:val="11"/>
                <w:szCs w:val="11"/>
                <w:color w:val="auto"/>
              </w:rPr>
              <w:t>Gain (loss) on derivatives recognized in earnings</w:t>
            </w:r>
          </w:p>
        </w:tc>
      </w:tr>
      <w:tr>
        <w:trPr>
          <w:trHeight w:val="125"/>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700" w:type="dxa"/>
            <w:vAlign w:val="bottom"/>
            <w:tcBorders>
              <w:top w:val="single" w:sz="8" w:color="auto"/>
              <w:bottom w:val="single" w:sz="8" w:color="auto"/>
            </w:tcBorders>
          </w:tcPr>
          <w:p>
            <w:pPr>
              <w:spacing w:after="0"/>
              <w:rPr>
                <w:sz w:val="10"/>
                <w:szCs w:val="10"/>
                <w:color w:val="auto"/>
              </w:rPr>
            </w:pPr>
          </w:p>
        </w:tc>
        <w:tc>
          <w:tcPr>
            <w:tcW w:w="2520" w:type="dxa"/>
            <w:vAlign w:val="bottom"/>
            <w:tcBorders>
              <w:top w:val="single" w:sz="8" w:color="auto"/>
              <w:bottom w:val="single" w:sz="8" w:color="auto"/>
            </w:tcBorders>
            <w:gridSpan w:val="2"/>
          </w:tcPr>
          <w:p>
            <w:pPr>
              <w:jc w:val="right"/>
              <w:ind w:right="78"/>
              <w:spacing w:after="0" w:line="124" w:lineRule="exact"/>
              <w:rPr>
                <w:sz w:val="20"/>
                <w:szCs w:val="20"/>
                <w:color w:val="auto"/>
              </w:rPr>
            </w:pPr>
            <w:r>
              <w:rPr>
                <w:rFonts w:ascii="Arial" w:cs="Arial" w:eastAsia="Arial" w:hAnsi="Arial"/>
                <w:sz w:val="11"/>
                <w:szCs w:val="11"/>
                <w:color w:val="auto"/>
              </w:rPr>
              <w:t>Three months ended March 31,</w:t>
            </w:r>
          </w:p>
        </w:tc>
        <w:tc>
          <w:tcPr>
            <w:tcW w:w="1420" w:type="dxa"/>
            <w:vAlign w:val="bottom"/>
            <w:tcBorders>
              <w:top w:val="single" w:sz="8" w:color="auto"/>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2640" w:type="dxa"/>
            <w:vAlign w:val="bottom"/>
            <w:tcBorders>
              <w:bottom w:val="single" w:sz="8" w:color="auto"/>
            </w:tcBorders>
          </w:tcPr>
          <w:p>
            <w:pPr>
              <w:spacing w:after="0"/>
              <w:rPr>
                <w:sz w:val="10"/>
                <w:szCs w:val="10"/>
                <w:color w:val="auto"/>
              </w:rPr>
            </w:pPr>
          </w:p>
        </w:tc>
        <w:tc>
          <w:tcPr>
            <w:tcW w:w="4160" w:type="dxa"/>
            <w:vAlign w:val="bottom"/>
            <w:tcBorders>
              <w:bottom w:val="single" w:sz="8" w:color="auto"/>
            </w:tcBorders>
          </w:tcPr>
          <w:p>
            <w:pPr>
              <w:ind w:left="2300"/>
              <w:spacing w:after="0" w:line="124" w:lineRule="exact"/>
              <w:rPr>
                <w:sz w:val="20"/>
                <w:szCs w:val="20"/>
                <w:color w:val="auto"/>
              </w:rPr>
            </w:pPr>
            <w:r>
              <w:rPr>
                <w:rFonts w:ascii="Arial" w:cs="Arial" w:eastAsia="Arial" w:hAnsi="Arial"/>
                <w:sz w:val="11"/>
                <w:szCs w:val="11"/>
                <w:color w:val="auto"/>
              </w:rPr>
              <w:t>Location</w:t>
            </w:r>
          </w:p>
        </w:tc>
        <w:tc>
          <w:tcPr>
            <w:tcW w:w="70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jc w:val="right"/>
              <w:ind w:right="1160"/>
              <w:spacing w:after="0" w:line="124" w:lineRule="exact"/>
              <w:rPr>
                <w:sz w:val="20"/>
                <w:szCs w:val="20"/>
                <w:color w:val="auto"/>
              </w:rPr>
            </w:pPr>
            <w:r>
              <w:rPr>
                <w:rFonts w:ascii="Arial" w:cs="Arial" w:eastAsia="Arial" w:hAnsi="Arial"/>
                <w:sz w:val="11"/>
                <w:szCs w:val="11"/>
                <w:color w:val="auto"/>
              </w:rPr>
              <w:t>2011</w:t>
            </w:r>
          </w:p>
        </w:tc>
        <w:tc>
          <w:tcPr>
            <w:tcW w:w="7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jc w:val="right"/>
              <w:ind w:right="999"/>
              <w:spacing w:after="0" w:line="124" w:lineRule="exact"/>
              <w:rPr>
                <w:sz w:val="20"/>
                <w:szCs w:val="20"/>
                <w:color w:val="auto"/>
              </w:rPr>
            </w:pPr>
            <w:r>
              <w:rPr>
                <w:rFonts w:ascii="Arial" w:cs="Arial" w:eastAsia="Arial" w:hAnsi="Arial"/>
                <w:sz w:val="11"/>
                <w:szCs w:val="11"/>
                <w:color w:val="auto"/>
              </w:rPr>
              <w:t>2010</w:t>
            </w:r>
          </w:p>
        </w:tc>
        <w:tc>
          <w:tcPr>
            <w:tcW w:w="2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2640" w:type="dxa"/>
            <w:vAlign w:val="bottom"/>
          </w:tcPr>
          <w:p>
            <w:pPr>
              <w:spacing w:after="0" w:line="126" w:lineRule="exact"/>
              <w:rPr>
                <w:sz w:val="20"/>
                <w:szCs w:val="20"/>
                <w:color w:val="auto"/>
              </w:rPr>
            </w:pPr>
            <w:r>
              <w:rPr>
                <w:rFonts w:ascii="Arial" w:cs="Arial" w:eastAsia="Arial" w:hAnsi="Arial"/>
                <w:sz w:val="12"/>
                <w:szCs w:val="12"/>
                <w:b w:val="1"/>
                <w:bCs w:val="1"/>
                <w:color w:val="auto"/>
              </w:rPr>
              <w:t>Sempra Energy Consolidated:</w:t>
            </w:r>
          </w:p>
        </w:tc>
        <w:tc>
          <w:tcPr>
            <w:tcW w:w="4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2640" w:type="dxa"/>
            <w:vAlign w:val="bottom"/>
          </w:tcPr>
          <w:p>
            <w:pPr>
              <w:ind w:left="120"/>
              <w:spacing w:after="0" w:line="134" w:lineRule="exact"/>
              <w:rPr>
                <w:sz w:val="20"/>
                <w:szCs w:val="20"/>
                <w:color w:val="auto"/>
              </w:rPr>
            </w:pPr>
            <w:r>
              <w:rPr>
                <w:rFonts w:ascii="Arial" w:cs="Arial" w:eastAsia="Arial" w:hAnsi="Arial"/>
                <w:sz w:val="12"/>
                <w:szCs w:val="12"/>
                <w:color w:val="auto"/>
              </w:rPr>
              <w:t>Interest rate instruments</w:t>
            </w:r>
          </w:p>
        </w:tc>
        <w:tc>
          <w:tcPr>
            <w:tcW w:w="4160" w:type="dxa"/>
            <w:vAlign w:val="bottom"/>
          </w:tcPr>
          <w:p>
            <w:pPr>
              <w:ind w:left="880"/>
              <w:spacing w:after="0" w:line="134" w:lineRule="exact"/>
              <w:rPr>
                <w:sz w:val="20"/>
                <w:szCs w:val="20"/>
                <w:color w:val="auto"/>
              </w:rPr>
            </w:pPr>
            <w:r>
              <w:rPr>
                <w:rFonts w:ascii="Arial" w:cs="Arial" w:eastAsia="Arial" w:hAnsi="Arial"/>
                <w:sz w:val="12"/>
                <w:szCs w:val="12"/>
                <w:color w:val="auto"/>
              </w:rPr>
              <w:t>Interest Expense</w:t>
            </w:r>
          </w:p>
        </w:tc>
        <w:tc>
          <w:tcPr>
            <w:tcW w:w="700" w:type="dxa"/>
            <w:vAlign w:val="bottom"/>
          </w:tcPr>
          <w:p>
            <w:pPr>
              <w:jc w:val="right"/>
              <w:ind w:right="238"/>
              <w:spacing w:after="0" w:line="134" w:lineRule="exact"/>
              <w:rPr>
                <w:sz w:val="20"/>
                <w:szCs w:val="20"/>
                <w:color w:val="auto"/>
              </w:rPr>
            </w:pPr>
            <w:r>
              <w:rPr>
                <w:rFonts w:ascii="Arial" w:cs="Arial" w:eastAsia="Arial" w:hAnsi="Arial"/>
                <w:sz w:val="12"/>
                <w:szCs w:val="12"/>
                <w:color w:val="auto"/>
              </w:rPr>
              <w:t>$</w:t>
            </w:r>
          </w:p>
        </w:tc>
        <w:tc>
          <w:tcPr>
            <w:tcW w:w="1780" w:type="dxa"/>
            <w:vAlign w:val="bottom"/>
          </w:tcPr>
          <w:p>
            <w:pPr>
              <w:jc w:val="center"/>
              <w:ind w:left="1240"/>
              <w:spacing w:after="0" w:line="134" w:lineRule="exact"/>
              <w:rPr>
                <w:sz w:val="20"/>
                <w:szCs w:val="20"/>
                <w:color w:val="auto"/>
              </w:rPr>
            </w:pPr>
            <w:r>
              <w:rPr>
                <w:rFonts w:ascii="Arial" w:cs="Arial" w:eastAsia="Arial" w:hAnsi="Arial"/>
                <w:sz w:val="12"/>
                <w:szCs w:val="12"/>
                <w:color w:val="auto"/>
              </w:rPr>
              <w:t>3</w:t>
            </w:r>
          </w:p>
        </w:tc>
        <w:tc>
          <w:tcPr>
            <w:tcW w:w="740" w:type="dxa"/>
            <w:vAlign w:val="bottom"/>
          </w:tcPr>
          <w:p>
            <w:pPr>
              <w:jc w:val="right"/>
              <w:ind w:right="438"/>
              <w:spacing w:after="0" w:line="134" w:lineRule="exact"/>
              <w:rPr>
                <w:sz w:val="20"/>
                <w:szCs w:val="20"/>
                <w:color w:val="auto"/>
              </w:rPr>
            </w:pPr>
            <w:r>
              <w:rPr>
                <w:rFonts w:ascii="Arial" w:cs="Arial" w:eastAsia="Arial" w:hAnsi="Arial"/>
                <w:sz w:val="12"/>
                <w:szCs w:val="12"/>
                <w:color w:val="auto"/>
              </w:rPr>
              <w:t>$</w:t>
            </w:r>
          </w:p>
        </w:tc>
        <w:tc>
          <w:tcPr>
            <w:tcW w:w="142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c>
          <w:tcPr>
            <w:tcW w:w="2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2640" w:type="dxa"/>
            <w:vAlign w:val="bottom"/>
          </w:tcPr>
          <w:p>
            <w:pPr>
              <w:ind w:left="120"/>
              <w:spacing w:after="0"/>
              <w:rPr>
                <w:sz w:val="20"/>
                <w:szCs w:val="20"/>
                <w:color w:val="auto"/>
              </w:rPr>
            </w:pPr>
            <w:r>
              <w:rPr>
                <w:rFonts w:ascii="Arial" w:cs="Arial" w:eastAsia="Arial" w:hAnsi="Arial"/>
                <w:sz w:val="12"/>
                <w:szCs w:val="12"/>
                <w:color w:val="auto"/>
              </w:rPr>
              <w:t>Interest rate instruments</w:t>
            </w:r>
          </w:p>
        </w:tc>
        <w:tc>
          <w:tcPr>
            <w:tcW w:w="4160" w:type="dxa"/>
            <w:vAlign w:val="bottom"/>
          </w:tcPr>
          <w:p>
            <w:pPr>
              <w:ind w:left="880"/>
              <w:spacing w:after="0"/>
              <w:rPr>
                <w:sz w:val="20"/>
                <w:szCs w:val="20"/>
                <w:color w:val="auto"/>
              </w:rPr>
            </w:pPr>
            <w:r>
              <w:rPr>
                <w:rFonts w:ascii="Arial" w:cs="Arial" w:eastAsia="Arial" w:hAnsi="Arial"/>
                <w:sz w:val="12"/>
                <w:szCs w:val="12"/>
                <w:color w:val="auto"/>
              </w:rPr>
              <w:t>Other Income, Net</w:t>
            </w:r>
          </w:p>
        </w:tc>
        <w:tc>
          <w:tcPr>
            <w:tcW w:w="700" w:type="dxa"/>
            <w:vAlign w:val="bottom"/>
          </w:tcPr>
          <w:p>
            <w:pPr>
              <w:spacing w:after="0"/>
              <w:rPr>
                <w:sz w:val="12"/>
                <w:szCs w:val="12"/>
                <w:color w:val="auto"/>
              </w:rPr>
            </w:pPr>
          </w:p>
        </w:tc>
        <w:tc>
          <w:tcPr>
            <w:tcW w:w="1780" w:type="dxa"/>
            <w:vAlign w:val="bottom"/>
          </w:tcPr>
          <w:p>
            <w:pPr>
              <w:jc w:val="center"/>
              <w:ind w:left="1220"/>
              <w:spacing w:after="0"/>
              <w:rPr>
                <w:sz w:val="20"/>
                <w:szCs w:val="20"/>
                <w:color w:val="auto"/>
              </w:rPr>
            </w:pPr>
            <w:r>
              <w:rPr>
                <w:rFonts w:ascii="Arial" w:cs="Arial" w:eastAsia="Arial" w:hAnsi="Arial"/>
                <w:sz w:val="12"/>
                <w:szCs w:val="12"/>
                <w:color w:val="auto"/>
                <w:w w:val="95"/>
              </w:rPr>
              <w:t>(5)</w:t>
            </w:r>
          </w:p>
        </w:tc>
        <w:tc>
          <w:tcPr>
            <w:tcW w:w="740" w:type="dxa"/>
            <w:vAlign w:val="bottom"/>
          </w:tcPr>
          <w:p>
            <w:pPr>
              <w:spacing w:after="0"/>
              <w:rPr>
                <w:sz w:val="12"/>
                <w:szCs w:val="12"/>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2"/>
                <w:szCs w:val="12"/>
                <w:color w:val="auto"/>
              </w:rPr>
              <w:t>(2)</w:t>
            </w:r>
          </w:p>
        </w:tc>
      </w:tr>
      <w:tr>
        <w:trPr>
          <w:trHeight w:val="135"/>
        </w:trPr>
        <w:tc>
          <w:tcPr>
            <w:tcW w:w="20" w:type="dxa"/>
            <w:vAlign w:val="bottom"/>
          </w:tcPr>
          <w:p>
            <w:pPr>
              <w:spacing w:after="0"/>
              <w:rPr>
                <w:sz w:val="11"/>
                <w:szCs w:val="11"/>
                <w:color w:val="auto"/>
              </w:rPr>
            </w:pPr>
          </w:p>
        </w:tc>
        <w:tc>
          <w:tcPr>
            <w:tcW w:w="2640" w:type="dxa"/>
            <w:vAlign w:val="bottom"/>
            <w:tcBorders>
              <w:bottom w:val="single" w:sz="8" w:color="auto"/>
            </w:tcBorders>
          </w:tcPr>
          <w:p>
            <w:pPr>
              <w:ind w:left="120"/>
              <w:spacing w:after="0" w:line="134" w:lineRule="exact"/>
              <w:rPr>
                <w:sz w:val="20"/>
                <w:szCs w:val="20"/>
                <w:color w:val="auto"/>
              </w:rPr>
            </w:pPr>
            <w:r>
              <w:rPr>
                <w:rFonts w:ascii="Arial" w:cs="Arial" w:eastAsia="Arial" w:hAnsi="Arial"/>
                <w:sz w:val="12"/>
                <w:szCs w:val="12"/>
                <w:color w:val="auto"/>
              </w:rPr>
              <w:t>Total(1)</w:t>
            </w:r>
          </w:p>
        </w:tc>
        <w:tc>
          <w:tcPr>
            <w:tcW w:w="4160" w:type="dxa"/>
            <w:vAlign w:val="bottom"/>
            <w:tcBorders>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38"/>
              <w:spacing w:after="0" w:line="134" w:lineRule="exact"/>
              <w:rPr>
                <w:sz w:val="20"/>
                <w:szCs w:val="20"/>
                <w:color w:val="auto"/>
              </w:rPr>
            </w:pPr>
            <w:r>
              <w:rPr>
                <w:rFonts w:ascii="Arial" w:cs="Arial" w:eastAsia="Arial" w:hAnsi="Arial"/>
                <w:sz w:val="12"/>
                <w:szCs w:val="12"/>
                <w:color w:val="auto"/>
              </w:rPr>
              <w:t>$</w:t>
            </w:r>
          </w:p>
        </w:tc>
        <w:tc>
          <w:tcPr>
            <w:tcW w:w="1780" w:type="dxa"/>
            <w:vAlign w:val="bottom"/>
            <w:tcBorders>
              <w:top w:val="single" w:sz="8" w:color="auto"/>
              <w:bottom w:val="single" w:sz="8" w:color="auto"/>
            </w:tcBorders>
          </w:tcPr>
          <w:p>
            <w:pPr>
              <w:jc w:val="center"/>
              <w:ind w:left="1220"/>
              <w:spacing w:after="0" w:line="134" w:lineRule="exact"/>
              <w:rPr>
                <w:sz w:val="20"/>
                <w:szCs w:val="20"/>
                <w:color w:val="auto"/>
              </w:rPr>
            </w:pPr>
            <w:r>
              <w:rPr>
                <w:rFonts w:ascii="Arial" w:cs="Arial" w:eastAsia="Arial" w:hAnsi="Arial"/>
                <w:sz w:val="12"/>
                <w:szCs w:val="12"/>
                <w:color w:val="auto"/>
                <w:w w:val="95"/>
              </w:rPr>
              <w:t>(2)</w:t>
            </w:r>
          </w:p>
        </w:tc>
        <w:tc>
          <w:tcPr>
            <w:tcW w:w="740" w:type="dxa"/>
            <w:vAlign w:val="bottom"/>
            <w:tcBorders>
              <w:top w:val="single" w:sz="8" w:color="auto"/>
              <w:bottom w:val="single" w:sz="8" w:color="auto"/>
            </w:tcBorders>
          </w:tcPr>
          <w:p>
            <w:pPr>
              <w:jc w:val="right"/>
              <w:ind w:right="438"/>
              <w:spacing w:after="0" w:line="134" w:lineRule="exact"/>
              <w:rPr>
                <w:sz w:val="20"/>
                <w:szCs w:val="20"/>
                <w:color w:val="auto"/>
              </w:rPr>
            </w:pPr>
            <w:r>
              <w:rPr>
                <w:rFonts w:ascii="Arial" w:cs="Arial" w:eastAsia="Arial" w:hAnsi="Arial"/>
                <w:sz w:val="12"/>
                <w:szCs w:val="12"/>
                <w:color w:val="auto"/>
              </w:rPr>
              <w:t>$</w:t>
            </w:r>
          </w:p>
        </w:tc>
        <w:tc>
          <w:tcPr>
            <w:tcW w:w="14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2640" w:type="dxa"/>
            <w:vAlign w:val="bottom"/>
          </w:tcPr>
          <w:p>
            <w:pPr>
              <w:spacing w:after="0" w:line="126" w:lineRule="exact"/>
              <w:rPr>
                <w:sz w:val="20"/>
                <w:szCs w:val="20"/>
                <w:color w:val="auto"/>
              </w:rPr>
            </w:pPr>
            <w:r>
              <w:rPr>
                <w:rFonts w:ascii="Arial" w:cs="Arial" w:eastAsia="Arial" w:hAnsi="Arial"/>
                <w:sz w:val="12"/>
                <w:szCs w:val="12"/>
                <w:b w:val="1"/>
                <w:bCs w:val="1"/>
                <w:color w:val="auto"/>
              </w:rPr>
              <w:t>SoCalGas:</w:t>
            </w:r>
          </w:p>
        </w:tc>
        <w:tc>
          <w:tcPr>
            <w:tcW w:w="4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2640" w:type="dxa"/>
            <w:vAlign w:val="bottom"/>
          </w:tcPr>
          <w:p>
            <w:pPr>
              <w:ind w:left="120"/>
              <w:spacing w:after="0" w:line="134" w:lineRule="exact"/>
              <w:rPr>
                <w:sz w:val="20"/>
                <w:szCs w:val="20"/>
                <w:color w:val="auto"/>
              </w:rPr>
            </w:pPr>
            <w:r>
              <w:rPr>
                <w:rFonts w:ascii="Arial" w:cs="Arial" w:eastAsia="Arial" w:hAnsi="Arial"/>
                <w:sz w:val="12"/>
                <w:szCs w:val="12"/>
                <w:color w:val="auto"/>
              </w:rPr>
              <w:t>Interest rate instrument</w:t>
            </w:r>
          </w:p>
        </w:tc>
        <w:tc>
          <w:tcPr>
            <w:tcW w:w="4160" w:type="dxa"/>
            <w:vAlign w:val="bottom"/>
          </w:tcPr>
          <w:p>
            <w:pPr>
              <w:ind w:left="880"/>
              <w:spacing w:after="0" w:line="134" w:lineRule="exact"/>
              <w:rPr>
                <w:sz w:val="20"/>
                <w:szCs w:val="20"/>
                <w:color w:val="auto"/>
              </w:rPr>
            </w:pPr>
            <w:r>
              <w:rPr>
                <w:rFonts w:ascii="Arial" w:cs="Arial" w:eastAsia="Arial" w:hAnsi="Arial"/>
                <w:sz w:val="12"/>
                <w:szCs w:val="12"/>
                <w:color w:val="auto"/>
              </w:rPr>
              <w:t>Interest Expense</w:t>
            </w:r>
          </w:p>
        </w:tc>
        <w:tc>
          <w:tcPr>
            <w:tcW w:w="700" w:type="dxa"/>
            <w:vAlign w:val="bottom"/>
          </w:tcPr>
          <w:p>
            <w:pPr>
              <w:jc w:val="right"/>
              <w:ind w:right="238"/>
              <w:spacing w:after="0" w:line="134" w:lineRule="exact"/>
              <w:rPr>
                <w:sz w:val="20"/>
                <w:szCs w:val="20"/>
                <w:color w:val="auto"/>
              </w:rPr>
            </w:pPr>
            <w:r>
              <w:rPr>
                <w:rFonts w:ascii="Arial" w:cs="Arial" w:eastAsia="Arial" w:hAnsi="Arial"/>
                <w:sz w:val="12"/>
                <w:szCs w:val="12"/>
                <w:color w:val="auto"/>
              </w:rPr>
              <w:t>$</w:t>
            </w:r>
          </w:p>
        </w:tc>
        <w:tc>
          <w:tcPr>
            <w:tcW w:w="1780" w:type="dxa"/>
            <w:vAlign w:val="bottom"/>
          </w:tcPr>
          <w:p>
            <w:pPr>
              <w:jc w:val="center"/>
              <w:ind w:left="1240"/>
              <w:spacing w:after="0" w:line="134" w:lineRule="exact"/>
              <w:rPr>
                <w:sz w:val="20"/>
                <w:szCs w:val="20"/>
                <w:color w:val="auto"/>
              </w:rPr>
            </w:pPr>
            <w:r>
              <w:rPr>
                <w:rFonts w:ascii="Arial" w:cs="Arial" w:eastAsia="Arial" w:hAnsi="Arial"/>
                <w:sz w:val="12"/>
                <w:szCs w:val="12"/>
                <w:color w:val="auto"/>
              </w:rPr>
              <w:t>1</w:t>
            </w:r>
          </w:p>
        </w:tc>
        <w:tc>
          <w:tcPr>
            <w:tcW w:w="740" w:type="dxa"/>
            <w:vAlign w:val="bottom"/>
          </w:tcPr>
          <w:p>
            <w:pPr>
              <w:jc w:val="right"/>
              <w:ind w:right="438"/>
              <w:spacing w:after="0" w:line="134" w:lineRule="exact"/>
              <w:rPr>
                <w:sz w:val="20"/>
                <w:szCs w:val="20"/>
                <w:color w:val="auto"/>
              </w:rPr>
            </w:pPr>
            <w:r>
              <w:rPr>
                <w:rFonts w:ascii="Arial" w:cs="Arial" w:eastAsia="Arial" w:hAnsi="Arial"/>
                <w:sz w:val="12"/>
                <w:szCs w:val="12"/>
                <w:color w:val="auto"/>
              </w:rPr>
              <w:t>$</w:t>
            </w:r>
          </w:p>
        </w:tc>
        <w:tc>
          <w:tcPr>
            <w:tcW w:w="142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c>
          <w:tcPr>
            <w:tcW w:w="2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2640" w:type="dxa"/>
            <w:vAlign w:val="bottom"/>
          </w:tcPr>
          <w:p>
            <w:pPr>
              <w:ind w:left="120"/>
              <w:spacing w:after="0"/>
              <w:rPr>
                <w:sz w:val="20"/>
                <w:szCs w:val="20"/>
                <w:color w:val="auto"/>
              </w:rPr>
            </w:pPr>
            <w:r>
              <w:rPr>
                <w:rFonts w:ascii="Arial" w:cs="Arial" w:eastAsia="Arial" w:hAnsi="Arial"/>
                <w:sz w:val="12"/>
                <w:szCs w:val="12"/>
                <w:color w:val="auto"/>
              </w:rPr>
              <w:t>Interest rate instrument</w:t>
            </w:r>
          </w:p>
        </w:tc>
        <w:tc>
          <w:tcPr>
            <w:tcW w:w="4160" w:type="dxa"/>
            <w:vAlign w:val="bottom"/>
          </w:tcPr>
          <w:p>
            <w:pPr>
              <w:ind w:left="880"/>
              <w:spacing w:after="0"/>
              <w:rPr>
                <w:sz w:val="20"/>
                <w:szCs w:val="20"/>
                <w:color w:val="auto"/>
              </w:rPr>
            </w:pPr>
            <w:r>
              <w:rPr>
                <w:rFonts w:ascii="Arial" w:cs="Arial" w:eastAsia="Arial" w:hAnsi="Arial"/>
                <w:sz w:val="12"/>
                <w:szCs w:val="12"/>
                <w:color w:val="auto"/>
              </w:rPr>
              <w:t>Other Income, Net</w:t>
            </w:r>
          </w:p>
        </w:tc>
        <w:tc>
          <w:tcPr>
            <w:tcW w:w="700" w:type="dxa"/>
            <w:vAlign w:val="bottom"/>
          </w:tcPr>
          <w:p>
            <w:pPr>
              <w:spacing w:after="0"/>
              <w:rPr>
                <w:sz w:val="12"/>
                <w:szCs w:val="12"/>
                <w:color w:val="auto"/>
              </w:rPr>
            </w:pPr>
          </w:p>
        </w:tc>
        <w:tc>
          <w:tcPr>
            <w:tcW w:w="1780" w:type="dxa"/>
            <w:vAlign w:val="bottom"/>
          </w:tcPr>
          <w:p>
            <w:pPr>
              <w:jc w:val="center"/>
              <w:ind w:left="1220"/>
              <w:spacing w:after="0"/>
              <w:rPr>
                <w:sz w:val="20"/>
                <w:szCs w:val="20"/>
                <w:color w:val="auto"/>
              </w:rPr>
            </w:pPr>
            <w:r>
              <w:rPr>
                <w:rFonts w:ascii="Arial" w:cs="Arial" w:eastAsia="Arial" w:hAnsi="Arial"/>
                <w:sz w:val="12"/>
                <w:szCs w:val="12"/>
                <w:color w:val="auto"/>
                <w:w w:val="95"/>
              </w:rPr>
              <w:t>(3)</w:t>
            </w:r>
          </w:p>
        </w:tc>
        <w:tc>
          <w:tcPr>
            <w:tcW w:w="740" w:type="dxa"/>
            <w:vAlign w:val="bottom"/>
          </w:tcPr>
          <w:p>
            <w:pPr>
              <w:spacing w:after="0"/>
              <w:rPr>
                <w:sz w:val="12"/>
                <w:szCs w:val="12"/>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2"/>
                <w:szCs w:val="12"/>
                <w:color w:val="auto"/>
              </w:rPr>
              <w:t>(2)</w:t>
            </w:r>
          </w:p>
        </w:tc>
      </w:tr>
      <w:tr>
        <w:trPr>
          <w:trHeight w:val="148"/>
        </w:trPr>
        <w:tc>
          <w:tcPr>
            <w:tcW w:w="20" w:type="dxa"/>
            <w:vAlign w:val="bottom"/>
          </w:tcPr>
          <w:p>
            <w:pPr>
              <w:spacing w:after="0"/>
              <w:rPr>
                <w:sz w:val="12"/>
                <w:szCs w:val="12"/>
                <w:color w:val="auto"/>
              </w:rPr>
            </w:pPr>
          </w:p>
        </w:tc>
        <w:tc>
          <w:tcPr>
            <w:tcW w:w="2640" w:type="dxa"/>
            <w:vAlign w:val="bottom"/>
          </w:tcPr>
          <w:p>
            <w:pPr>
              <w:ind w:left="120"/>
              <w:spacing w:after="0"/>
              <w:rPr>
                <w:sz w:val="20"/>
                <w:szCs w:val="20"/>
                <w:color w:val="auto"/>
              </w:rPr>
            </w:pPr>
            <w:r>
              <w:rPr>
                <w:rFonts w:ascii="Arial" w:cs="Arial" w:eastAsia="Arial" w:hAnsi="Arial"/>
                <w:sz w:val="12"/>
                <w:szCs w:val="12"/>
                <w:color w:val="auto"/>
              </w:rPr>
              <w:t>Total(1)</w:t>
            </w:r>
          </w:p>
        </w:tc>
        <w:tc>
          <w:tcPr>
            <w:tcW w:w="4160" w:type="dxa"/>
            <w:vAlign w:val="bottom"/>
          </w:tcPr>
          <w:p>
            <w:pPr>
              <w:spacing w:after="0"/>
              <w:rPr>
                <w:sz w:val="12"/>
                <w:szCs w:val="12"/>
                <w:color w:val="auto"/>
              </w:rPr>
            </w:pPr>
          </w:p>
        </w:tc>
        <w:tc>
          <w:tcPr>
            <w:tcW w:w="700" w:type="dxa"/>
            <w:vAlign w:val="bottom"/>
            <w:tcBorders>
              <w:top w:val="single" w:sz="8" w:color="auto"/>
            </w:tcBorders>
          </w:tcPr>
          <w:p>
            <w:pPr>
              <w:jc w:val="right"/>
              <w:ind w:right="238"/>
              <w:spacing w:after="0"/>
              <w:rPr>
                <w:sz w:val="20"/>
                <w:szCs w:val="20"/>
                <w:color w:val="auto"/>
              </w:rPr>
            </w:pPr>
            <w:r>
              <w:rPr>
                <w:rFonts w:ascii="Arial" w:cs="Arial" w:eastAsia="Arial" w:hAnsi="Arial"/>
                <w:sz w:val="12"/>
                <w:szCs w:val="12"/>
                <w:color w:val="auto"/>
              </w:rPr>
              <w:t>$</w:t>
            </w:r>
          </w:p>
        </w:tc>
        <w:tc>
          <w:tcPr>
            <w:tcW w:w="1780" w:type="dxa"/>
            <w:vAlign w:val="bottom"/>
            <w:tcBorders>
              <w:top w:val="single" w:sz="8" w:color="auto"/>
            </w:tcBorders>
          </w:tcPr>
          <w:p>
            <w:pPr>
              <w:jc w:val="center"/>
              <w:ind w:left="1220"/>
              <w:spacing w:after="0"/>
              <w:rPr>
                <w:sz w:val="20"/>
                <w:szCs w:val="20"/>
                <w:color w:val="auto"/>
              </w:rPr>
            </w:pPr>
            <w:r>
              <w:rPr>
                <w:rFonts w:ascii="Arial" w:cs="Arial" w:eastAsia="Arial" w:hAnsi="Arial"/>
                <w:sz w:val="12"/>
                <w:szCs w:val="12"/>
                <w:color w:val="auto"/>
                <w:w w:val="95"/>
              </w:rPr>
              <w:t>(2)</w:t>
            </w:r>
          </w:p>
        </w:tc>
        <w:tc>
          <w:tcPr>
            <w:tcW w:w="740" w:type="dxa"/>
            <w:vAlign w:val="bottom"/>
            <w:tcBorders>
              <w:top w:val="single" w:sz="8" w:color="auto"/>
            </w:tcBorders>
          </w:tcPr>
          <w:p>
            <w:pPr>
              <w:jc w:val="right"/>
              <w:ind w:right="438"/>
              <w:spacing w:after="0"/>
              <w:rPr>
                <w:sz w:val="20"/>
                <w:szCs w:val="20"/>
                <w:color w:val="auto"/>
              </w:rPr>
            </w:pPr>
            <w:r>
              <w:rPr>
                <w:rFonts w:ascii="Arial" w:cs="Arial" w:eastAsia="Arial" w:hAnsi="Arial"/>
                <w:sz w:val="12"/>
                <w:szCs w:val="12"/>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279005" cy="13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ind w:left="540" w:hanging="537"/>
        <w:spacing w:after="0"/>
        <w:tabs>
          <w:tab w:leader="none" w:pos="540" w:val="left"/>
        </w:tabs>
        <w:numPr>
          <w:ilvl w:val="0"/>
          <w:numId w:val="16"/>
        </w:numPr>
        <w:rPr>
          <w:rFonts w:ascii="Arial" w:cs="Arial" w:eastAsia="Arial" w:hAnsi="Arial"/>
          <w:sz w:val="11"/>
          <w:szCs w:val="11"/>
          <w:i w:val="1"/>
          <w:iCs w:val="1"/>
          <w:color w:val="auto"/>
        </w:rPr>
      </w:pPr>
      <w:r>
        <w:rPr>
          <w:rFonts w:ascii="Arial" w:cs="Arial" w:eastAsia="Arial" w:hAnsi="Arial"/>
          <w:sz w:val="11"/>
          <w:szCs w:val="11"/>
          <w:i w:val="1"/>
          <w:iCs w:val="1"/>
          <w:color w:val="auto"/>
        </w:rPr>
        <w:t>There has been no hedge ineffectiveness on these swaps. Changes in the fair values of the interest rate swap agreements are exactly offset by changes in the fair value of the underlying long-term debt.</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FLOW HEDGE IMPACT ON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6"/>
        </w:trPr>
        <w:tc>
          <w:tcPr>
            <w:tcW w:w="2860" w:type="dxa"/>
            <w:vAlign w:val="bottom"/>
            <w:gridSpan w:val="2"/>
          </w:tcPr>
          <w:p>
            <w:pPr>
              <w:spacing w:after="0"/>
              <w:rPr>
                <w:sz w:val="20"/>
                <w:szCs w:val="20"/>
                <w:color w:val="auto"/>
              </w:rPr>
            </w:pPr>
            <w:r>
              <w:rPr>
                <w:rFonts w:ascii="Arial" w:cs="Arial" w:eastAsia="Arial" w:hAnsi="Arial"/>
                <w:sz w:val="11"/>
                <w:szCs w:val="11"/>
                <w:i w:val="1"/>
                <w:iCs w:val="1"/>
                <w:color w:val="auto"/>
              </w:rPr>
              <w:t>(Dollars in millions)</w:t>
            </w:r>
          </w:p>
        </w:tc>
        <w:tc>
          <w:tcPr>
            <w:tcW w:w="2280" w:type="dxa"/>
            <w:vAlign w:val="bottom"/>
            <w:gridSpan w:val="3"/>
            <w:vMerge w:val="restart"/>
          </w:tcPr>
          <w:p>
            <w:pPr>
              <w:jc w:val="center"/>
              <w:ind w:left="285"/>
              <w:spacing w:after="0"/>
              <w:rPr>
                <w:sz w:val="20"/>
                <w:szCs w:val="20"/>
                <w:color w:val="auto"/>
              </w:rPr>
            </w:pPr>
            <w:r>
              <w:rPr>
                <w:rFonts w:ascii="Arial" w:cs="Arial" w:eastAsia="Arial" w:hAnsi="Arial"/>
                <w:sz w:val="11"/>
                <w:szCs w:val="11"/>
                <w:color w:val="auto"/>
                <w:w w:val="99"/>
              </w:rPr>
              <w:t>Pretax gain (loss) recognized</w:t>
            </w:r>
          </w:p>
        </w:tc>
        <w:tc>
          <w:tcPr>
            <w:tcW w:w="34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shd w:val="clear" w:color="auto" w:fill="C0C0C0"/>
          </w:tcPr>
          <w:p>
            <w:pPr>
              <w:spacing w:after="0"/>
              <w:rPr>
                <w:sz w:val="10"/>
                <w:szCs w:val="10"/>
                <w:color w:val="auto"/>
              </w:rPr>
            </w:pPr>
          </w:p>
        </w:tc>
        <w:tc>
          <w:tcPr>
            <w:tcW w:w="960" w:type="dxa"/>
            <w:vAlign w:val="bottom"/>
            <w:shd w:val="clear" w:color="auto" w:fill="C0C0C0"/>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28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0" w:type="dxa"/>
            <w:vAlign w:val="bottom"/>
            <w:gridSpan w:val="3"/>
          </w:tcPr>
          <w:p>
            <w:pPr>
              <w:jc w:val="center"/>
              <w:ind w:right="405"/>
              <w:spacing w:after="0"/>
              <w:rPr>
                <w:sz w:val="20"/>
                <w:szCs w:val="20"/>
                <w:color w:val="auto"/>
              </w:rPr>
            </w:pPr>
            <w:r>
              <w:rPr>
                <w:rFonts w:ascii="Arial" w:cs="Arial" w:eastAsia="Arial" w:hAnsi="Arial"/>
                <w:sz w:val="11"/>
                <w:szCs w:val="11"/>
                <w:color w:val="auto"/>
                <w:w w:val="99"/>
              </w:rPr>
              <w:t>Gain (loss) reclassified from AOCI</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280" w:type="dxa"/>
            <w:vAlign w:val="bottom"/>
            <w:tcBorders>
              <w:bottom w:val="single" w:sz="8" w:color="auto"/>
            </w:tcBorders>
            <w:gridSpan w:val="3"/>
          </w:tcPr>
          <w:p>
            <w:pPr>
              <w:jc w:val="center"/>
              <w:ind w:left="285"/>
              <w:spacing w:after="0" w:line="121" w:lineRule="exact"/>
              <w:rPr>
                <w:sz w:val="20"/>
                <w:szCs w:val="20"/>
                <w:color w:val="auto"/>
              </w:rPr>
            </w:pPr>
            <w:r>
              <w:rPr>
                <w:rFonts w:ascii="Arial" w:cs="Arial" w:eastAsia="Arial" w:hAnsi="Arial"/>
                <w:sz w:val="11"/>
                <w:szCs w:val="11"/>
                <w:color w:val="auto"/>
                <w:w w:val="98"/>
              </w:rPr>
              <w:t>in OCI (effective portion)</w:t>
            </w:r>
          </w:p>
        </w:tc>
        <w:tc>
          <w:tcPr>
            <w:tcW w:w="340" w:type="dxa"/>
            <w:vAlign w:val="bottom"/>
            <w:tcBorders>
              <w:bottom w:val="single" w:sz="8" w:color="auto"/>
            </w:tcBorders>
          </w:tcPr>
          <w:p>
            <w:pPr>
              <w:spacing w:after="0"/>
              <w:rPr>
                <w:sz w:val="10"/>
                <w:szCs w:val="10"/>
                <w:color w:val="auto"/>
              </w:rPr>
            </w:pPr>
          </w:p>
        </w:tc>
        <w:tc>
          <w:tcPr>
            <w:tcW w:w="312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gridSpan w:val="3"/>
          </w:tcPr>
          <w:p>
            <w:pPr>
              <w:jc w:val="center"/>
              <w:ind w:right="405"/>
              <w:spacing w:after="0" w:line="121" w:lineRule="exact"/>
              <w:rPr>
                <w:sz w:val="20"/>
                <w:szCs w:val="20"/>
                <w:color w:val="auto"/>
              </w:rPr>
            </w:pPr>
            <w:r>
              <w:rPr>
                <w:rFonts w:ascii="Arial" w:cs="Arial" w:eastAsia="Arial" w:hAnsi="Arial"/>
                <w:sz w:val="11"/>
                <w:szCs w:val="11"/>
                <w:color w:val="auto"/>
                <w:w w:val="99"/>
              </w:rPr>
              <w:t>into earnings (effective portion)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280" w:type="dxa"/>
            <w:vAlign w:val="bottom"/>
            <w:tcBorders>
              <w:bottom w:val="single" w:sz="8" w:color="auto"/>
            </w:tcBorders>
            <w:gridSpan w:val="3"/>
          </w:tcPr>
          <w:p>
            <w:pPr>
              <w:jc w:val="center"/>
              <w:ind w:left="285"/>
              <w:spacing w:after="0" w:line="124" w:lineRule="exact"/>
              <w:rPr>
                <w:sz w:val="20"/>
                <w:szCs w:val="20"/>
                <w:color w:val="auto"/>
              </w:rPr>
            </w:pPr>
            <w:r>
              <w:rPr>
                <w:rFonts w:ascii="Arial" w:cs="Arial" w:eastAsia="Arial" w:hAnsi="Arial"/>
                <w:sz w:val="11"/>
                <w:szCs w:val="11"/>
                <w:color w:val="auto"/>
              </w:rPr>
              <w:t>Three months ended March 31,</w:t>
            </w:r>
          </w:p>
        </w:tc>
        <w:tc>
          <w:tcPr>
            <w:tcW w:w="340" w:type="dxa"/>
            <w:vAlign w:val="bottom"/>
            <w:tcBorders>
              <w:bottom w:val="single" w:sz="8" w:color="auto"/>
            </w:tcBorders>
          </w:tcPr>
          <w:p>
            <w:pPr>
              <w:spacing w:after="0"/>
              <w:rPr>
                <w:sz w:val="10"/>
                <w:szCs w:val="10"/>
                <w:color w:val="auto"/>
              </w:rPr>
            </w:pPr>
          </w:p>
        </w:tc>
        <w:tc>
          <w:tcPr>
            <w:tcW w:w="312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gridSpan w:val="3"/>
          </w:tcPr>
          <w:p>
            <w:pPr>
              <w:jc w:val="center"/>
              <w:ind w:right="405"/>
              <w:spacing w:after="0" w:line="124" w:lineRule="exact"/>
              <w:rPr>
                <w:sz w:val="20"/>
                <w:szCs w:val="20"/>
                <w:color w:val="auto"/>
              </w:rPr>
            </w:pPr>
            <w:r>
              <w:rPr>
                <w:rFonts w:ascii="Arial" w:cs="Arial" w:eastAsia="Arial" w:hAnsi="Arial"/>
                <w:sz w:val="11"/>
                <w:szCs w:val="11"/>
                <w:color w:val="auto"/>
              </w:rPr>
              <w:t>Three months ended March 31,</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145"/>
              <w:spacing w:after="0" w:line="124" w:lineRule="exact"/>
              <w:rPr>
                <w:sz w:val="20"/>
                <w:szCs w:val="20"/>
                <w:color w:val="auto"/>
              </w:rPr>
            </w:pPr>
            <w:r>
              <w:rPr>
                <w:rFonts w:ascii="Arial" w:cs="Arial" w:eastAsia="Arial" w:hAnsi="Arial"/>
                <w:sz w:val="11"/>
                <w:szCs w:val="11"/>
                <w:color w:val="auto"/>
              </w:rPr>
              <w:t>2011</w:t>
            </w:r>
          </w:p>
        </w:tc>
        <w:tc>
          <w:tcPr>
            <w:tcW w:w="4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165"/>
              <w:spacing w:after="0" w:line="124" w:lineRule="exact"/>
              <w:rPr>
                <w:sz w:val="20"/>
                <w:szCs w:val="20"/>
                <w:color w:val="auto"/>
              </w:rPr>
            </w:pPr>
            <w:r>
              <w:rPr>
                <w:rFonts w:ascii="Arial" w:cs="Arial" w:eastAsia="Arial" w:hAnsi="Arial"/>
                <w:sz w:val="11"/>
                <w:szCs w:val="11"/>
                <w:color w:val="auto"/>
              </w:rPr>
              <w:t>2010</w:t>
            </w:r>
          </w:p>
        </w:tc>
        <w:tc>
          <w:tcPr>
            <w:tcW w:w="34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tcPr>
          <w:p>
            <w:pPr>
              <w:ind w:left="1460"/>
              <w:spacing w:after="0" w:line="124" w:lineRule="exact"/>
              <w:rPr>
                <w:sz w:val="20"/>
                <w:szCs w:val="20"/>
                <w:color w:val="auto"/>
              </w:rPr>
            </w:pPr>
            <w:r>
              <w:rPr>
                <w:rFonts w:ascii="Arial" w:cs="Arial" w:eastAsia="Arial" w:hAnsi="Arial"/>
                <w:sz w:val="11"/>
                <w:szCs w:val="11"/>
                <w:color w:val="auto"/>
              </w:rPr>
              <w:t>Location</w:t>
            </w:r>
          </w:p>
        </w:tc>
        <w:tc>
          <w:tcPr>
            <w:tcW w:w="4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ind w:left="100"/>
              <w:spacing w:after="0" w:line="124" w:lineRule="exact"/>
              <w:rPr>
                <w:sz w:val="20"/>
                <w:szCs w:val="20"/>
                <w:color w:val="auto"/>
              </w:rPr>
            </w:pPr>
            <w:r>
              <w:rPr>
                <w:rFonts w:ascii="Arial" w:cs="Arial" w:eastAsia="Arial" w:hAnsi="Arial"/>
                <w:sz w:val="11"/>
                <w:szCs w:val="11"/>
                <w:color w:val="auto"/>
              </w:rPr>
              <w:t>2011</w:t>
            </w:r>
          </w:p>
        </w:tc>
        <w:tc>
          <w:tcPr>
            <w:tcW w:w="4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ind w:left="100"/>
              <w:spacing w:after="0" w:line="124" w:lineRule="exact"/>
              <w:rPr>
                <w:sz w:val="20"/>
                <w:szCs w:val="20"/>
                <w:color w:val="auto"/>
              </w:rPr>
            </w:pPr>
            <w:r>
              <w:rPr>
                <w:rFonts w:ascii="Arial" w:cs="Arial" w:eastAsia="Arial" w:hAnsi="Arial"/>
                <w:sz w:val="11"/>
                <w:szCs w:val="11"/>
                <w:color w:val="auto"/>
              </w:rPr>
              <w:t>2010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40" w:type="dxa"/>
            <w:vAlign w:val="bottom"/>
          </w:tcPr>
          <w:p>
            <w:pPr>
              <w:spacing w:after="0"/>
              <w:rPr>
                <w:sz w:val="20"/>
                <w:szCs w:val="20"/>
                <w:color w:val="auto"/>
              </w:rPr>
            </w:pPr>
            <w:r>
              <w:rPr>
                <w:rFonts w:ascii="Arial" w:cs="Arial" w:eastAsia="Arial" w:hAnsi="Arial"/>
                <w:sz w:val="11"/>
                <w:szCs w:val="11"/>
                <w:b w:val="1"/>
                <w:bCs w:val="1"/>
                <w:color w:val="auto"/>
              </w:rPr>
              <w:t>Sempra Energy Consolidated:</w:t>
            </w: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840" w:type="dxa"/>
            <w:vAlign w:val="bottom"/>
          </w:tcPr>
          <w:p>
            <w:pPr>
              <w:ind w:left="100"/>
              <w:spacing w:after="0" w:line="124" w:lineRule="exact"/>
              <w:rPr>
                <w:sz w:val="20"/>
                <w:szCs w:val="20"/>
                <w:color w:val="auto"/>
              </w:rPr>
            </w:pPr>
            <w:r>
              <w:rPr>
                <w:rFonts w:ascii="Arial" w:cs="Arial" w:eastAsia="Arial" w:hAnsi="Arial"/>
                <w:sz w:val="11"/>
                <w:szCs w:val="11"/>
                <w:color w:val="auto"/>
              </w:rPr>
              <w:t>Interest rate instruments(1)</w:t>
            </w:r>
          </w:p>
        </w:tc>
        <w:tc>
          <w:tcPr>
            <w:tcW w:w="960" w:type="dxa"/>
            <w:vAlign w:val="bottom"/>
          </w:tcPr>
          <w:p>
            <w:pPr>
              <w:jc w:val="right"/>
              <w:ind w:right="545"/>
              <w:spacing w:after="0" w:line="124" w:lineRule="exact"/>
              <w:rPr>
                <w:sz w:val="20"/>
                <w:szCs w:val="20"/>
                <w:color w:val="auto"/>
              </w:rPr>
            </w:pPr>
            <w:r>
              <w:rPr>
                <w:rFonts w:ascii="Arial" w:cs="Arial" w:eastAsia="Arial" w:hAnsi="Arial"/>
                <w:sz w:val="11"/>
                <w:szCs w:val="11"/>
                <w:color w:val="auto"/>
              </w:rPr>
              <w:t>$</w:t>
            </w:r>
          </w:p>
        </w:tc>
        <w:tc>
          <w:tcPr>
            <w:tcW w:w="480" w:type="dxa"/>
            <w:vAlign w:val="bottom"/>
          </w:tcPr>
          <w:p>
            <w:pPr>
              <w:jc w:val="right"/>
              <w:ind w:right="105"/>
              <w:spacing w:after="0" w:line="124" w:lineRule="exact"/>
              <w:rPr>
                <w:sz w:val="20"/>
                <w:szCs w:val="20"/>
                <w:color w:val="auto"/>
              </w:rPr>
            </w:pPr>
            <w:r>
              <w:rPr>
                <w:rFonts w:ascii="Arial" w:cs="Arial" w:eastAsia="Arial" w:hAnsi="Arial"/>
                <w:sz w:val="11"/>
                <w:szCs w:val="11"/>
                <w:color w:val="auto"/>
              </w:rPr>
              <w:t>―</w:t>
            </w:r>
          </w:p>
        </w:tc>
        <w:tc>
          <w:tcPr>
            <w:tcW w:w="840" w:type="dxa"/>
            <w:vAlign w:val="bottom"/>
          </w:tcPr>
          <w:p>
            <w:pPr>
              <w:jc w:val="right"/>
              <w:ind w:right="565"/>
              <w:spacing w:after="0" w:line="124" w:lineRule="exact"/>
              <w:rPr>
                <w:sz w:val="20"/>
                <w:szCs w:val="20"/>
                <w:color w:val="auto"/>
              </w:rPr>
            </w:pPr>
            <w:r>
              <w:rPr>
                <w:rFonts w:ascii="Arial" w:cs="Arial" w:eastAsia="Arial" w:hAnsi="Arial"/>
                <w:sz w:val="11"/>
                <w:szCs w:val="11"/>
                <w:color w:val="auto"/>
              </w:rPr>
              <w:t>$</w:t>
            </w:r>
          </w:p>
        </w:tc>
        <w:tc>
          <w:tcPr>
            <w:tcW w:w="3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3120" w:type="dxa"/>
            <w:vAlign w:val="bottom"/>
          </w:tcPr>
          <w:p>
            <w:pPr>
              <w:ind w:left="220"/>
              <w:spacing w:after="0" w:line="124" w:lineRule="exact"/>
              <w:rPr>
                <w:sz w:val="20"/>
                <w:szCs w:val="20"/>
                <w:color w:val="auto"/>
              </w:rPr>
            </w:pPr>
            <w:r>
              <w:rPr>
                <w:rFonts w:ascii="Arial" w:cs="Arial" w:eastAsia="Arial" w:hAnsi="Arial"/>
                <w:sz w:val="11"/>
                <w:szCs w:val="11"/>
                <w:color w:val="auto"/>
              </w:rPr>
              <w:t>Interest Expense</w:t>
            </w:r>
          </w:p>
        </w:tc>
        <w:tc>
          <w:tcPr>
            <w:tcW w:w="460" w:type="dxa"/>
            <w:vAlign w:val="bottom"/>
          </w:tcPr>
          <w:p>
            <w:pPr>
              <w:jc w:val="right"/>
              <w:ind w:right="65"/>
              <w:spacing w:after="0" w:line="124" w:lineRule="exact"/>
              <w:rPr>
                <w:sz w:val="20"/>
                <w:szCs w:val="20"/>
                <w:color w:val="auto"/>
              </w:rPr>
            </w:pPr>
            <w:r>
              <w:rPr>
                <w:rFonts w:ascii="Arial" w:cs="Arial" w:eastAsia="Arial" w:hAnsi="Arial"/>
                <w:sz w:val="11"/>
                <w:szCs w:val="11"/>
                <w:color w:val="auto"/>
              </w:rPr>
              <w:t>$</w:t>
            </w:r>
          </w:p>
        </w:tc>
        <w:tc>
          <w:tcPr>
            <w:tcW w:w="960" w:type="dxa"/>
            <w:vAlign w:val="bottom"/>
          </w:tcPr>
          <w:p>
            <w:pPr>
              <w:ind w:left="820"/>
              <w:spacing w:after="0" w:line="124" w:lineRule="exact"/>
              <w:rPr>
                <w:sz w:val="20"/>
                <w:szCs w:val="20"/>
                <w:color w:val="auto"/>
              </w:rPr>
            </w:pPr>
            <w:r>
              <w:rPr>
                <w:rFonts w:ascii="Arial" w:cs="Arial" w:eastAsia="Arial" w:hAnsi="Arial"/>
                <w:sz w:val="11"/>
                <w:szCs w:val="11"/>
                <w:color w:val="auto"/>
                <w:w w:val="88"/>
              </w:rPr>
              <w:t>(2)</w:t>
            </w:r>
          </w:p>
        </w:tc>
        <w:tc>
          <w:tcPr>
            <w:tcW w:w="480" w:type="dxa"/>
            <w:vAlign w:val="bottom"/>
          </w:tcPr>
          <w:p>
            <w:pPr>
              <w:jc w:val="right"/>
              <w:ind w:right="65"/>
              <w:spacing w:after="0" w:line="124" w:lineRule="exact"/>
              <w:rPr>
                <w:sz w:val="20"/>
                <w:szCs w:val="20"/>
                <w:color w:val="auto"/>
              </w:rPr>
            </w:pPr>
            <w:r>
              <w:rPr>
                <w:rFonts w:ascii="Arial" w:cs="Arial" w:eastAsia="Arial" w:hAnsi="Arial"/>
                <w:sz w:val="11"/>
                <w:szCs w:val="11"/>
                <w:color w:val="auto"/>
              </w:rPr>
              <w:t>$</w:t>
            </w:r>
          </w:p>
        </w:tc>
        <w:tc>
          <w:tcPr>
            <w:tcW w:w="960" w:type="dxa"/>
            <w:vAlign w:val="bottom"/>
          </w:tcPr>
          <w:p>
            <w:pPr>
              <w:ind w:left="840"/>
              <w:spacing w:after="0" w:line="124" w:lineRule="exact"/>
              <w:rPr>
                <w:sz w:val="20"/>
                <w:szCs w:val="20"/>
                <w:color w:val="auto"/>
              </w:rPr>
            </w:pPr>
            <w:r>
              <w:rPr>
                <w:rFonts w:ascii="Arial" w:cs="Arial" w:eastAsia="Arial" w:hAnsi="Arial"/>
                <w:sz w:val="11"/>
                <w:szCs w:val="11"/>
                <w:color w:val="auto"/>
                <w:w w:val="74"/>
              </w:rPr>
              <w:t>(3)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40" w:type="dxa"/>
            <w:vAlign w:val="bottom"/>
          </w:tcPr>
          <w:p>
            <w:pPr>
              <w:ind w:left="100"/>
              <w:spacing w:after="0"/>
              <w:rPr>
                <w:sz w:val="20"/>
                <w:szCs w:val="20"/>
                <w:color w:val="auto"/>
              </w:rPr>
            </w:pPr>
            <w:r>
              <w:rPr>
                <w:rFonts w:ascii="Arial" w:cs="Arial" w:eastAsia="Arial" w:hAnsi="Arial"/>
                <w:sz w:val="11"/>
                <w:szCs w:val="11"/>
                <w:color w:val="auto"/>
              </w:rPr>
              <w:t>Interest rate instruments</w:t>
            </w:r>
          </w:p>
        </w:tc>
        <w:tc>
          <w:tcPr>
            <w:tcW w:w="960" w:type="dxa"/>
            <w:vAlign w:val="bottom"/>
          </w:tcPr>
          <w:p>
            <w:pPr>
              <w:spacing w:after="0"/>
              <w:rPr>
                <w:sz w:val="11"/>
                <w:szCs w:val="11"/>
                <w:color w:val="auto"/>
              </w:rPr>
            </w:pPr>
          </w:p>
        </w:tc>
        <w:tc>
          <w:tcPr>
            <w:tcW w:w="480" w:type="dxa"/>
            <w:vAlign w:val="bottom"/>
          </w:tcPr>
          <w:p>
            <w:pPr>
              <w:jc w:val="right"/>
              <w:ind w:right="105"/>
              <w:spacing w:after="0"/>
              <w:rPr>
                <w:sz w:val="20"/>
                <w:szCs w:val="20"/>
                <w:color w:val="auto"/>
              </w:rPr>
            </w:pPr>
            <w:r>
              <w:rPr>
                <w:rFonts w:ascii="Arial" w:cs="Arial" w:eastAsia="Arial" w:hAnsi="Arial"/>
                <w:sz w:val="11"/>
                <w:szCs w:val="11"/>
                <w:color w:val="auto"/>
              </w:rPr>
              <w:t>1</w:t>
            </w:r>
          </w:p>
        </w:tc>
        <w:tc>
          <w:tcPr>
            <w:tcW w:w="8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3120" w:type="dxa"/>
            <w:vAlign w:val="bottom"/>
          </w:tcPr>
          <w:p>
            <w:pPr>
              <w:ind w:left="220"/>
              <w:spacing w:after="0"/>
              <w:rPr>
                <w:sz w:val="20"/>
                <w:szCs w:val="20"/>
                <w:color w:val="auto"/>
              </w:rPr>
            </w:pPr>
            <w:r>
              <w:rPr>
                <w:rFonts w:ascii="Arial" w:cs="Arial" w:eastAsia="Arial" w:hAnsi="Arial"/>
                <w:sz w:val="11"/>
                <w:szCs w:val="11"/>
                <w:color w:val="auto"/>
              </w:rPr>
              <w:t>Equity Earnings, Net of Income Tax</w:t>
            </w:r>
          </w:p>
        </w:tc>
        <w:tc>
          <w:tcPr>
            <w:tcW w:w="460" w:type="dxa"/>
            <w:vAlign w:val="bottom"/>
          </w:tcPr>
          <w:p>
            <w:pPr>
              <w:spacing w:after="0"/>
              <w:rPr>
                <w:sz w:val="11"/>
                <w:szCs w:val="11"/>
                <w:color w:val="auto"/>
              </w:rPr>
            </w:pPr>
          </w:p>
        </w:tc>
        <w:tc>
          <w:tcPr>
            <w:tcW w:w="960" w:type="dxa"/>
            <w:vAlign w:val="bottom"/>
          </w:tcPr>
          <w:p>
            <w:pPr>
              <w:ind w:left="820"/>
              <w:spacing w:after="0"/>
              <w:rPr>
                <w:sz w:val="20"/>
                <w:szCs w:val="20"/>
                <w:color w:val="auto"/>
              </w:rPr>
            </w:pPr>
            <w:r>
              <w:rPr>
                <w:rFonts w:ascii="Arial" w:cs="Arial" w:eastAsia="Arial" w:hAnsi="Arial"/>
                <w:sz w:val="11"/>
                <w:szCs w:val="11"/>
                <w:color w:val="auto"/>
                <w:w w:val="88"/>
              </w:rPr>
              <w:t>(1)</w:t>
            </w:r>
          </w:p>
        </w:tc>
        <w:tc>
          <w:tcPr>
            <w:tcW w:w="480" w:type="dxa"/>
            <w:vAlign w:val="bottom"/>
          </w:tcPr>
          <w:p>
            <w:pPr>
              <w:spacing w:after="0"/>
              <w:rPr>
                <w:sz w:val="11"/>
                <w:szCs w:val="11"/>
                <w:color w:val="auto"/>
              </w:rPr>
            </w:pPr>
          </w:p>
        </w:tc>
        <w:tc>
          <w:tcPr>
            <w:tcW w:w="960" w:type="dxa"/>
            <w:vAlign w:val="bottom"/>
          </w:tcPr>
          <w:p>
            <w:pPr>
              <w:ind w:left="8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40" w:type="dxa"/>
            <w:vAlign w:val="bottom"/>
          </w:tcPr>
          <w:p>
            <w:pPr>
              <w:ind w:left="100"/>
              <w:spacing w:after="0"/>
              <w:rPr>
                <w:sz w:val="20"/>
                <w:szCs w:val="20"/>
                <w:color w:val="auto"/>
              </w:rPr>
            </w:pPr>
            <w:r>
              <w:rPr>
                <w:rFonts w:ascii="Arial" w:cs="Arial" w:eastAsia="Arial" w:hAnsi="Arial"/>
                <w:sz w:val="11"/>
                <w:szCs w:val="11"/>
                <w:color w:val="auto"/>
              </w:rPr>
              <w:t>Commodity contracts not subject</w:t>
            </w:r>
          </w:p>
        </w:tc>
        <w:tc>
          <w:tcPr>
            <w:tcW w:w="960" w:type="dxa"/>
            <w:vAlign w:val="bottom"/>
          </w:tcPr>
          <w:p>
            <w:pPr>
              <w:spacing w:after="0"/>
              <w:rPr>
                <w:sz w:val="11"/>
                <w:szCs w:val="11"/>
                <w:color w:val="auto"/>
              </w:rPr>
            </w:pPr>
          </w:p>
        </w:tc>
        <w:tc>
          <w:tcPr>
            <w:tcW w:w="480" w:type="dxa"/>
            <w:vAlign w:val="bottom"/>
            <w:vMerge w:val="restart"/>
          </w:tcPr>
          <w:p>
            <w:pPr>
              <w:jc w:val="right"/>
              <w:ind w:right="105"/>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3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vMerge w:val="restart"/>
          </w:tcPr>
          <w:p>
            <w:pPr>
              <w:ind w:left="8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960" w:type="dxa"/>
            <w:vAlign w:val="bottom"/>
            <w:vMerge w:val="restart"/>
          </w:tcPr>
          <w:p>
            <w:pPr>
              <w:ind w:left="880"/>
              <w:spacing w:after="0"/>
              <w:rPr>
                <w:sz w:val="20"/>
                <w:szCs w:val="20"/>
                <w:color w:val="auto"/>
              </w:rPr>
            </w:pPr>
            <w:r>
              <w:rPr>
                <w:rFonts w:ascii="Arial" w:cs="Arial" w:eastAsia="Arial" w:hAnsi="Arial"/>
                <w:sz w:val="11"/>
                <w:szCs w:val="11"/>
                <w:color w:val="auto"/>
                <w:w w:val="97"/>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840" w:type="dxa"/>
            <w:vAlign w:val="bottom"/>
          </w:tcPr>
          <w:p>
            <w:pPr>
              <w:ind w:left="220"/>
              <w:spacing w:after="0" w:line="93" w:lineRule="exact"/>
              <w:rPr>
                <w:sz w:val="20"/>
                <w:szCs w:val="20"/>
                <w:color w:val="auto"/>
              </w:rPr>
            </w:pPr>
            <w:r>
              <w:rPr>
                <w:rFonts w:ascii="Arial" w:cs="Arial" w:eastAsia="Arial" w:hAnsi="Arial"/>
                <w:sz w:val="10"/>
                <w:szCs w:val="10"/>
                <w:color w:val="auto"/>
              </w:rPr>
              <w:t>to rate recovery</w:t>
            </w:r>
          </w:p>
        </w:tc>
        <w:tc>
          <w:tcPr>
            <w:tcW w:w="9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vMerge w:val="continue"/>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vMerge w:val="continue"/>
          </w:tcPr>
          <w:p>
            <w:pPr>
              <w:spacing w:after="0"/>
              <w:rPr>
                <w:sz w:val="9"/>
                <w:szCs w:val="9"/>
                <w:color w:val="auto"/>
              </w:rPr>
            </w:pPr>
          </w:p>
        </w:tc>
        <w:tc>
          <w:tcPr>
            <w:tcW w:w="3120" w:type="dxa"/>
            <w:vAlign w:val="bottom"/>
          </w:tcPr>
          <w:p>
            <w:pPr>
              <w:ind w:left="220"/>
              <w:spacing w:after="0" w:line="93" w:lineRule="exact"/>
              <w:rPr>
                <w:sz w:val="20"/>
                <w:szCs w:val="20"/>
                <w:color w:val="auto"/>
              </w:rPr>
            </w:pPr>
            <w:r>
              <w:rPr>
                <w:rFonts w:ascii="Arial" w:cs="Arial" w:eastAsia="Arial" w:hAnsi="Arial"/>
                <w:sz w:val="10"/>
                <w:szCs w:val="10"/>
                <w:color w:val="auto"/>
              </w:rPr>
              <w:t>Equity Earnings, Before Income Tax</w:t>
            </w:r>
          </w:p>
        </w:tc>
        <w:tc>
          <w:tcPr>
            <w:tcW w:w="4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vMerge w:val="continue"/>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40" w:type="dxa"/>
            <w:vAlign w:val="bottom"/>
            <w:tcBorders>
              <w:bottom w:val="single" w:sz="8" w:color="auto"/>
            </w:tcBorders>
          </w:tcPr>
          <w:p>
            <w:pPr>
              <w:ind w:left="100"/>
              <w:spacing w:after="0" w:line="124" w:lineRule="exact"/>
              <w:rPr>
                <w:sz w:val="20"/>
                <w:szCs w:val="20"/>
                <w:color w:val="auto"/>
              </w:rPr>
            </w:pPr>
            <w:r>
              <w:rPr>
                <w:rFonts w:ascii="Arial" w:cs="Arial" w:eastAsia="Arial" w:hAnsi="Arial"/>
                <w:sz w:val="11"/>
                <w:szCs w:val="11"/>
                <w:color w:val="auto"/>
              </w:rPr>
              <w:t>Total</w:t>
            </w:r>
          </w:p>
        </w:tc>
        <w:tc>
          <w:tcPr>
            <w:tcW w:w="960" w:type="dxa"/>
            <w:vAlign w:val="bottom"/>
            <w:tcBorders>
              <w:bottom w:val="single" w:sz="8" w:color="auto"/>
            </w:tcBorders>
          </w:tcPr>
          <w:p>
            <w:pPr>
              <w:jc w:val="right"/>
              <w:ind w:right="545"/>
              <w:spacing w:after="0" w:line="124" w:lineRule="exact"/>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tcPr>
          <w:p>
            <w:pPr>
              <w:jc w:val="right"/>
              <w:ind w:right="105"/>
              <w:spacing w:after="0" w:line="124" w:lineRule="exact"/>
              <w:rPr>
                <w:sz w:val="20"/>
                <w:szCs w:val="20"/>
                <w:color w:val="auto"/>
              </w:rPr>
            </w:pPr>
            <w:r>
              <w:rPr>
                <w:rFonts w:ascii="Arial" w:cs="Arial" w:eastAsia="Arial" w:hAnsi="Arial"/>
                <w:sz w:val="11"/>
                <w:szCs w:val="11"/>
                <w:color w:val="auto"/>
              </w:rPr>
              <w:t>1</w:t>
            </w:r>
          </w:p>
        </w:tc>
        <w:tc>
          <w:tcPr>
            <w:tcW w:w="840" w:type="dxa"/>
            <w:vAlign w:val="bottom"/>
            <w:tcBorders>
              <w:bottom w:val="single" w:sz="8" w:color="auto"/>
            </w:tcBorders>
          </w:tcPr>
          <w:p>
            <w:pPr>
              <w:jc w:val="right"/>
              <w:ind w:right="565"/>
              <w:spacing w:after="0" w:line="124" w:lineRule="exact"/>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1</w:t>
            </w:r>
          </w:p>
        </w:tc>
        <w:tc>
          <w:tcPr>
            <w:tcW w:w="3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65"/>
              <w:spacing w:after="0" w:line="124" w:lineRule="exact"/>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tcPr>
          <w:p>
            <w:pPr>
              <w:ind w:left="820"/>
              <w:spacing w:after="0" w:line="124" w:lineRule="exact"/>
              <w:rPr>
                <w:sz w:val="20"/>
                <w:szCs w:val="20"/>
                <w:color w:val="auto"/>
              </w:rPr>
            </w:pPr>
            <w:r>
              <w:rPr>
                <w:rFonts w:ascii="Arial" w:cs="Arial" w:eastAsia="Arial" w:hAnsi="Arial"/>
                <w:sz w:val="11"/>
                <w:szCs w:val="11"/>
                <w:color w:val="auto"/>
                <w:w w:val="88"/>
              </w:rPr>
              <w:t>(3)</w:t>
            </w:r>
          </w:p>
        </w:tc>
        <w:tc>
          <w:tcPr>
            <w:tcW w:w="480" w:type="dxa"/>
            <w:vAlign w:val="bottom"/>
            <w:tcBorders>
              <w:bottom w:val="single" w:sz="8" w:color="auto"/>
            </w:tcBorders>
          </w:tcPr>
          <w:p>
            <w:pPr>
              <w:jc w:val="right"/>
              <w:ind w:right="65"/>
              <w:spacing w:after="0" w:line="124" w:lineRule="exact"/>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tcPr>
          <w:p>
            <w:pPr>
              <w:ind w:left="840"/>
              <w:spacing w:after="0" w:line="124" w:lineRule="exact"/>
              <w:rPr>
                <w:sz w:val="20"/>
                <w:szCs w:val="20"/>
                <w:color w:val="auto"/>
              </w:rPr>
            </w:pPr>
            <w:r>
              <w:rPr>
                <w:rFonts w:ascii="Arial" w:cs="Arial" w:eastAsia="Arial" w:hAnsi="Arial"/>
                <w:sz w:val="11"/>
                <w:szCs w:val="11"/>
                <w:color w:val="auto"/>
                <w:w w:val="74"/>
              </w:rPr>
              <w:t>(1)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40" w:type="dxa"/>
            <w:vAlign w:val="bottom"/>
          </w:tcPr>
          <w:p>
            <w:pPr>
              <w:spacing w:after="0"/>
              <w:rPr>
                <w:sz w:val="20"/>
                <w:szCs w:val="20"/>
                <w:color w:val="auto"/>
              </w:rPr>
            </w:pPr>
            <w:r>
              <w:rPr>
                <w:rFonts w:ascii="Arial" w:cs="Arial" w:eastAsia="Arial" w:hAnsi="Arial"/>
                <w:sz w:val="11"/>
                <w:szCs w:val="11"/>
                <w:b w:val="1"/>
                <w:bCs w:val="1"/>
                <w:color w:val="auto"/>
              </w:rPr>
              <w:t>SDG&amp;E:</w:t>
            </w: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840" w:type="dxa"/>
            <w:vAlign w:val="bottom"/>
            <w:tcBorders>
              <w:bottom w:val="single" w:sz="8" w:color="auto"/>
            </w:tcBorders>
          </w:tcPr>
          <w:p>
            <w:pPr>
              <w:ind w:left="100"/>
              <w:spacing w:after="0" w:line="121" w:lineRule="exact"/>
              <w:rPr>
                <w:sz w:val="20"/>
                <w:szCs w:val="20"/>
                <w:color w:val="auto"/>
              </w:rPr>
            </w:pPr>
            <w:r>
              <w:rPr>
                <w:rFonts w:ascii="Arial" w:cs="Arial" w:eastAsia="Arial" w:hAnsi="Arial"/>
                <w:sz w:val="11"/>
                <w:szCs w:val="11"/>
                <w:color w:val="auto"/>
              </w:rPr>
              <w:t>Interest rate instruments(1)</w:t>
            </w:r>
          </w:p>
        </w:tc>
        <w:tc>
          <w:tcPr>
            <w:tcW w:w="960" w:type="dxa"/>
            <w:vAlign w:val="bottom"/>
            <w:tcBorders>
              <w:bottom w:val="single" w:sz="8" w:color="auto"/>
            </w:tcBorders>
          </w:tcPr>
          <w:p>
            <w:pPr>
              <w:jc w:val="right"/>
              <w:ind w:right="545"/>
              <w:spacing w:after="0" w:line="121" w:lineRule="exact"/>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tcPr>
          <w:p>
            <w:pPr>
              <w:jc w:val="right"/>
              <w:ind w:right="105"/>
              <w:spacing w:after="0" w:line="121"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565"/>
              <w:spacing w:after="0" w:line="121" w:lineRule="exact"/>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w:t>
            </w:r>
          </w:p>
        </w:tc>
        <w:tc>
          <w:tcPr>
            <w:tcW w:w="3120" w:type="dxa"/>
            <w:vAlign w:val="bottom"/>
            <w:tcBorders>
              <w:bottom w:val="single" w:sz="8" w:color="auto"/>
            </w:tcBorders>
          </w:tcPr>
          <w:p>
            <w:pPr>
              <w:ind w:left="220"/>
              <w:spacing w:after="0" w:line="121" w:lineRule="exact"/>
              <w:rPr>
                <w:sz w:val="20"/>
                <w:szCs w:val="20"/>
                <w:color w:val="auto"/>
              </w:rPr>
            </w:pPr>
            <w:r>
              <w:rPr>
                <w:rFonts w:ascii="Arial" w:cs="Arial" w:eastAsia="Arial" w:hAnsi="Arial"/>
                <w:sz w:val="11"/>
                <w:szCs w:val="11"/>
                <w:color w:val="auto"/>
              </w:rPr>
              <w:t>Interest Expense</w:t>
            </w:r>
          </w:p>
        </w:tc>
        <w:tc>
          <w:tcPr>
            <w:tcW w:w="460" w:type="dxa"/>
            <w:vAlign w:val="bottom"/>
            <w:tcBorders>
              <w:bottom w:val="single" w:sz="8" w:color="auto"/>
            </w:tcBorders>
          </w:tcPr>
          <w:p>
            <w:pPr>
              <w:jc w:val="right"/>
              <w:ind w:right="65"/>
              <w:spacing w:after="0" w:line="121" w:lineRule="exact"/>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tcPr>
          <w:p>
            <w:pPr>
              <w:ind w:left="820"/>
              <w:spacing w:after="0" w:line="121" w:lineRule="exact"/>
              <w:rPr>
                <w:sz w:val="20"/>
                <w:szCs w:val="20"/>
                <w:color w:val="auto"/>
              </w:rPr>
            </w:pPr>
            <w:r>
              <w:rPr>
                <w:rFonts w:ascii="Arial" w:cs="Arial" w:eastAsia="Arial" w:hAnsi="Arial"/>
                <w:sz w:val="11"/>
                <w:szCs w:val="11"/>
                <w:color w:val="auto"/>
                <w:w w:val="88"/>
              </w:rPr>
              <w:t>(1)</w:t>
            </w:r>
          </w:p>
        </w:tc>
        <w:tc>
          <w:tcPr>
            <w:tcW w:w="480" w:type="dxa"/>
            <w:vAlign w:val="bottom"/>
            <w:tcBorders>
              <w:bottom w:val="single" w:sz="8" w:color="auto"/>
            </w:tcBorders>
          </w:tcPr>
          <w:p>
            <w:pPr>
              <w:jc w:val="right"/>
              <w:ind w:right="65"/>
              <w:spacing w:after="0" w:line="121" w:lineRule="exact"/>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tcPr>
          <w:p>
            <w:pPr>
              <w:ind w:left="840"/>
              <w:spacing w:after="0" w:line="121" w:lineRule="exact"/>
              <w:rPr>
                <w:sz w:val="20"/>
                <w:szCs w:val="20"/>
                <w:color w:val="auto"/>
              </w:rPr>
            </w:pPr>
            <w:r>
              <w:rPr>
                <w:rFonts w:ascii="Arial" w:cs="Arial" w:eastAsia="Arial" w:hAnsi="Arial"/>
                <w:sz w:val="11"/>
                <w:szCs w:val="11"/>
                <w:color w:val="auto"/>
                <w:w w:val="74"/>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40" w:type="dxa"/>
            <w:vAlign w:val="bottom"/>
          </w:tcPr>
          <w:p>
            <w:pPr>
              <w:spacing w:after="0"/>
              <w:rPr>
                <w:sz w:val="20"/>
                <w:szCs w:val="20"/>
                <w:color w:val="auto"/>
              </w:rPr>
            </w:pPr>
            <w:r>
              <w:rPr>
                <w:rFonts w:ascii="Arial" w:cs="Arial" w:eastAsia="Arial" w:hAnsi="Arial"/>
                <w:sz w:val="11"/>
                <w:szCs w:val="11"/>
                <w:b w:val="1"/>
                <w:bCs w:val="1"/>
                <w:color w:val="auto"/>
              </w:rPr>
              <w:t>SoCalGas:</w:t>
            </w: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840" w:type="dxa"/>
            <w:vAlign w:val="bottom"/>
            <w:tcBorders>
              <w:bottom w:val="single" w:sz="8" w:color="auto"/>
            </w:tcBorders>
          </w:tcPr>
          <w:p>
            <w:pPr>
              <w:ind w:left="100"/>
              <w:spacing w:after="0" w:line="121" w:lineRule="exact"/>
              <w:rPr>
                <w:sz w:val="20"/>
                <w:szCs w:val="20"/>
                <w:color w:val="auto"/>
              </w:rPr>
            </w:pPr>
            <w:r>
              <w:rPr>
                <w:rFonts w:ascii="Arial" w:cs="Arial" w:eastAsia="Arial" w:hAnsi="Arial"/>
                <w:sz w:val="11"/>
                <w:szCs w:val="11"/>
                <w:color w:val="auto"/>
              </w:rPr>
              <w:t>Interest rate instruments</w:t>
            </w:r>
          </w:p>
        </w:tc>
        <w:tc>
          <w:tcPr>
            <w:tcW w:w="960" w:type="dxa"/>
            <w:vAlign w:val="bottom"/>
            <w:tcBorders>
              <w:bottom w:val="single" w:sz="8" w:color="auto"/>
            </w:tcBorders>
          </w:tcPr>
          <w:p>
            <w:pPr>
              <w:jc w:val="right"/>
              <w:ind w:right="545"/>
              <w:spacing w:after="0" w:line="121" w:lineRule="exact"/>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tcPr>
          <w:p>
            <w:pPr>
              <w:jc w:val="right"/>
              <w:ind w:right="105"/>
              <w:spacing w:after="0" w:line="121"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565"/>
              <w:spacing w:after="0" w:line="121" w:lineRule="exact"/>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w:t>
            </w:r>
          </w:p>
        </w:tc>
        <w:tc>
          <w:tcPr>
            <w:tcW w:w="3120" w:type="dxa"/>
            <w:vAlign w:val="bottom"/>
            <w:tcBorders>
              <w:bottom w:val="single" w:sz="8" w:color="auto"/>
            </w:tcBorders>
          </w:tcPr>
          <w:p>
            <w:pPr>
              <w:ind w:left="220"/>
              <w:spacing w:after="0" w:line="121" w:lineRule="exact"/>
              <w:rPr>
                <w:sz w:val="20"/>
                <w:szCs w:val="20"/>
                <w:color w:val="auto"/>
              </w:rPr>
            </w:pPr>
            <w:r>
              <w:rPr>
                <w:rFonts w:ascii="Arial" w:cs="Arial" w:eastAsia="Arial" w:hAnsi="Arial"/>
                <w:sz w:val="11"/>
                <w:szCs w:val="11"/>
                <w:color w:val="auto"/>
              </w:rPr>
              <w:t>Interest Expense</w:t>
            </w:r>
          </w:p>
        </w:tc>
        <w:tc>
          <w:tcPr>
            <w:tcW w:w="460" w:type="dxa"/>
            <w:vAlign w:val="bottom"/>
            <w:tcBorders>
              <w:bottom w:val="single" w:sz="8" w:color="auto"/>
            </w:tcBorders>
          </w:tcPr>
          <w:p>
            <w:pPr>
              <w:jc w:val="right"/>
              <w:ind w:right="65"/>
              <w:spacing w:after="0" w:line="121" w:lineRule="exact"/>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tcPr>
          <w:p>
            <w:pPr>
              <w:ind w:left="820"/>
              <w:spacing w:after="0" w:line="121" w:lineRule="exact"/>
              <w:rPr>
                <w:sz w:val="20"/>
                <w:szCs w:val="20"/>
                <w:color w:val="auto"/>
              </w:rPr>
            </w:pPr>
            <w:r>
              <w:rPr>
                <w:rFonts w:ascii="Arial" w:cs="Arial" w:eastAsia="Arial" w:hAnsi="Arial"/>
                <w:sz w:val="11"/>
                <w:szCs w:val="11"/>
                <w:color w:val="auto"/>
                <w:w w:val="88"/>
              </w:rPr>
              <w:t>(1)</w:t>
            </w:r>
          </w:p>
        </w:tc>
        <w:tc>
          <w:tcPr>
            <w:tcW w:w="480" w:type="dxa"/>
            <w:vAlign w:val="bottom"/>
            <w:tcBorders>
              <w:bottom w:val="single" w:sz="8" w:color="auto"/>
            </w:tcBorders>
          </w:tcPr>
          <w:p>
            <w:pPr>
              <w:jc w:val="right"/>
              <w:ind w:right="65"/>
              <w:spacing w:after="0" w:line="121" w:lineRule="exact"/>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tcPr>
          <w:p>
            <w:pPr>
              <w:ind w:left="840"/>
              <w:spacing w:after="0" w:line="121" w:lineRule="exact"/>
              <w:rPr>
                <w:sz w:val="20"/>
                <w:szCs w:val="20"/>
                <w:color w:val="auto"/>
              </w:rPr>
            </w:pPr>
            <w:r>
              <w:rPr>
                <w:rFonts w:ascii="Arial" w:cs="Arial" w:eastAsia="Arial" w:hAnsi="Arial"/>
                <w:sz w:val="11"/>
                <w:szCs w:val="11"/>
                <w:color w:val="auto"/>
                <w:w w:val="74"/>
              </w:rPr>
              <w:t>(1)</w:t>
            </w:r>
          </w:p>
        </w:tc>
        <w:tc>
          <w:tcPr>
            <w:tcW w:w="0" w:type="dxa"/>
            <w:vAlign w:val="bottom"/>
          </w:tcPr>
          <w:p>
            <w:pPr>
              <w:spacing w:after="0"/>
              <w:rPr>
                <w:sz w:val="1"/>
                <w:szCs w:val="1"/>
                <w:color w:val="auto"/>
              </w:rPr>
            </w:pPr>
          </w:p>
        </w:tc>
      </w:tr>
    </w:tbl>
    <w:p>
      <w:pPr>
        <w:ind w:left="480" w:hanging="477"/>
        <w:spacing w:after="0"/>
        <w:tabs>
          <w:tab w:leader="none" w:pos="480" w:val="left"/>
        </w:tabs>
        <w:numPr>
          <w:ilvl w:val="0"/>
          <w:numId w:val="17"/>
        </w:numPr>
        <w:rPr>
          <w:rFonts w:ascii="Arial" w:cs="Arial" w:eastAsia="Arial" w:hAnsi="Arial"/>
          <w:sz w:val="11"/>
          <w:szCs w:val="11"/>
          <w:i w:val="1"/>
          <w:iCs w:val="1"/>
          <w:color w:val="auto"/>
        </w:rPr>
      </w:pPr>
      <w:r>
        <w:rPr>
          <w:rFonts w:ascii="Arial" w:cs="Arial" w:eastAsia="Arial" w:hAnsi="Arial"/>
          <w:sz w:val="11"/>
          <w:szCs w:val="11"/>
          <w:i w:val="1"/>
          <w:iCs w:val="1"/>
          <w:color w:val="auto"/>
        </w:rPr>
        <w:t>Amounts include Otay Mesa VIE. All of SDG&amp;E's interest rate derivative activity relates to Otay Mesa VIE.</w:t>
      </w:r>
    </w:p>
    <w:p>
      <w:pPr>
        <w:spacing w:after="0" w:line="173" w:lineRule="exact"/>
        <w:rPr>
          <w:sz w:val="20"/>
          <w:szCs w:val="20"/>
          <w:color w:val="auto"/>
        </w:rPr>
      </w:pPr>
    </w:p>
    <w:p>
      <w:pPr>
        <w:jc w:val="both"/>
        <w:ind w:right="240"/>
        <w:spacing w:after="0" w:line="256" w:lineRule="auto"/>
        <w:rPr>
          <w:sz w:val="20"/>
          <w:szCs w:val="20"/>
          <w:color w:val="auto"/>
        </w:rPr>
      </w:pPr>
      <w:r>
        <w:rPr>
          <w:rFonts w:ascii="Arial" w:cs="Arial" w:eastAsia="Arial" w:hAnsi="Arial"/>
          <w:sz w:val="14"/>
          <w:szCs w:val="14"/>
          <w:color w:val="auto"/>
        </w:rPr>
        <w:t>Sempra Energy expects that losses of $10 million, which are net of income tax benefit, that are currently recorded in Accumulated Other Comprehensive Income (Loss) related to cash flow hedges will be reclassified into earnings during the next twelve months as the hedged items affect earnings. Actual amounts ultimately reclassified to earnings depend on the commodity prices and interest rates in effect when derivative contracts that are currently outstanding mature.</w:t>
      </w:r>
    </w:p>
    <w:p>
      <w:pPr>
        <w:spacing w:after="0" w:line="146" w:lineRule="exact"/>
        <w:rPr>
          <w:sz w:val="20"/>
          <w:szCs w:val="20"/>
          <w:color w:val="auto"/>
        </w:rPr>
      </w:pPr>
    </w:p>
    <w:p>
      <w:pPr>
        <w:ind w:right="320"/>
        <w:spacing w:after="0" w:line="267" w:lineRule="auto"/>
        <w:rPr>
          <w:sz w:val="20"/>
          <w:szCs w:val="20"/>
          <w:color w:val="auto"/>
        </w:rPr>
      </w:pPr>
      <w:r>
        <w:rPr>
          <w:rFonts w:ascii="Arial" w:cs="Arial" w:eastAsia="Arial" w:hAnsi="Arial"/>
          <w:sz w:val="14"/>
          <w:szCs w:val="14"/>
          <w:color w:val="auto"/>
        </w:rPr>
        <w:t>SDG&amp;E and SoCalGas expect that losses of $4 million and $1 million, respectively, which are net of income tax benefit, that are currently recorded in Accumulated Other Comprehensive Income (Loss) related to these cash flow hedges will be reclassified into earnings during the next twelve months as the hedged items affect earnings.</w:t>
      </w: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The effects of derivative instruments not designated as hedging instruments on the Condensed Consolidated Statements of Operations for the three months ended March 31, 2011 and 2010 were:</w:t>
      </w:r>
    </w:p>
    <w:p>
      <w:pPr>
        <w:spacing w:after="0" w:line="365" w:lineRule="exact"/>
        <w:rPr>
          <w:sz w:val="20"/>
          <w:szCs w:val="20"/>
          <w:color w:val="auto"/>
        </w:rPr>
      </w:pPr>
    </w:p>
    <w:p>
      <w:pPr>
        <w:ind w:right="4960"/>
        <w:spacing w:after="0" w:line="247" w:lineRule="auto"/>
        <w:rPr>
          <w:sz w:val="20"/>
          <w:szCs w:val="20"/>
          <w:color w:val="auto"/>
        </w:rPr>
      </w:pPr>
      <w:r>
        <w:rPr>
          <w:rFonts w:ascii="Arial" w:cs="Arial" w:eastAsia="Arial" w:hAnsi="Arial"/>
          <w:sz w:val="12"/>
          <w:szCs w:val="12"/>
          <w:b w:val="1"/>
          <w:bCs w:val="1"/>
          <w:color w:val="auto"/>
        </w:rPr>
        <w:t xml:space="preserve">UNDESIGNATED DERIVATIVE IMPACT ON THE CONDENSED CONSOLIDATED STATEMENTS OF OPERATIONS </w:t>
      </w:r>
      <w:r>
        <w:rPr>
          <w:rFonts w:ascii="Arial" w:cs="Arial" w:eastAsia="Arial" w:hAnsi="Arial"/>
          <w:sz w:val="11"/>
          <w:szCs w:val="11"/>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279005" cy="1708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gridSpan w:val="3"/>
          </w:tcPr>
          <w:p>
            <w:pPr>
              <w:jc w:val="right"/>
              <w:ind w:right="898"/>
              <w:spacing w:after="0" w:line="122" w:lineRule="exact"/>
              <w:rPr>
                <w:sz w:val="20"/>
                <w:szCs w:val="20"/>
                <w:color w:val="auto"/>
              </w:rPr>
            </w:pPr>
            <w:r>
              <w:rPr>
                <w:rFonts w:ascii="Arial" w:cs="Arial" w:eastAsia="Arial" w:hAnsi="Arial"/>
                <w:sz w:val="11"/>
                <w:szCs w:val="11"/>
                <w:color w:val="auto"/>
              </w:rPr>
              <w:t>Gain (loss) on derivatives recognized in earnings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gridSpan w:val="2"/>
          </w:tcPr>
          <w:p>
            <w:pPr>
              <w:jc w:val="right"/>
              <w:ind w:right="38"/>
              <w:spacing w:after="0" w:line="124" w:lineRule="exact"/>
              <w:rPr>
                <w:sz w:val="20"/>
                <w:szCs w:val="20"/>
                <w:color w:val="auto"/>
              </w:rPr>
            </w:pPr>
            <w:r>
              <w:rPr>
                <w:rFonts w:ascii="Arial" w:cs="Arial" w:eastAsia="Arial" w:hAnsi="Arial"/>
                <w:sz w:val="11"/>
                <w:szCs w:val="11"/>
                <w:color w:val="auto"/>
              </w:rPr>
              <w:t>Three months ended March 31,</w:t>
            </w:r>
          </w:p>
        </w:tc>
        <w:tc>
          <w:tcPr>
            <w:tcW w:w="1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8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ind w:left="2340"/>
              <w:spacing w:after="0" w:line="124" w:lineRule="exact"/>
              <w:rPr>
                <w:sz w:val="20"/>
                <w:szCs w:val="20"/>
                <w:color w:val="auto"/>
              </w:rPr>
            </w:pPr>
            <w:r>
              <w:rPr>
                <w:rFonts w:ascii="Arial" w:cs="Arial" w:eastAsia="Arial" w:hAnsi="Arial"/>
                <w:sz w:val="11"/>
                <w:szCs w:val="11"/>
                <w:color w:val="auto"/>
              </w:rPr>
              <w:t>Location</w:t>
            </w:r>
          </w:p>
        </w:tc>
        <w:tc>
          <w:tcPr>
            <w:tcW w:w="78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jc w:val="right"/>
              <w:ind w:right="1179"/>
              <w:spacing w:after="0" w:line="124" w:lineRule="exact"/>
              <w:rPr>
                <w:sz w:val="20"/>
                <w:szCs w:val="20"/>
                <w:color w:val="auto"/>
              </w:rPr>
            </w:pPr>
            <w:r>
              <w:rPr>
                <w:rFonts w:ascii="Arial" w:cs="Arial" w:eastAsia="Arial" w:hAnsi="Arial"/>
                <w:sz w:val="11"/>
                <w:szCs w:val="11"/>
                <w:color w:val="auto"/>
              </w:rPr>
              <w:t>2011</w:t>
            </w:r>
          </w:p>
        </w:tc>
        <w:tc>
          <w:tcPr>
            <w:tcW w:w="6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918"/>
              <w:spacing w:after="0" w:line="124" w:lineRule="exact"/>
              <w:rPr>
                <w:sz w:val="20"/>
                <w:szCs w:val="20"/>
                <w:color w:val="auto"/>
              </w:rPr>
            </w:pPr>
            <w:r>
              <w:rPr>
                <w:rFonts w:ascii="Arial" w:cs="Arial" w:eastAsia="Arial" w:hAnsi="Arial"/>
                <w:sz w:val="11"/>
                <w:szCs w:val="11"/>
                <w:color w:val="auto"/>
              </w:rPr>
              <w:t>2010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80" w:type="dxa"/>
            <w:vAlign w:val="bottom"/>
          </w:tcPr>
          <w:p>
            <w:pPr>
              <w:spacing w:after="0" w:line="126" w:lineRule="exact"/>
              <w:rPr>
                <w:sz w:val="20"/>
                <w:szCs w:val="20"/>
                <w:color w:val="auto"/>
              </w:rPr>
            </w:pPr>
            <w:r>
              <w:rPr>
                <w:rFonts w:ascii="Arial" w:cs="Arial" w:eastAsia="Arial" w:hAnsi="Arial"/>
                <w:sz w:val="12"/>
                <w:szCs w:val="12"/>
                <w:b w:val="1"/>
                <w:bCs w:val="1"/>
                <w:color w:val="auto"/>
              </w:rPr>
              <w:t>Sempra Energy Consolidated:</w:t>
            </w:r>
          </w:p>
        </w:tc>
        <w:tc>
          <w:tcPr>
            <w:tcW w:w="4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80" w:type="dxa"/>
            <w:vAlign w:val="bottom"/>
          </w:tcPr>
          <w:p>
            <w:pPr>
              <w:ind w:left="120"/>
              <w:spacing w:after="0" w:line="134" w:lineRule="exact"/>
              <w:rPr>
                <w:sz w:val="20"/>
                <w:szCs w:val="20"/>
                <w:color w:val="auto"/>
              </w:rPr>
            </w:pPr>
            <w:r>
              <w:rPr>
                <w:rFonts w:ascii="Arial" w:cs="Arial" w:eastAsia="Arial" w:hAnsi="Arial"/>
                <w:sz w:val="12"/>
                <w:szCs w:val="12"/>
                <w:color w:val="auto"/>
              </w:rPr>
              <w:t>Interest rate and foreign exchange</w:t>
            </w:r>
          </w:p>
        </w:tc>
        <w:tc>
          <w:tcPr>
            <w:tcW w:w="4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80" w:type="dxa"/>
            <w:vAlign w:val="bottom"/>
          </w:tcPr>
          <w:p>
            <w:pPr>
              <w:jc w:val="center"/>
              <w:ind w:right="1338"/>
              <w:spacing w:after="0" w:line="134" w:lineRule="exact"/>
              <w:rPr>
                <w:sz w:val="20"/>
                <w:szCs w:val="20"/>
                <w:color w:val="auto"/>
              </w:rPr>
            </w:pPr>
            <w:r>
              <w:rPr>
                <w:rFonts w:ascii="Arial" w:cs="Arial" w:eastAsia="Arial" w:hAnsi="Arial"/>
                <w:sz w:val="12"/>
                <w:szCs w:val="12"/>
                <w:color w:val="auto"/>
              </w:rPr>
              <w:t>instruments(1)</w:t>
            </w:r>
          </w:p>
        </w:tc>
        <w:tc>
          <w:tcPr>
            <w:tcW w:w="4340" w:type="dxa"/>
            <w:vAlign w:val="bottom"/>
          </w:tcPr>
          <w:p>
            <w:pPr>
              <w:ind w:left="760"/>
              <w:spacing w:after="0" w:line="134" w:lineRule="exact"/>
              <w:rPr>
                <w:sz w:val="20"/>
                <w:szCs w:val="20"/>
                <w:color w:val="auto"/>
              </w:rPr>
            </w:pPr>
            <w:r>
              <w:rPr>
                <w:rFonts w:ascii="Arial" w:cs="Arial" w:eastAsia="Arial" w:hAnsi="Arial"/>
                <w:sz w:val="12"/>
                <w:szCs w:val="12"/>
                <w:color w:val="auto"/>
              </w:rPr>
              <w:t>Other Income, Net</w:t>
            </w:r>
          </w:p>
        </w:tc>
        <w:tc>
          <w:tcPr>
            <w:tcW w:w="7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w:t>
            </w:r>
          </w:p>
        </w:tc>
        <w:tc>
          <w:tcPr>
            <w:tcW w:w="1640" w:type="dxa"/>
            <w:vAlign w:val="bottom"/>
          </w:tcPr>
          <w:p>
            <w:pPr>
              <w:jc w:val="right"/>
              <w:ind w:right="239"/>
              <w:spacing w:after="0" w:line="134" w:lineRule="exact"/>
              <w:rPr>
                <w:sz w:val="20"/>
                <w:szCs w:val="20"/>
                <w:color w:val="auto"/>
              </w:rPr>
            </w:pPr>
            <w:r>
              <w:rPr>
                <w:rFonts w:ascii="Arial" w:cs="Arial" w:eastAsia="Arial" w:hAnsi="Arial"/>
                <w:sz w:val="12"/>
                <w:szCs w:val="12"/>
                <w:color w:val="auto"/>
              </w:rPr>
              <w:t>10</w:t>
            </w:r>
          </w:p>
        </w:tc>
        <w:tc>
          <w:tcPr>
            <w:tcW w:w="60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w:t>
            </w:r>
          </w:p>
        </w:tc>
        <w:tc>
          <w:tcPr>
            <w:tcW w:w="1300" w:type="dxa"/>
            <w:vAlign w:val="bottom"/>
          </w:tcPr>
          <w:p>
            <w:pPr>
              <w:jc w:val="right"/>
              <w:spacing w:after="0" w:line="134" w:lineRule="exact"/>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80" w:type="dxa"/>
            <w:vAlign w:val="bottom"/>
          </w:tcPr>
          <w:p>
            <w:pPr>
              <w:ind w:left="120"/>
              <w:spacing w:after="0" w:line="134" w:lineRule="exact"/>
              <w:rPr>
                <w:sz w:val="20"/>
                <w:szCs w:val="20"/>
                <w:color w:val="auto"/>
              </w:rPr>
            </w:pPr>
            <w:r>
              <w:rPr>
                <w:rFonts w:ascii="Arial" w:cs="Arial" w:eastAsia="Arial" w:hAnsi="Arial"/>
                <w:sz w:val="12"/>
                <w:szCs w:val="12"/>
                <w:color w:val="auto"/>
              </w:rPr>
              <w:t>Commodity contracts not subject</w:t>
            </w:r>
          </w:p>
        </w:tc>
        <w:tc>
          <w:tcPr>
            <w:tcW w:w="4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80" w:type="dxa"/>
            <w:vAlign w:val="bottom"/>
          </w:tcPr>
          <w:p>
            <w:pPr>
              <w:jc w:val="center"/>
              <w:ind w:right="1338"/>
              <w:spacing w:after="0" w:line="134" w:lineRule="exact"/>
              <w:rPr>
                <w:sz w:val="20"/>
                <w:szCs w:val="20"/>
                <w:color w:val="auto"/>
              </w:rPr>
            </w:pPr>
            <w:r>
              <w:rPr>
                <w:rFonts w:ascii="Arial" w:cs="Arial" w:eastAsia="Arial" w:hAnsi="Arial"/>
                <w:sz w:val="12"/>
                <w:szCs w:val="12"/>
                <w:color w:val="auto"/>
              </w:rPr>
              <w:t>to rate recovery</w:t>
            </w:r>
          </w:p>
        </w:tc>
        <w:tc>
          <w:tcPr>
            <w:tcW w:w="4340" w:type="dxa"/>
            <w:vAlign w:val="bottom"/>
          </w:tcPr>
          <w:p>
            <w:pPr>
              <w:ind w:left="760"/>
              <w:spacing w:after="0" w:line="134" w:lineRule="exact"/>
              <w:rPr>
                <w:sz w:val="20"/>
                <w:szCs w:val="20"/>
                <w:color w:val="auto"/>
              </w:rPr>
            </w:pPr>
            <w:r>
              <w:rPr>
                <w:rFonts w:ascii="Arial" w:cs="Arial" w:eastAsia="Arial" w:hAnsi="Arial"/>
                <w:sz w:val="12"/>
                <w:szCs w:val="12"/>
                <w:color w:val="auto"/>
              </w:rPr>
              <w:t>Revenues: Sempra Global and Parent</w:t>
            </w:r>
          </w:p>
        </w:tc>
        <w:tc>
          <w:tcPr>
            <w:tcW w:w="780" w:type="dxa"/>
            <w:vAlign w:val="bottom"/>
          </w:tcPr>
          <w:p>
            <w:pPr>
              <w:spacing w:after="0"/>
              <w:rPr>
                <w:sz w:val="11"/>
                <w:szCs w:val="11"/>
                <w:color w:val="auto"/>
              </w:rPr>
            </w:pPr>
          </w:p>
        </w:tc>
        <w:tc>
          <w:tcPr>
            <w:tcW w:w="1640" w:type="dxa"/>
            <w:vAlign w:val="bottom"/>
          </w:tcPr>
          <w:p>
            <w:pPr>
              <w:jc w:val="right"/>
              <w:ind w:right="239"/>
              <w:spacing w:after="0" w:line="134" w:lineRule="exact"/>
              <w:rPr>
                <w:sz w:val="20"/>
                <w:szCs w:val="20"/>
                <w:color w:val="auto"/>
              </w:rPr>
            </w:pPr>
            <w:r>
              <w:rPr>
                <w:rFonts w:ascii="Arial" w:cs="Arial" w:eastAsia="Arial" w:hAnsi="Arial"/>
                <w:sz w:val="12"/>
                <w:szCs w:val="12"/>
                <w:color w:val="auto"/>
              </w:rPr>
              <w:t>6</w:t>
            </w:r>
          </w:p>
        </w:tc>
        <w:tc>
          <w:tcPr>
            <w:tcW w:w="600" w:type="dxa"/>
            <w:vAlign w:val="bottom"/>
          </w:tcPr>
          <w:p>
            <w:pPr>
              <w:spacing w:after="0"/>
              <w:rPr>
                <w:sz w:val="11"/>
                <w:szCs w:val="11"/>
                <w:color w:val="auto"/>
              </w:rPr>
            </w:pPr>
          </w:p>
        </w:tc>
        <w:tc>
          <w:tcPr>
            <w:tcW w:w="1300" w:type="dxa"/>
            <w:vAlign w:val="bottom"/>
          </w:tcPr>
          <w:p>
            <w:pPr>
              <w:jc w:val="right"/>
              <w:spacing w:after="0" w:line="134" w:lineRule="exact"/>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80" w:type="dxa"/>
            <w:vAlign w:val="bottom"/>
          </w:tcPr>
          <w:p>
            <w:pPr>
              <w:ind w:left="120"/>
              <w:spacing w:after="0" w:line="134" w:lineRule="exact"/>
              <w:rPr>
                <w:sz w:val="20"/>
                <w:szCs w:val="20"/>
                <w:color w:val="auto"/>
              </w:rPr>
            </w:pPr>
            <w:r>
              <w:rPr>
                <w:rFonts w:ascii="Arial" w:cs="Arial" w:eastAsia="Arial" w:hAnsi="Arial"/>
                <w:sz w:val="12"/>
                <w:szCs w:val="12"/>
                <w:color w:val="auto"/>
              </w:rPr>
              <w:t>Commodity contracts not subject</w:t>
            </w:r>
          </w:p>
        </w:tc>
        <w:tc>
          <w:tcPr>
            <w:tcW w:w="4340" w:type="dxa"/>
            <w:vAlign w:val="bottom"/>
          </w:tcPr>
          <w:p>
            <w:pPr>
              <w:ind w:left="760"/>
              <w:spacing w:after="0" w:line="134" w:lineRule="exact"/>
              <w:rPr>
                <w:sz w:val="20"/>
                <w:szCs w:val="20"/>
                <w:color w:val="auto"/>
              </w:rPr>
            </w:pPr>
            <w:r>
              <w:rPr>
                <w:rFonts w:ascii="Arial" w:cs="Arial" w:eastAsia="Arial" w:hAnsi="Arial"/>
                <w:sz w:val="12"/>
                <w:szCs w:val="12"/>
                <w:color w:val="auto"/>
              </w:rPr>
              <w:t>Cost of Natural Gas, Electric</w:t>
            </w:r>
          </w:p>
        </w:tc>
        <w:tc>
          <w:tcPr>
            <w:tcW w:w="7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80" w:type="dxa"/>
            <w:vAlign w:val="bottom"/>
          </w:tcPr>
          <w:p>
            <w:pPr>
              <w:jc w:val="center"/>
              <w:ind w:right="1338"/>
              <w:spacing w:after="0" w:line="134" w:lineRule="exact"/>
              <w:rPr>
                <w:sz w:val="20"/>
                <w:szCs w:val="20"/>
                <w:color w:val="auto"/>
              </w:rPr>
            </w:pPr>
            <w:r>
              <w:rPr>
                <w:rFonts w:ascii="Arial" w:cs="Arial" w:eastAsia="Arial" w:hAnsi="Arial"/>
                <w:sz w:val="12"/>
                <w:szCs w:val="12"/>
                <w:color w:val="auto"/>
              </w:rPr>
              <w:t>to rate recovery</w:t>
            </w:r>
          </w:p>
        </w:tc>
        <w:tc>
          <w:tcPr>
            <w:tcW w:w="4340" w:type="dxa"/>
            <w:vAlign w:val="bottom"/>
          </w:tcPr>
          <w:p>
            <w:pPr>
              <w:ind w:left="900"/>
              <w:spacing w:after="0" w:line="134" w:lineRule="exact"/>
              <w:rPr>
                <w:sz w:val="20"/>
                <w:szCs w:val="20"/>
                <w:color w:val="auto"/>
              </w:rPr>
            </w:pPr>
            <w:r>
              <w:rPr>
                <w:rFonts w:ascii="Arial" w:cs="Arial" w:eastAsia="Arial" w:hAnsi="Arial"/>
                <w:sz w:val="12"/>
                <w:szCs w:val="12"/>
                <w:color w:val="auto"/>
              </w:rPr>
              <w:t>Fuel and Purchased Power</w:t>
            </w:r>
          </w:p>
        </w:tc>
        <w:tc>
          <w:tcPr>
            <w:tcW w:w="780" w:type="dxa"/>
            <w:vAlign w:val="bottom"/>
          </w:tcPr>
          <w:p>
            <w:pPr>
              <w:spacing w:after="0"/>
              <w:rPr>
                <w:sz w:val="11"/>
                <w:szCs w:val="11"/>
                <w:color w:val="auto"/>
              </w:rPr>
            </w:pPr>
          </w:p>
        </w:tc>
        <w:tc>
          <w:tcPr>
            <w:tcW w:w="1640" w:type="dxa"/>
            <w:vAlign w:val="bottom"/>
          </w:tcPr>
          <w:p>
            <w:pPr>
              <w:jc w:val="right"/>
              <w:ind w:right="239"/>
              <w:spacing w:after="0" w:line="134" w:lineRule="exact"/>
              <w:rPr>
                <w:sz w:val="20"/>
                <w:szCs w:val="20"/>
                <w:color w:val="auto"/>
              </w:rPr>
            </w:pPr>
            <w:r>
              <w:rPr>
                <w:rFonts w:ascii="Arial" w:cs="Arial" w:eastAsia="Arial" w:hAnsi="Arial"/>
                <w:sz w:val="12"/>
                <w:szCs w:val="12"/>
                <w:color w:val="auto"/>
              </w:rPr>
              <w:t>1</w:t>
            </w:r>
          </w:p>
        </w:tc>
        <w:tc>
          <w:tcPr>
            <w:tcW w:w="600" w:type="dxa"/>
            <w:vAlign w:val="bottom"/>
          </w:tcPr>
          <w:p>
            <w:pPr>
              <w:spacing w:after="0"/>
              <w:rPr>
                <w:sz w:val="11"/>
                <w:szCs w:val="11"/>
                <w:color w:val="auto"/>
              </w:rPr>
            </w:pPr>
          </w:p>
        </w:tc>
        <w:tc>
          <w:tcPr>
            <w:tcW w:w="1300" w:type="dxa"/>
            <w:vAlign w:val="bottom"/>
          </w:tcPr>
          <w:p>
            <w:pPr>
              <w:jc w:val="right"/>
              <w:spacing w:after="0" w:line="134" w:lineRule="exact"/>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80" w:type="dxa"/>
            <w:vAlign w:val="bottom"/>
          </w:tcPr>
          <w:p>
            <w:pPr>
              <w:ind w:left="120"/>
              <w:spacing w:after="0" w:line="134" w:lineRule="exact"/>
              <w:rPr>
                <w:sz w:val="20"/>
                <w:szCs w:val="20"/>
                <w:color w:val="auto"/>
              </w:rPr>
            </w:pPr>
            <w:r>
              <w:rPr>
                <w:rFonts w:ascii="Arial" w:cs="Arial" w:eastAsia="Arial" w:hAnsi="Arial"/>
                <w:sz w:val="12"/>
                <w:szCs w:val="12"/>
                <w:color w:val="auto"/>
              </w:rPr>
              <w:t>Commodity contracts not subject</w:t>
            </w:r>
          </w:p>
        </w:tc>
        <w:tc>
          <w:tcPr>
            <w:tcW w:w="4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80" w:type="dxa"/>
            <w:vAlign w:val="bottom"/>
          </w:tcPr>
          <w:p>
            <w:pPr>
              <w:jc w:val="center"/>
              <w:ind w:right="1338"/>
              <w:spacing w:after="0" w:line="134" w:lineRule="exact"/>
              <w:rPr>
                <w:sz w:val="20"/>
                <w:szCs w:val="20"/>
                <w:color w:val="auto"/>
              </w:rPr>
            </w:pPr>
            <w:r>
              <w:rPr>
                <w:rFonts w:ascii="Arial" w:cs="Arial" w:eastAsia="Arial" w:hAnsi="Arial"/>
                <w:sz w:val="12"/>
                <w:szCs w:val="12"/>
                <w:color w:val="auto"/>
              </w:rPr>
              <w:t>to rate recovery</w:t>
            </w:r>
          </w:p>
        </w:tc>
        <w:tc>
          <w:tcPr>
            <w:tcW w:w="4340" w:type="dxa"/>
            <w:vAlign w:val="bottom"/>
          </w:tcPr>
          <w:p>
            <w:pPr>
              <w:ind w:left="760"/>
              <w:spacing w:after="0" w:line="134" w:lineRule="exact"/>
              <w:rPr>
                <w:sz w:val="20"/>
                <w:szCs w:val="20"/>
                <w:color w:val="auto"/>
              </w:rPr>
            </w:pPr>
            <w:r>
              <w:rPr>
                <w:rFonts w:ascii="Arial" w:cs="Arial" w:eastAsia="Arial" w:hAnsi="Arial"/>
                <w:sz w:val="12"/>
                <w:szCs w:val="12"/>
                <w:color w:val="auto"/>
              </w:rPr>
              <w:t>Other Operation and Maintenance</w:t>
            </w:r>
          </w:p>
        </w:tc>
        <w:tc>
          <w:tcPr>
            <w:tcW w:w="780" w:type="dxa"/>
            <w:vAlign w:val="bottom"/>
          </w:tcPr>
          <w:p>
            <w:pPr>
              <w:spacing w:after="0"/>
              <w:rPr>
                <w:sz w:val="11"/>
                <w:szCs w:val="11"/>
                <w:color w:val="auto"/>
              </w:rPr>
            </w:pPr>
          </w:p>
        </w:tc>
        <w:tc>
          <w:tcPr>
            <w:tcW w:w="1640" w:type="dxa"/>
            <w:vAlign w:val="bottom"/>
          </w:tcPr>
          <w:p>
            <w:pPr>
              <w:jc w:val="right"/>
              <w:ind w:right="239"/>
              <w:spacing w:after="0" w:line="134" w:lineRule="exact"/>
              <w:rPr>
                <w:sz w:val="20"/>
                <w:szCs w:val="20"/>
                <w:color w:val="auto"/>
              </w:rPr>
            </w:pPr>
            <w:r>
              <w:rPr>
                <w:rFonts w:ascii="Arial" w:cs="Arial" w:eastAsia="Arial" w:hAnsi="Arial"/>
                <w:sz w:val="12"/>
                <w:szCs w:val="12"/>
                <w:color w:val="auto"/>
              </w:rPr>
              <w:t>2</w:t>
            </w:r>
          </w:p>
        </w:tc>
        <w:tc>
          <w:tcPr>
            <w:tcW w:w="600" w:type="dxa"/>
            <w:vAlign w:val="bottom"/>
          </w:tcPr>
          <w:p>
            <w:pPr>
              <w:spacing w:after="0"/>
              <w:rPr>
                <w:sz w:val="11"/>
                <w:szCs w:val="11"/>
                <w:color w:val="auto"/>
              </w:rPr>
            </w:pPr>
          </w:p>
        </w:tc>
        <w:tc>
          <w:tcPr>
            <w:tcW w:w="130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80" w:type="dxa"/>
            <w:vAlign w:val="bottom"/>
          </w:tcPr>
          <w:p>
            <w:pPr>
              <w:ind w:left="120"/>
              <w:spacing w:after="0" w:line="134" w:lineRule="exact"/>
              <w:rPr>
                <w:sz w:val="20"/>
                <w:szCs w:val="20"/>
                <w:color w:val="auto"/>
              </w:rPr>
            </w:pPr>
            <w:r>
              <w:rPr>
                <w:rFonts w:ascii="Arial" w:cs="Arial" w:eastAsia="Arial" w:hAnsi="Arial"/>
                <w:sz w:val="12"/>
                <w:szCs w:val="12"/>
                <w:color w:val="auto"/>
              </w:rPr>
              <w:t>Commodity contracts subject</w:t>
            </w:r>
          </w:p>
        </w:tc>
        <w:tc>
          <w:tcPr>
            <w:tcW w:w="4340" w:type="dxa"/>
            <w:vAlign w:val="bottom"/>
          </w:tcPr>
          <w:p>
            <w:pPr>
              <w:ind w:left="760"/>
              <w:spacing w:after="0" w:line="134" w:lineRule="exact"/>
              <w:rPr>
                <w:sz w:val="20"/>
                <w:szCs w:val="20"/>
                <w:color w:val="auto"/>
              </w:rPr>
            </w:pPr>
            <w:r>
              <w:rPr>
                <w:rFonts w:ascii="Arial" w:cs="Arial" w:eastAsia="Arial" w:hAnsi="Arial"/>
                <w:sz w:val="12"/>
                <w:szCs w:val="12"/>
                <w:color w:val="auto"/>
              </w:rPr>
              <w:t>Cost of Electric Fuel</w:t>
            </w:r>
          </w:p>
        </w:tc>
        <w:tc>
          <w:tcPr>
            <w:tcW w:w="7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80" w:type="dxa"/>
            <w:vAlign w:val="bottom"/>
          </w:tcPr>
          <w:p>
            <w:pPr>
              <w:jc w:val="center"/>
              <w:ind w:right="1338"/>
              <w:spacing w:after="0" w:line="134" w:lineRule="exact"/>
              <w:rPr>
                <w:sz w:val="20"/>
                <w:szCs w:val="20"/>
                <w:color w:val="auto"/>
              </w:rPr>
            </w:pPr>
            <w:r>
              <w:rPr>
                <w:rFonts w:ascii="Arial" w:cs="Arial" w:eastAsia="Arial" w:hAnsi="Arial"/>
                <w:sz w:val="12"/>
                <w:szCs w:val="12"/>
                <w:color w:val="auto"/>
              </w:rPr>
              <w:t>to rate recovery</w:t>
            </w:r>
          </w:p>
        </w:tc>
        <w:tc>
          <w:tcPr>
            <w:tcW w:w="4340" w:type="dxa"/>
            <w:vAlign w:val="bottom"/>
          </w:tcPr>
          <w:p>
            <w:pPr>
              <w:ind w:left="900"/>
              <w:spacing w:after="0" w:line="134" w:lineRule="exact"/>
              <w:rPr>
                <w:sz w:val="20"/>
                <w:szCs w:val="20"/>
                <w:color w:val="auto"/>
              </w:rPr>
            </w:pPr>
            <w:r>
              <w:rPr>
                <w:rFonts w:ascii="Arial" w:cs="Arial" w:eastAsia="Arial" w:hAnsi="Arial"/>
                <w:sz w:val="12"/>
                <w:szCs w:val="12"/>
                <w:color w:val="auto"/>
              </w:rPr>
              <w:t>and Purchased Power</w:t>
            </w:r>
          </w:p>
        </w:tc>
        <w:tc>
          <w:tcPr>
            <w:tcW w:w="780" w:type="dxa"/>
            <w:vAlign w:val="bottom"/>
          </w:tcPr>
          <w:p>
            <w:pPr>
              <w:spacing w:after="0"/>
              <w:rPr>
                <w:sz w:val="11"/>
                <w:szCs w:val="11"/>
                <w:color w:val="auto"/>
              </w:rPr>
            </w:pPr>
          </w:p>
        </w:tc>
        <w:tc>
          <w:tcPr>
            <w:tcW w:w="1640" w:type="dxa"/>
            <w:vAlign w:val="bottom"/>
          </w:tcPr>
          <w:p>
            <w:pPr>
              <w:jc w:val="right"/>
              <w:ind w:right="239"/>
              <w:spacing w:after="0" w:line="134" w:lineRule="exact"/>
              <w:rPr>
                <w:sz w:val="20"/>
                <w:szCs w:val="20"/>
                <w:color w:val="auto"/>
              </w:rPr>
            </w:pPr>
            <w:r>
              <w:rPr>
                <w:rFonts w:ascii="Arial" w:cs="Arial" w:eastAsia="Arial" w:hAnsi="Arial"/>
                <w:sz w:val="12"/>
                <w:szCs w:val="12"/>
                <w:color w:val="auto"/>
              </w:rPr>
              <w:t>9</w:t>
            </w:r>
          </w:p>
        </w:tc>
        <w:tc>
          <w:tcPr>
            <w:tcW w:w="600" w:type="dxa"/>
            <w:vAlign w:val="bottom"/>
          </w:tcPr>
          <w:p>
            <w:pPr>
              <w:spacing w:after="0"/>
              <w:rPr>
                <w:sz w:val="11"/>
                <w:szCs w:val="11"/>
                <w:color w:val="auto"/>
              </w:rPr>
            </w:pPr>
          </w:p>
        </w:tc>
        <w:tc>
          <w:tcPr>
            <w:tcW w:w="1300" w:type="dxa"/>
            <w:vAlign w:val="bottom"/>
          </w:tcPr>
          <w:p>
            <w:pPr>
              <w:jc w:val="right"/>
              <w:spacing w:after="0" w:line="134" w:lineRule="exact"/>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80" w:type="dxa"/>
            <w:vAlign w:val="bottom"/>
          </w:tcPr>
          <w:p>
            <w:pPr>
              <w:ind w:left="120"/>
              <w:spacing w:after="0" w:line="134" w:lineRule="exact"/>
              <w:rPr>
                <w:sz w:val="20"/>
                <w:szCs w:val="20"/>
                <w:color w:val="auto"/>
              </w:rPr>
            </w:pPr>
            <w:r>
              <w:rPr>
                <w:rFonts w:ascii="Arial" w:cs="Arial" w:eastAsia="Arial" w:hAnsi="Arial"/>
                <w:sz w:val="12"/>
                <w:szCs w:val="12"/>
                <w:color w:val="auto"/>
              </w:rPr>
              <w:t>Commodity contracts subject</w:t>
            </w:r>
          </w:p>
        </w:tc>
        <w:tc>
          <w:tcPr>
            <w:tcW w:w="4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80" w:type="dxa"/>
            <w:vAlign w:val="bottom"/>
          </w:tcPr>
          <w:p>
            <w:pPr>
              <w:jc w:val="center"/>
              <w:ind w:right="1338"/>
              <w:spacing w:after="0" w:line="134" w:lineRule="exact"/>
              <w:rPr>
                <w:sz w:val="20"/>
                <w:szCs w:val="20"/>
                <w:color w:val="auto"/>
              </w:rPr>
            </w:pPr>
            <w:r>
              <w:rPr>
                <w:rFonts w:ascii="Arial" w:cs="Arial" w:eastAsia="Arial" w:hAnsi="Arial"/>
                <w:sz w:val="12"/>
                <w:szCs w:val="12"/>
                <w:color w:val="auto"/>
              </w:rPr>
              <w:t>to rate recovery</w:t>
            </w:r>
          </w:p>
        </w:tc>
        <w:tc>
          <w:tcPr>
            <w:tcW w:w="4340" w:type="dxa"/>
            <w:vAlign w:val="bottom"/>
          </w:tcPr>
          <w:p>
            <w:pPr>
              <w:ind w:left="760"/>
              <w:spacing w:after="0" w:line="134" w:lineRule="exact"/>
              <w:rPr>
                <w:sz w:val="20"/>
                <w:szCs w:val="20"/>
                <w:color w:val="auto"/>
              </w:rPr>
            </w:pPr>
            <w:r>
              <w:rPr>
                <w:rFonts w:ascii="Arial" w:cs="Arial" w:eastAsia="Arial" w:hAnsi="Arial"/>
                <w:sz w:val="12"/>
                <w:szCs w:val="12"/>
                <w:color w:val="auto"/>
              </w:rPr>
              <w:t>Cost of Natural Gas</w:t>
            </w:r>
          </w:p>
        </w:tc>
        <w:tc>
          <w:tcPr>
            <w:tcW w:w="780" w:type="dxa"/>
            <w:vAlign w:val="bottom"/>
          </w:tcPr>
          <w:p>
            <w:pPr>
              <w:spacing w:after="0"/>
              <w:rPr>
                <w:sz w:val="11"/>
                <w:szCs w:val="11"/>
                <w:color w:val="auto"/>
              </w:rPr>
            </w:pPr>
          </w:p>
        </w:tc>
        <w:tc>
          <w:tcPr>
            <w:tcW w:w="1640" w:type="dxa"/>
            <w:vAlign w:val="bottom"/>
          </w:tcPr>
          <w:p>
            <w:pPr>
              <w:jc w:val="right"/>
              <w:ind w:right="239"/>
              <w:spacing w:after="0" w:line="134" w:lineRule="exact"/>
              <w:rPr>
                <w:sz w:val="20"/>
                <w:szCs w:val="20"/>
                <w:color w:val="auto"/>
              </w:rPr>
            </w:pPr>
            <w:r>
              <w:rPr>
                <w:rFonts w:ascii="Arial" w:cs="Arial" w:eastAsia="Arial" w:hAnsi="Arial"/>
                <w:sz w:val="12"/>
                <w:szCs w:val="12"/>
                <w:color w:val="auto"/>
              </w:rPr>
              <w:t>―</w:t>
            </w:r>
          </w:p>
        </w:tc>
        <w:tc>
          <w:tcPr>
            <w:tcW w:w="600" w:type="dxa"/>
            <w:vAlign w:val="bottom"/>
          </w:tcPr>
          <w:p>
            <w:pPr>
              <w:spacing w:after="0"/>
              <w:rPr>
                <w:sz w:val="11"/>
                <w:szCs w:val="11"/>
                <w:color w:val="auto"/>
              </w:rPr>
            </w:pPr>
          </w:p>
        </w:tc>
        <w:tc>
          <w:tcPr>
            <w:tcW w:w="130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Pr>
          <w:p>
            <w:pPr>
              <w:ind w:left="120"/>
              <w:spacing w:after="0"/>
              <w:rPr>
                <w:sz w:val="20"/>
                <w:szCs w:val="20"/>
                <w:color w:val="auto"/>
              </w:rPr>
            </w:pPr>
            <w:r>
              <w:rPr>
                <w:rFonts w:ascii="Arial" w:cs="Arial" w:eastAsia="Arial" w:hAnsi="Arial"/>
                <w:sz w:val="12"/>
                <w:szCs w:val="12"/>
                <w:color w:val="auto"/>
              </w:rPr>
              <w:t>Commodity contracts subject</w:t>
            </w:r>
          </w:p>
        </w:tc>
        <w:tc>
          <w:tcPr>
            <w:tcW w:w="4340" w:type="dxa"/>
            <w:vAlign w:val="bottom"/>
          </w:tcPr>
          <w:p>
            <w:pPr>
              <w:ind w:left="760"/>
              <w:spacing w:after="0"/>
              <w:rPr>
                <w:sz w:val="20"/>
                <w:szCs w:val="20"/>
                <w:color w:val="auto"/>
              </w:rPr>
            </w:pPr>
            <w:r>
              <w:rPr>
                <w:rFonts w:ascii="Arial" w:cs="Arial" w:eastAsia="Arial" w:hAnsi="Arial"/>
                <w:sz w:val="12"/>
                <w:szCs w:val="12"/>
                <w:color w:val="auto"/>
              </w:rPr>
              <w:t>Cost of Natural Gas, Electric</w:t>
            </w:r>
          </w:p>
        </w:tc>
        <w:tc>
          <w:tcPr>
            <w:tcW w:w="780" w:type="dxa"/>
            <w:vAlign w:val="bottom"/>
          </w:tcPr>
          <w:p>
            <w:pPr>
              <w:spacing w:after="0"/>
              <w:rPr>
                <w:sz w:val="12"/>
                <w:szCs w:val="12"/>
                <w:color w:val="auto"/>
              </w:rPr>
            </w:pPr>
          </w:p>
        </w:tc>
        <w:tc>
          <w:tcPr>
            <w:tcW w:w="1640" w:type="dxa"/>
            <w:vAlign w:val="bottom"/>
            <w:vMerge w:val="restart"/>
          </w:tcPr>
          <w:p>
            <w:pPr>
              <w:jc w:val="right"/>
              <w:ind w:right="239"/>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tcPr>
          <w:p>
            <w:pPr>
              <w:jc w:val="center"/>
              <w:ind w:right="1338"/>
              <w:spacing w:after="0" w:line="130" w:lineRule="exact"/>
              <w:rPr>
                <w:sz w:val="20"/>
                <w:szCs w:val="20"/>
                <w:color w:val="auto"/>
              </w:rPr>
            </w:pPr>
            <w:r>
              <w:rPr>
                <w:rFonts w:ascii="Arial" w:cs="Arial" w:eastAsia="Arial" w:hAnsi="Arial"/>
                <w:sz w:val="12"/>
                <w:szCs w:val="12"/>
                <w:color w:val="auto"/>
              </w:rPr>
              <w:t>to rate recovery</w:t>
            </w:r>
          </w:p>
        </w:tc>
        <w:tc>
          <w:tcPr>
            <w:tcW w:w="4340" w:type="dxa"/>
            <w:vAlign w:val="bottom"/>
          </w:tcPr>
          <w:p>
            <w:pPr>
              <w:ind w:left="900"/>
              <w:spacing w:after="0" w:line="130" w:lineRule="exact"/>
              <w:rPr>
                <w:sz w:val="20"/>
                <w:szCs w:val="20"/>
                <w:color w:val="auto"/>
              </w:rPr>
            </w:pPr>
            <w:r>
              <w:rPr>
                <w:rFonts w:ascii="Arial" w:cs="Arial" w:eastAsia="Arial" w:hAnsi="Arial"/>
                <w:sz w:val="12"/>
                <w:szCs w:val="12"/>
                <w:color w:val="auto"/>
              </w:rPr>
              <w:t>Fuel and Purchased Power</w:t>
            </w:r>
          </w:p>
        </w:tc>
        <w:tc>
          <w:tcPr>
            <w:tcW w:w="7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tcBorders>
              <w:bottom w:val="single" w:sz="8" w:color="auto"/>
            </w:tcBorders>
          </w:tcPr>
          <w:p>
            <w:pPr>
              <w:ind w:left="120"/>
              <w:spacing w:after="0" w:line="134" w:lineRule="exact"/>
              <w:rPr>
                <w:sz w:val="20"/>
                <w:szCs w:val="20"/>
                <w:color w:val="auto"/>
              </w:rPr>
            </w:pPr>
            <w:r>
              <w:rPr>
                <w:rFonts w:ascii="Arial" w:cs="Arial" w:eastAsia="Arial" w:hAnsi="Arial"/>
                <w:sz w:val="12"/>
                <w:szCs w:val="12"/>
                <w:color w:val="auto"/>
              </w:rPr>
              <w:t>Total</w:t>
            </w:r>
          </w:p>
        </w:tc>
        <w:tc>
          <w:tcPr>
            <w:tcW w:w="43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98"/>
              <w:spacing w:after="0" w:line="134" w:lineRule="exact"/>
              <w:rPr>
                <w:sz w:val="20"/>
                <w:szCs w:val="20"/>
                <w:color w:val="auto"/>
              </w:rPr>
            </w:pPr>
            <w:r>
              <w:rPr>
                <w:rFonts w:ascii="Arial" w:cs="Arial" w:eastAsia="Arial" w:hAnsi="Arial"/>
                <w:sz w:val="12"/>
                <w:szCs w:val="12"/>
                <w:color w:val="auto"/>
              </w:rPr>
              <w:t>$</w:t>
            </w:r>
          </w:p>
        </w:tc>
        <w:tc>
          <w:tcPr>
            <w:tcW w:w="1640" w:type="dxa"/>
            <w:vAlign w:val="bottom"/>
            <w:tcBorders>
              <w:bottom w:val="single" w:sz="8" w:color="auto"/>
            </w:tcBorders>
          </w:tcPr>
          <w:p>
            <w:pPr>
              <w:jc w:val="right"/>
              <w:ind w:right="239"/>
              <w:spacing w:after="0" w:line="134" w:lineRule="exact"/>
              <w:rPr>
                <w:sz w:val="20"/>
                <w:szCs w:val="20"/>
                <w:color w:val="auto"/>
              </w:rPr>
            </w:pPr>
            <w:r>
              <w:rPr>
                <w:rFonts w:ascii="Arial" w:cs="Arial" w:eastAsia="Arial" w:hAnsi="Arial"/>
                <w:sz w:val="12"/>
                <w:szCs w:val="12"/>
                <w:color w:val="auto"/>
              </w:rPr>
              <w:t>28</w:t>
            </w:r>
          </w:p>
        </w:tc>
        <w:tc>
          <w:tcPr>
            <w:tcW w:w="600" w:type="dxa"/>
            <w:vAlign w:val="bottom"/>
            <w:tcBorders>
              <w:bottom w:val="single" w:sz="8" w:color="auto"/>
            </w:tcBorders>
          </w:tcPr>
          <w:p>
            <w:pPr>
              <w:jc w:val="right"/>
              <w:ind w:right="178"/>
              <w:spacing w:after="0" w:line="134" w:lineRule="exact"/>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80" w:type="dxa"/>
            <w:vAlign w:val="bottom"/>
          </w:tcPr>
          <w:p>
            <w:pPr>
              <w:spacing w:after="0" w:line="126" w:lineRule="exact"/>
              <w:rPr>
                <w:sz w:val="20"/>
                <w:szCs w:val="20"/>
                <w:color w:val="auto"/>
              </w:rPr>
            </w:pPr>
            <w:r>
              <w:rPr>
                <w:rFonts w:ascii="Arial" w:cs="Arial" w:eastAsia="Arial" w:hAnsi="Arial"/>
                <w:sz w:val="12"/>
                <w:szCs w:val="12"/>
                <w:b w:val="1"/>
                <w:bCs w:val="1"/>
                <w:color w:val="auto"/>
              </w:rPr>
              <w:t>SDG&amp;E:</w:t>
            </w:r>
          </w:p>
        </w:tc>
        <w:tc>
          <w:tcPr>
            <w:tcW w:w="4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80" w:type="dxa"/>
            <w:vAlign w:val="bottom"/>
          </w:tcPr>
          <w:p>
            <w:pPr>
              <w:ind w:left="120"/>
              <w:spacing w:after="0" w:line="134" w:lineRule="exact"/>
              <w:rPr>
                <w:sz w:val="20"/>
                <w:szCs w:val="20"/>
                <w:color w:val="auto"/>
              </w:rPr>
            </w:pPr>
            <w:r>
              <w:rPr>
                <w:rFonts w:ascii="Arial" w:cs="Arial" w:eastAsia="Arial" w:hAnsi="Arial"/>
                <w:sz w:val="12"/>
                <w:szCs w:val="12"/>
                <w:color w:val="auto"/>
              </w:rPr>
              <w:t>Interest rate instruments(1)</w:t>
            </w:r>
          </w:p>
        </w:tc>
        <w:tc>
          <w:tcPr>
            <w:tcW w:w="4340" w:type="dxa"/>
            <w:vAlign w:val="bottom"/>
          </w:tcPr>
          <w:p>
            <w:pPr>
              <w:ind w:left="760"/>
              <w:spacing w:after="0" w:line="134" w:lineRule="exact"/>
              <w:rPr>
                <w:sz w:val="20"/>
                <w:szCs w:val="20"/>
                <w:color w:val="auto"/>
              </w:rPr>
            </w:pPr>
            <w:r>
              <w:rPr>
                <w:rFonts w:ascii="Arial" w:cs="Arial" w:eastAsia="Arial" w:hAnsi="Arial"/>
                <w:sz w:val="12"/>
                <w:szCs w:val="12"/>
                <w:color w:val="auto"/>
              </w:rPr>
              <w:t>Other Income, Net</w:t>
            </w:r>
          </w:p>
        </w:tc>
        <w:tc>
          <w:tcPr>
            <w:tcW w:w="7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w:t>
            </w:r>
          </w:p>
        </w:tc>
        <w:tc>
          <w:tcPr>
            <w:tcW w:w="1640" w:type="dxa"/>
            <w:vAlign w:val="bottom"/>
          </w:tcPr>
          <w:p>
            <w:pPr>
              <w:jc w:val="right"/>
              <w:ind w:right="239"/>
              <w:spacing w:after="0" w:line="134" w:lineRule="exact"/>
              <w:rPr>
                <w:sz w:val="20"/>
                <w:szCs w:val="20"/>
                <w:color w:val="auto"/>
              </w:rPr>
            </w:pPr>
            <w:r>
              <w:rPr>
                <w:rFonts w:ascii="Arial" w:cs="Arial" w:eastAsia="Arial" w:hAnsi="Arial"/>
                <w:sz w:val="12"/>
                <w:szCs w:val="12"/>
                <w:color w:val="auto"/>
              </w:rPr>
              <w:t>―</w:t>
            </w:r>
          </w:p>
        </w:tc>
        <w:tc>
          <w:tcPr>
            <w:tcW w:w="60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w:t>
            </w:r>
          </w:p>
        </w:tc>
        <w:tc>
          <w:tcPr>
            <w:tcW w:w="1300" w:type="dxa"/>
            <w:vAlign w:val="bottom"/>
          </w:tcPr>
          <w:p>
            <w:pPr>
              <w:jc w:val="right"/>
              <w:spacing w:after="0" w:line="134" w:lineRule="exact"/>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80" w:type="dxa"/>
            <w:vAlign w:val="bottom"/>
          </w:tcPr>
          <w:p>
            <w:pPr>
              <w:ind w:left="120"/>
              <w:spacing w:after="0" w:line="134" w:lineRule="exact"/>
              <w:rPr>
                <w:sz w:val="20"/>
                <w:szCs w:val="20"/>
                <w:color w:val="auto"/>
              </w:rPr>
            </w:pPr>
            <w:r>
              <w:rPr>
                <w:rFonts w:ascii="Arial" w:cs="Arial" w:eastAsia="Arial" w:hAnsi="Arial"/>
                <w:sz w:val="12"/>
                <w:szCs w:val="12"/>
                <w:color w:val="auto"/>
              </w:rPr>
              <w:t>Commodity contracts not subject</w:t>
            </w:r>
          </w:p>
        </w:tc>
        <w:tc>
          <w:tcPr>
            <w:tcW w:w="4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80" w:type="dxa"/>
            <w:vAlign w:val="bottom"/>
          </w:tcPr>
          <w:p>
            <w:pPr>
              <w:jc w:val="center"/>
              <w:ind w:right="1338"/>
              <w:spacing w:after="0" w:line="134" w:lineRule="exact"/>
              <w:rPr>
                <w:sz w:val="20"/>
                <w:szCs w:val="20"/>
                <w:color w:val="auto"/>
              </w:rPr>
            </w:pPr>
            <w:r>
              <w:rPr>
                <w:rFonts w:ascii="Arial" w:cs="Arial" w:eastAsia="Arial" w:hAnsi="Arial"/>
                <w:sz w:val="12"/>
                <w:szCs w:val="12"/>
                <w:color w:val="auto"/>
              </w:rPr>
              <w:t>to rate recovery</w:t>
            </w:r>
          </w:p>
        </w:tc>
        <w:tc>
          <w:tcPr>
            <w:tcW w:w="4340" w:type="dxa"/>
            <w:vAlign w:val="bottom"/>
          </w:tcPr>
          <w:p>
            <w:pPr>
              <w:ind w:left="760"/>
              <w:spacing w:after="0" w:line="134" w:lineRule="exact"/>
              <w:rPr>
                <w:sz w:val="20"/>
                <w:szCs w:val="20"/>
                <w:color w:val="auto"/>
              </w:rPr>
            </w:pPr>
            <w:r>
              <w:rPr>
                <w:rFonts w:ascii="Arial" w:cs="Arial" w:eastAsia="Arial" w:hAnsi="Arial"/>
                <w:sz w:val="12"/>
                <w:szCs w:val="12"/>
                <w:color w:val="auto"/>
              </w:rPr>
              <w:t>Operation and Maintenance</w:t>
            </w:r>
          </w:p>
        </w:tc>
        <w:tc>
          <w:tcPr>
            <w:tcW w:w="780" w:type="dxa"/>
            <w:vAlign w:val="bottom"/>
          </w:tcPr>
          <w:p>
            <w:pPr>
              <w:spacing w:after="0"/>
              <w:rPr>
                <w:sz w:val="11"/>
                <w:szCs w:val="11"/>
                <w:color w:val="auto"/>
              </w:rPr>
            </w:pPr>
          </w:p>
        </w:tc>
        <w:tc>
          <w:tcPr>
            <w:tcW w:w="1640" w:type="dxa"/>
            <w:vAlign w:val="bottom"/>
          </w:tcPr>
          <w:p>
            <w:pPr>
              <w:jc w:val="right"/>
              <w:ind w:right="239"/>
              <w:spacing w:after="0" w:line="134" w:lineRule="exact"/>
              <w:rPr>
                <w:sz w:val="20"/>
                <w:szCs w:val="20"/>
                <w:color w:val="auto"/>
              </w:rPr>
            </w:pPr>
            <w:r>
              <w:rPr>
                <w:rFonts w:ascii="Arial" w:cs="Arial" w:eastAsia="Arial" w:hAnsi="Arial"/>
                <w:sz w:val="12"/>
                <w:szCs w:val="12"/>
                <w:color w:val="auto"/>
              </w:rPr>
              <w:t>1</w:t>
            </w:r>
          </w:p>
        </w:tc>
        <w:tc>
          <w:tcPr>
            <w:tcW w:w="600" w:type="dxa"/>
            <w:vAlign w:val="bottom"/>
          </w:tcPr>
          <w:p>
            <w:pPr>
              <w:spacing w:after="0"/>
              <w:rPr>
                <w:sz w:val="11"/>
                <w:szCs w:val="11"/>
                <w:color w:val="auto"/>
              </w:rPr>
            </w:pPr>
          </w:p>
        </w:tc>
        <w:tc>
          <w:tcPr>
            <w:tcW w:w="130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Pr>
          <w:p>
            <w:pPr>
              <w:ind w:left="120"/>
              <w:spacing w:after="0"/>
              <w:rPr>
                <w:sz w:val="20"/>
                <w:szCs w:val="20"/>
                <w:color w:val="auto"/>
              </w:rPr>
            </w:pPr>
            <w:r>
              <w:rPr>
                <w:rFonts w:ascii="Arial" w:cs="Arial" w:eastAsia="Arial" w:hAnsi="Arial"/>
                <w:sz w:val="12"/>
                <w:szCs w:val="12"/>
                <w:color w:val="auto"/>
              </w:rPr>
              <w:t>Commodity contracts subject</w:t>
            </w:r>
          </w:p>
        </w:tc>
        <w:tc>
          <w:tcPr>
            <w:tcW w:w="4340" w:type="dxa"/>
            <w:vAlign w:val="bottom"/>
          </w:tcPr>
          <w:p>
            <w:pPr>
              <w:ind w:left="760"/>
              <w:spacing w:after="0"/>
              <w:rPr>
                <w:sz w:val="20"/>
                <w:szCs w:val="20"/>
                <w:color w:val="auto"/>
              </w:rPr>
            </w:pPr>
            <w:r>
              <w:rPr>
                <w:rFonts w:ascii="Arial" w:cs="Arial" w:eastAsia="Arial" w:hAnsi="Arial"/>
                <w:sz w:val="12"/>
                <w:szCs w:val="12"/>
                <w:color w:val="auto"/>
              </w:rPr>
              <w:t>Cost of Electric Fuel</w:t>
            </w:r>
          </w:p>
        </w:tc>
        <w:tc>
          <w:tcPr>
            <w:tcW w:w="780" w:type="dxa"/>
            <w:vAlign w:val="bottom"/>
          </w:tcPr>
          <w:p>
            <w:pPr>
              <w:spacing w:after="0"/>
              <w:rPr>
                <w:sz w:val="12"/>
                <w:szCs w:val="12"/>
                <w:color w:val="auto"/>
              </w:rPr>
            </w:pPr>
          </w:p>
        </w:tc>
        <w:tc>
          <w:tcPr>
            <w:tcW w:w="1640" w:type="dxa"/>
            <w:vAlign w:val="bottom"/>
            <w:vMerge w:val="restart"/>
          </w:tcPr>
          <w:p>
            <w:pPr>
              <w:jc w:val="right"/>
              <w:ind w:right="239"/>
              <w:spacing w:after="0"/>
              <w:rPr>
                <w:sz w:val="20"/>
                <w:szCs w:val="20"/>
                <w:color w:val="auto"/>
              </w:rPr>
            </w:pPr>
            <w:r>
              <w:rPr>
                <w:rFonts w:ascii="Arial" w:cs="Arial" w:eastAsia="Arial" w:hAnsi="Arial"/>
                <w:sz w:val="12"/>
                <w:szCs w:val="12"/>
                <w:color w:val="auto"/>
              </w:rPr>
              <w:t>9</w:t>
            </w:r>
          </w:p>
        </w:tc>
        <w:tc>
          <w:tcPr>
            <w:tcW w:w="60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tcPr>
          <w:p>
            <w:pPr>
              <w:jc w:val="center"/>
              <w:ind w:right="1338"/>
              <w:spacing w:after="0" w:line="130" w:lineRule="exact"/>
              <w:rPr>
                <w:sz w:val="20"/>
                <w:szCs w:val="20"/>
                <w:color w:val="auto"/>
              </w:rPr>
            </w:pPr>
            <w:r>
              <w:rPr>
                <w:rFonts w:ascii="Arial" w:cs="Arial" w:eastAsia="Arial" w:hAnsi="Arial"/>
                <w:sz w:val="12"/>
                <w:szCs w:val="12"/>
                <w:color w:val="auto"/>
              </w:rPr>
              <w:t>to rate recovery</w:t>
            </w:r>
          </w:p>
        </w:tc>
        <w:tc>
          <w:tcPr>
            <w:tcW w:w="4340" w:type="dxa"/>
            <w:vAlign w:val="bottom"/>
          </w:tcPr>
          <w:p>
            <w:pPr>
              <w:ind w:left="900"/>
              <w:spacing w:after="0" w:line="130" w:lineRule="exact"/>
              <w:rPr>
                <w:sz w:val="20"/>
                <w:szCs w:val="20"/>
                <w:color w:val="auto"/>
              </w:rPr>
            </w:pPr>
            <w:r>
              <w:rPr>
                <w:rFonts w:ascii="Arial" w:cs="Arial" w:eastAsia="Arial" w:hAnsi="Arial"/>
                <w:sz w:val="12"/>
                <w:szCs w:val="12"/>
                <w:color w:val="auto"/>
              </w:rPr>
              <w:t>and Purchased Power</w:t>
            </w:r>
          </w:p>
        </w:tc>
        <w:tc>
          <w:tcPr>
            <w:tcW w:w="7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tcBorders>
              <w:bottom w:val="single" w:sz="8" w:color="auto"/>
            </w:tcBorders>
          </w:tcPr>
          <w:p>
            <w:pPr>
              <w:ind w:left="120"/>
              <w:spacing w:after="0" w:line="134" w:lineRule="exact"/>
              <w:rPr>
                <w:sz w:val="20"/>
                <w:szCs w:val="20"/>
                <w:color w:val="auto"/>
              </w:rPr>
            </w:pPr>
            <w:r>
              <w:rPr>
                <w:rFonts w:ascii="Arial" w:cs="Arial" w:eastAsia="Arial" w:hAnsi="Arial"/>
                <w:sz w:val="12"/>
                <w:szCs w:val="12"/>
                <w:color w:val="auto"/>
              </w:rPr>
              <w:t>Total</w:t>
            </w:r>
          </w:p>
        </w:tc>
        <w:tc>
          <w:tcPr>
            <w:tcW w:w="43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98"/>
              <w:spacing w:after="0" w:line="134" w:lineRule="exact"/>
              <w:rPr>
                <w:sz w:val="20"/>
                <w:szCs w:val="20"/>
                <w:color w:val="auto"/>
              </w:rPr>
            </w:pPr>
            <w:r>
              <w:rPr>
                <w:rFonts w:ascii="Arial" w:cs="Arial" w:eastAsia="Arial" w:hAnsi="Arial"/>
                <w:sz w:val="12"/>
                <w:szCs w:val="12"/>
                <w:color w:val="auto"/>
              </w:rPr>
              <w:t>$</w:t>
            </w:r>
          </w:p>
        </w:tc>
        <w:tc>
          <w:tcPr>
            <w:tcW w:w="1640" w:type="dxa"/>
            <w:vAlign w:val="bottom"/>
            <w:tcBorders>
              <w:bottom w:val="single" w:sz="8" w:color="auto"/>
            </w:tcBorders>
          </w:tcPr>
          <w:p>
            <w:pPr>
              <w:jc w:val="right"/>
              <w:ind w:right="239"/>
              <w:spacing w:after="0" w:line="134" w:lineRule="exact"/>
              <w:rPr>
                <w:sz w:val="20"/>
                <w:szCs w:val="20"/>
                <w:color w:val="auto"/>
              </w:rPr>
            </w:pPr>
            <w:r>
              <w:rPr>
                <w:rFonts w:ascii="Arial" w:cs="Arial" w:eastAsia="Arial" w:hAnsi="Arial"/>
                <w:sz w:val="12"/>
                <w:szCs w:val="12"/>
                <w:color w:val="auto"/>
              </w:rPr>
              <w:t>10</w:t>
            </w:r>
          </w:p>
        </w:tc>
        <w:tc>
          <w:tcPr>
            <w:tcW w:w="600" w:type="dxa"/>
            <w:vAlign w:val="bottom"/>
            <w:tcBorders>
              <w:bottom w:val="single" w:sz="8" w:color="auto"/>
            </w:tcBorders>
          </w:tcPr>
          <w:p>
            <w:pPr>
              <w:jc w:val="right"/>
              <w:ind w:right="178"/>
              <w:spacing w:after="0" w:line="134" w:lineRule="exact"/>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80" w:type="dxa"/>
            <w:vAlign w:val="bottom"/>
          </w:tcPr>
          <w:p>
            <w:pPr>
              <w:spacing w:after="0" w:line="126" w:lineRule="exact"/>
              <w:rPr>
                <w:sz w:val="20"/>
                <w:szCs w:val="20"/>
                <w:color w:val="auto"/>
              </w:rPr>
            </w:pPr>
            <w:r>
              <w:rPr>
                <w:rFonts w:ascii="Arial" w:cs="Arial" w:eastAsia="Arial" w:hAnsi="Arial"/>
                <w:sz w:val="12"/>
                <w:szCs w:val="12"/>
                <w:b w:val="1"/>
                <w:bCs w:val="1"/>
                <w:color w:val="auto"/>
              </w:rPr>
              <w:t>SoCalGas:</w:t>
            </w:r>
          </w:p>
        </w:tc>
        <w:tc>
          <w:tcPr>
            <w:tcW w:w="4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80" w:type="dxa"/>
            <w:vAlign w:val="bottom"/>
          </w:tcPr>
          <w:p>
            <w:pPr>
              <w:ind w:left="120"/>
              <w:spacing w:after="0" w:line="134" w:lineRule="exact"/>
              <w:rPr>
                <w:sz w:val="20"/>
                <w:szCs w:val="20"/>
                <w:color w:val="auto"/>
              </w:rPr>
            </w:pPr>
            <w:r>
              <w:rPr>
                <w:rFonts w:ascii="Arial" w:cs="Arial" w:eastAsia="Arial" w:hAnsi="Arial"/>
                <w:sz w:val="12"/>
                <w:szCs w:val="12"/>
                <w:color w:val="auto"/>
              </w:rPr>
              <w:t>Commodity contracts not subject</w:t>
            </w:r>
          </w:p>
        </w:tc>
        <w:tc>
          <w:tcPr>
            <w:tcW w:w="4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Pr>
          <w:p>
            <w:pPr>
              <w:jc w:val="center"/>
              <w:ind w:right="1338"/>
              <w:spacing w:after="0"/>
              <w:rPr>
                <w:sz w:val="20"/>
                <w:szCs w:val="20"/>
                <w:color w:val="auto"/>
              </w:rPr>
            </w:pPr>
            <w:r>
              <w:rPr>
                <w:rFonts w:ascii="Arial" w:cs="Arial" w:eastAsia="Arial" w:hAnsi="Arial"/>
                <w:sz w:val="12"/>
                <w:szCs w:val="12"/>
                <w:color w:val="auto"/>
              </w:rPr>
              <w:t>to rate recovery</w:t>
            </w:r>
          </w:p>
        </w:tc>
        <w:tc>
          <w:tcPr>
            <w:tcW w:w="4340" w:type="dxa"/>
            <w:vAlign w:val="bottom"/>
          </w:tcPr>
          <w:p>
            <w:pPr>
              <w:ind w:left="760"/>
              <w:spacing w:after="0"/>
              <w:rPr>
                <w:sz w:val="20"/>
                <w:szCs w:val="20"/>
                <w:color w:val="auto"/>
              </w:rPr>
            </w:pPr>
            <w:r>
              <w:rPr>
                <w:rFonts w:ascii="Arial" w:cs="Arial" w:eastAsia="Arial" w:hAnsi="Arial"/>
                <w:sz w:val="12"/>
                <w:szCs w:val="12"/>
                <w:color w:val="auto"/>
              </w:rPr>
              <w:t>Operation and Maintenance</w:t>
            </w:r>
          </w:p>
        </w:tc>
        <w:tc>
          <w:tcPr>
            <w:tcW w:w="78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1640" w:type="dxa"/>
            <w:vAlign w:val="bottom"/>
          </w:tcPr>
          <w:p>
            <w:pPr>
              <w:jc w:val="right"/>
              <w:ind w:right="239"/>
              <w:spacing w:after="0"/>
              <w:rPr>
                <w:sz w:val="20"/>
                <w:szCs w:val="20"/>
                <w:color w:val="auto"/>
              </w:rPr>
            </w:pPr>
            <w:r>
              <w:rPr>
                <w:rFonts w:ascii="Arial" w:cs="Arial" w:eastAsia="Arial" w:hAnsi="Arial"/>
                <w:sz w:val="12"/>
                <w:szCs w:val="12"/>
                <w:color w:val="auto"/>
              </w:rPr>
              <w:t>1</w:t>
            </w:r>
          </w:p>
        </w:tc>
        <w:tc>
          <w:tcPr>
            <w:tcW w:w="60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80" w:type="dxa"/>
            <w:vAlign w:val="bottom"/>
          </w:tcPr>
          <w:p>
            <w:pPr>
              <w:ind w:left="120"/>
              <w:spacing w:after="0"/>
              <w:rPr>
                <w:sz w:val="20"/>
                <w:szCs w:val="20"/>
                <w:color w:val="auto"/>
              </w:rPr>
            </w:pPr>
            <w:r>
              <w:rPr>
                <w:rFonts w:ascii="Arial" w:cs="Arial" w:eastAsia="Arial" w:hAnsi="Arial"/>
                <w:sz w:val="12"/>
                <w:szCs w:val="12"/>
                <w:color w:val="auto"/>
              </w:rPr>
              <w:t>Commodity contracts subject</w:t>
            </w:r>
          </w:p>
        </w:tc>
        <w:tc>
          <w:tcPr>
            <w:tcW w:w="4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40" w:type="dxa"/>
            <w:vAlign w:val="bottom"/>
            <w:vMerge w:val="restart"/>
          </w:tcPr>
          <w:p>
            <w:pPr>
              <w:jc w:val="right"/>
              <w:ind w:right="239"/>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tcPr>
          <w:p>
            <w:pPr>
              <w:jc w:val="center"/>
              <w:ind w:right="1338"/>
              <w:spacing w:after="0" w:line="130" w:lineRule="exact"/>
              <w:rPr>
                <w:sz w:val="20"/>
                <w:szCs w:val="20"/>
                <w:color w:val="auto"/>
              </w:rPr>
            </w:pPr>
            <w:r>
              <w:rPr>
                <w:rFonts w:ascii="Arial" w:cs="Arial" w:eastAsia="Arial" w:hAnsi="Arial"/>
                <w:sz w:val="12"/>
                <w:szCs w:val="12"/>
                <w:color w:val="auto"/>
              </w:rPr>
              <w:t>to rate recovery</w:t>
            </w:r>
          </w:p>
        </w:tc>
        <w:tc>
          <w:tcPr>
            <w:tcW w:w="4340" w:type="dxa"/>
            <w:vAlign w:val="bottom"/>
          </w:tcPr>
          <w:p>
            <w:pPr>
              <w:ind w:left="760"/>
              <w:spacing w:after="0" w:line="130" w:lineRule="exact"/>
              <w:rPr>
                <w:sz w:val="20"/>
                <w:szCs w:val="20"/>
                <w:color w:val="auto"/>
              </w:rPr>
            </w:pPr>
            <w:r>
              <w:rPr>
                <w:rFonts w:ascii="Arial" w:cs="Arial" w:eastAsia="Arial" w:hAnsi="Arial"/>
                <w:sz w:val="12"/>
                <w:szCs w:val="12"/>
                <w:color w:val="auto"/>
              </w:rPr>
              <w:t>Cost of Natural Gas</w:t>
            </w:r>
          </w:p>
        </w:tc>
        <w:tc>
          <w:tcPr>
            <w:tcW w:w="7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Pr>
          <w:p>
            <w:pPr>
              <w:ind w:left="120"/>
              <w:spacing w:after="0"/>
              <w:rPr>
                <w:sz w:val="20"/>
                <w:szCs w:val="20"/>
                <w:color w:val="auto"/>
              </w:rPr>
            </w:pPr>
            <w:r>
              <w:rPr>
                <w:rFonts w:ascii="Arial" w:cs="Arial" w:eastAsia="Arial" w:hAnsi="Arial"/>
                <w:sz w:val="12"/>
                <w:szCs w:val="12"/>
                <w:color w:val="auto"/>
              </w:rPr>
              <w:t>Total</w:t>
            </w:r>
          </w:p>
        </w:tc>
        <w:tc>
          <w:tcPr>
            <w:tcW w:w="4340" w:type="dxa"/>
            <w:vAlign w:val="bottom"/>
          </w:tcPr>
          <w:p>
            <w:pPr>
              <w:spacing w:after="0"/>
              <w:rPr>
                <w:sz w:val="12"/>
                <w:szCs w:val="12"/>
                <w:color w:val="auto"/>
              </w:rPr>
            </w:pPr>
          </w:p>
        </w:tc>
        <w:tc>
          <w:tcPr>
            <w:tcW w:w="78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1640" w:type="dxa"/>
            <w:vAlign w:val="bottom"/>
          </w:tcPr>
          <w:p>
            <w:pPr>
              <w:jc w:val="right"/>
              <w:ind w:right="239"/>
              <w:spacing w:after="0"/>
              <w:rPr>
                <w:sz w:val="20"/>
                <w:szCs w:val="20"/>
                <w:color w:val="auto"/>
              </w:rPr>
            </w:pPr>
            <w:r>
              <w:rPr>
                <w:rFonts w:ascii="Arial" w:cs="Arial" w:eastAsia="Arial" w:hAnsi="Arial"/>
                <w:sz w:val="12"/>
                <w:szCs w:val="12"/>
                <w:color w:val="auto"/>
              </w:rPr>
              <w:t>1</w:t>
            </w:r>
          </w:p>
        </w:tc>
        <w:tc>
          <w:tcPr>
            <w:tcW w:w="60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279005" cy="13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ind w:left="500" w:hanging="497"/>
        <w:spacing w:after="0"/>
        <w:tabs>
          <w:tab w:leader="none" w:pos="500" w:val="left"/>
        </w:tabs>
        <w:numPr>
          <w:ilvl w:val="0"/>
          <w:numId w:val="18"/>
        </w:numPr>
        <w:rPr>
          <w:rFonts w:ascii="Arial" w:cs="Arial" w:eastAsia="Arial" w:hAnsi="Arial"/>
          <w:sz w:val="11"/>
          <w:szCs w:val="11"/>
          <w:i w:val="1"/>
          <w:iCs w:val="1"/>
          <w:color w:val="auto"/>
        </w:rPr>
      </w:pPr>
      <w:r>
        <w:rPr>
          <w:rFonts w:ascii="Arial" w:cs="Arial" w:eastAsia="Arial" w:hAnsi="Arial"/>
          <w:sz w:val="11"/>
          <w:szCs w:val="11"/>
          <w:i w:val="1"/>
          <w:iCs w:val="1"/>
          <w:color w:val="auto"/>
        </w:rPr>
        <w:t>Amount for 2010 related to Otay Mesa VIE. Sempra Energy Consolidated also includes additional instruments.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CONTINGENT FEATURES</w:t>
      </w:r>
    </w:p>
    <w:p>
      <w:pPr>
        <w:spacing w:after="0" w:line="176"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For Sempra Energy and SDG&amp;E, certain of our derivative instruments contain credit limits which vary depending upon our credit ratings. Generally, these provisions, if applicable, may reduce our credit limit if a specified credit rating agency reduces our ratings. In certain cases, if our credit ratings were to fall below investment grade, the counterparty to these derivative liability instruments could request immediate payment or demand immediate and ongoing full collateralization.</w:t>
      </w:r>
    </w:p>
    <w:p>
      <w:pPr>
        <w:spacing w:after="0" w:line="146" w:lineRule="exact"/>
        <w:rPr>
          <w:sz w:val="20"/>
          <w:szCs w:val="20"/>
          <w:color w:val="auto"/>
        </w:rPr>
      </w:pPr>
    </w:p>
    <w:p>
      <w:pPr>
        <w:ind w:right="300"/>
        <w:spacing w:after="0" w:line="267" w:lineRule="auto"/>
        <w:rPr>
          <w:sz w:val="20"/>
          <w:szCs w:val="20"/>
          <w:color w:val="auto"/>
        </w:rPr>
      </w:pPr>
      <w:r>
        <w:rPr>
          <w:rFonts w:ascii="Arial" w:cs="Arial" w:eastAsia="Arial" w:hAnsi="Arial"/>
          <w:sz w:val="14"/>
          <w:szCs w:val="14"/>
          <w:color w:val="auto"/>
        </w:rPr>
        <w:t>For Sempra Energy, the total fair value of this group of derivative instruments in a net liability position at March 31, 2011 is $5 million. As of March 31, 2011, if the credit ratings of Sempra Energy were reduced below investment grade, $5 million of additional assets could be required to be posted as collateral for these derivative contracts.</w:t>
      </w:r>
    </w:p>
    <w:p>
      <w:pPr>
        <w:spacing w:after="0" w:line="138" w:lineRule="exact"/>
        <w:rPr>
          <w:sz w:val="20"/>
          <w:szCs w:val="20"/>
          <w:color w:val="auto"/>
        </w:rPr>
      </w:pPr>
    </w:p>
    <w:p>
      <w:pPr>
        <w:ind w:right="220"/>
        <w:spacing w:after="0" w:line="267" w:lineRule="auto"/>
        <w:rPr>
          <w:sz w:val="20"/>
          <w:szCs w:val="20"/>
          <w:color w:val="auto"/>
        </w:rPr>
      </w:pPr>
      <w:r>
        <w:rPr>
          <w:rFonts w:ascii="Arial" w:cs="Arial" w:eastAsia="Arial" w:hAnsi="Arial"/>
          <w:sz w:val="14"/>
          <w:szCs w:val="14"/>
          <w:color w:val="auto"/>
        </w:rPr>
        <w:t>For SDG&amp;E, the total fair value of this group of derivative instruments in a net liability position at March 31, 2011 is $2 million. As of March 31, 2011, if the credit ratings of SDG&amp;E were reduced below investment grade, $2 million of additional assets could be required to be posted as collateral for these derivative contracts.</w:t>
      </w:r>
    </w:p>
    <w:p>
      <w:pPr>
        <w:spacing w:after="0" w:line="138" w:lineRule="exact"/>
        <w:rPr>
          <w:sz w:val="20"/>
          <w:szCs w:val="20"/>
          <w:color w:val="auto"/>
        </w:rPr>
      </w:pPr>
    </w:p>
    <w:p>
      <w:pPr>
        <w:ind w:right="460"/>
        <w:spacing w:after="0" w:line="267" w:lineRule="auto"/>
        <w:rPr>
          <w:sz w:val="20"/>
          <w:szCs w:val="20"/>
          <w:color w:val="auto"/>
        </w:rPr>
      </w:pPr>
      <w:r>
        <w:rPr>
          <w:rFonts w:ascii="Arial" w:cs="Arial" w:eastAsia="Arial" w:hAnsi="Arial"/>
          <w:sz w:val="14"/>
          <w:szCs w:val="14"/>
          <w:color w:val="auto"/>
        </w:rPr>
        <w:t>For Sempra Energy, SDG&amp;E, PE and SoCalGas, some of our derivative contracts contain a provision that would permit the counterparty, in certain circumstances, to request adequate assurance of our performance under the contracts. Such additional assurance, if needed, is not material and is not included in the amounts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252095</wp:posOffset>
            </wp:positionV>
            <wp:extent cx="729170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1705" cy="635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NOTE 8. FAIR VALUE MEASUREMENTS</w:t>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Fair Value of Financial Instruments</w:t>
      </w:r>
    </w:p>
    <w:p>
      <w:pPr>
        <w:spacing w:after="0" w:line="160" w:lineRule="exact"/>
        <w:rPr>
          <w:sz w:val="20"/>
          <w:szCs w:val="20"/>
          <w:color w:val="auto"/>
        </w:rPr>
      </w:pPr>
    </w:p>
    <w:p>
      <w:pPr>
        <w:ind w:right="100"/>
        <w:spacing w:after="0" w:line="306" w:lineRule="auto"/>
        <w:rPr>
          <w:sz w:val="20"/>
          <w:szCs w:val="20"/>
          <w:color w:val="auto"/>
        </w:rPr>
      </w:pPr>
      <w:r>
        <w:rPr>
          <w:rFonts w:ascii="Arial" w:cs="Arial" w:eastAsia="Arial" w:hAnsi="Arial"/>
          <w:sz w:val="13"/>
          <w:szCs w:val="13"/>
          <w:color w:val="auto"/>
        </w:rPr>
        <w:t>The fair values of certain of our financial instruments (cash, temporary investments, accounts and notes receivable, dividends and accounts payable, short-term debt and customer deposits) approximate their carrying amounts. The following table provides the carrying amounts and fair values of the remaining financial instruments at March 31, 2011 and December 31, 2010:</w:t>
      </w:r>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(Dollars in millions)</w:t>
      </w:r>
    </w:p>
    <w:tbl>
      <w:tblPr>
        <w:tblLayout w:type="fixed"/>
        <w:tblInd w:w="5480" w:type="dxa"/>
        <w:tblCellMar>
          <w:top w:w="0" w:type="dxa"/>
          <w:left w:w="0" w:type="dxa"/>
          <w:bottom w:w="0" w:type="dxa"/>
          <w:right w:w="0" w:type="dxa"/>
        </w:tblCellMar>
      </w:tblPr>
      <w:tr>
        <w:trPr>
          <w:trHeight w:val="121"/>
        </w:trPr>
        <w:tc>
          <w:tcPr>
            <w:tcW w:w="102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ind w:left="80"/>
              <w:spacing w:after="0" w:line="121" w:lineRule="exact"/>
              <w:rPr>
                <w:sz w:val="20"/>
                <w:szCs w:val="20"/>
                <w:color w:val="auto"/>
              </w:rPr>
            </w:pPr>
            <w:r>
              <w:rPr>
                <w:rFonts w:ascii="Arial" w:cs="Arial" w:eastAsia="Arial" w:hAnsi="Arial"/>
                <w:sz w:val="11"/>
                <w:szCs w:val="11"/>
                <w:color w:val="auto"/>
              </w:rPr>
              <w:t>March 31, 2011</w:t>
            </w:r>
          </w:p>
        </w:tc>
        <w:tc>
          <w:tcPr>
            <w:tcW w:w="104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ind w:left="40"/>
              <w:spacing w:after="0" w:line="121" w:lineRule="exact"/>
              <w:rPr>
                <w:sz w:val="20"/>
                <w:szCs w:val="20"/>
                <w:color w:val="auto"/>
              </w:rPr>
            </w:pPr>
            <w:r>
              <w:rPr>
                <w:rFonts w:ascii="Arial" w:cs="Arial" w:eastAsia="Arial" w:hAnsi="Arial"/>
                <w:sz w:val="11"/>
                <w:szCs w:val="11"/>
                <w:color w:val="auto"/>
              </w:rPr>
              <w:t>December 31, 2010</w:t>
            </w:r>
          </w:p>
        </w:tc>
      </w:tr>
      <w:tr>
        <w:trPr>
          <w:trHeight w:val="135"/>
        </w:trPr>
        <w:tc>
          <w:tcPr>
            <w:tcW w:w="1020" w:type="dxa"/>
            <w:vAlign w:val="bottom"/>
          </w:tcPr>
          <w:p>
            <w:pPr>
              <w:ind w:left="520"/>
              <w:spacing w:after="0"/>
              <w:rPr>
                <w:sz w:val="20"/>
                <w:szCs w:val="20"/>
                <w:color w:val="auto"/>
              </w:rPr>
            </w:pPr>
            <w:r>
              <w:rPr>
                <w:rFonts w:ascii="Arial" w:cs="Arial" w:eastAsia="Arial" w:hAnsi="Arial"/>
                <w:sz w:val="11"/>
                <w:szCs w:val="11"/>
                <w:color w:val="auto"/>
              </w:rPr>
              <w:t>Carrying</w:t>
            </w:r>
          </w:p>
        </w:tc>
        <w:tc>
          <w:tcPr>
            <w:tcW w:w="1900" w:type="dxa"/>
            <w:vAlign w:val="bottom"/>
          </w:tcPr>
          <w:p>
            <w:pPr>
              <w:ind w:left="1100"/>
              <w:spacing w:after="0"/>
              <w:rPr>
                <w:sz w:val="20"/>
                <w:szCs w:val="20"/>
                <w:color w:val="auto"/>
              </w:rPr>
            </w:pPr>
            <w:r>
              <w:rPr>
                <w:rFonts w:ascii="Arial" w:cs="Arial" w:eastAsia="Arial" w:hAnsi="Arial"/>
                <w:sz w:val="11"/>
                <w:szCs w:val="11"/>
                <w:color w:val="auto"/>
              </w:rPr>
              <w:t>Fair</w:t>
            </w:r>
          </w:p>
        </w:tc>
        <w:tc>
          <w:tcPr>
            <w:tcW w:w="1040" w:type="dxa"/>
            <w:vAlign w:val="bottom"/>
          </w:tcPr>
          <w:p>
            <w:pPr>
              <w:ind w:left="580"/>
              <w:spacing w:after="0"/>
              <w:rPr>
                <w:sz w:val="20"/>
                <w:szCs w:val="20"/>
                <w:color w:val="auto"/>
              </w:rPr>
            </w:pPr>
            <w:r>
              <w:rPr>
                <w:rFonts w:ascii="Arial" w:cs="Arial" w:eastAsia="Arial" w:hAnsi="Arial"/>
                <w:sz w:val="11"/>
                <w:szCs w:val="11"/>
                <w:color w:val="auto"/>
              </w:rPr>
              <w:t>Carrying</w:t>
            </w:r>
          </w:p>
        </w:tc>
        <w:tc>
          <w:tcPr>
            <w:tcW w:w="2020" w:type="dxa"/>
            <w:vAlign w:val="bottom"/>
          </w:tcPr>
          <w:p>
            <w:pPr>
              <w:ind w:left="1180"/>
              <w:spacing w:after="0"/>
              <w:rPr>
                <w:sz w:val="20"/>
                <w:szCs w:val="20"/>
                <w:color w:val="auto"/>
              </w:rPr>
            </w:pPr>
            <w:r>
              <w:rPr>
                <w:rFonts w:ascii="Arial" w:cs="Arial" w:eastAsia="Arial" w:hAnsi="Arial"/>
                <w:sz w:val="11"/>
                <w:szCs w:val="11"/>
                <w:color w:val="auto"/>
              </w:rPr>
              <w:t>Fair</w:t>
            </w:r>
          </w:p>
        </w:tc>
      </w:tr>
    </w:tbl>
    <w:p>
      <w:pPr>
        <w:sectPr>
          <w:pgSz w:w="11900" w:h="16920" w:orient="portrait"/>
          <w:cols w:equalWidth="0" w:num="1">
            <w:col w:w="11460"/>
          </w:cols>
          <w:pgMar w:left="220" w:top="292" w:right="219" w:bottom="0" w:gutter="0" w:footer="0" w:header="0"/>
        </w:sectPr>
      </w:pPr>
    </w:p>
    <w:bookmarkStart w:id="34" w:name="page35"/>
    <w:bookmarkEnd w:id="34"/>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424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color w:val="auto"/>
              </w:rPr>
              <w:t>Amount</w:t>
            </w:r>
          </w:p>
        </w:tc>
        <w:tc>
          <w:tcPr>
            <w:tcW w:w="6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99"/>
              <w:spacing w:after="0"/>
              <w:rPr>
                <w:sz w:val="20"/>
                <w:szCs w:val="20"/>
                <w:color w:val="auto"/>
              </w:rPr>
            </w:pPr>
            <w:r>
              <w:rPr>
                <w:rFonts w:ascii="Arial" w:cs="Arial" w:eastAsia="Arial" w:hAnsi="Arial"/>
                <w:sz w:val="11"/>
                <w:szCs w:val="11"/>
                <w:color w:val="auto"/>
              </w:rPr>
              <w:t>Value</w:t>
            </w:r>
          </w:p>
        </w:tc>
        <w:tc>
          <w:tcPr>
            <w:tcW w:w="3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659"/>
              <w:spacing w:after="0"/>
              <w:rPr>
                <w:sz w:val="20"/>
                <w:szCs w:val="20"/>
                <w:color w:val="auto"/>
              </w:rPr>
            </w:pPr>
            <w:r>
              <w:rPr>
                <w:rFonts w:ascii="Arial" w:cs="Arial" w:eastAsia="Arial" w:hAnsi="Arial"/>
                <w:sz w:val="11"/>
                <w:szCs w:val="11"/>
                <w:color w:val="auto"/>
              </w:rPr>
              <w:t>Amount</w:t>
            </w:r>
          </w:p>
        </w:tc>
        <w:tc>
          <w:tcPr>
            <w:tcW w:w="3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59"/>
              <w:spacing w:after="0"/>
              <w:rPr>
                <w:sz w:val="20"/>
                <w:szCs w:val="20"/>
                <w:color w:val="auto"/>
              </w:rPr>
            </w:pPr>
            <w:r>
              <w:rPr>
                <w:rFonts w:ascii="Arial" w:cs="Arial" w:eastAsia="Arial" w:hAnsi="Arial"/>
                <w:sz w:val="11"/>
                <w:szCs w:val="11"/>
                <w:color w:val="auto"/>
              </w:rPr>
              <w:t>Value</w:t>
            </w:r>
          </w:p>
        </w:tc>
      </w:tr>
      <w:tr>
        <w:trPr>
          <w:trHeight w:val="125"/>
        </w:trPr>
        <w:tc>
          <w:tcPr>
            <w:tcW w:w="20" w:type="dxa"/>
            <w:vAlign w:val="bottom"/>
          </w:tcPr>
          <w:p>
            <w:pPr>
              <w:spacing w:after="0"/>
              <w:rPr>
                <w:sz w:val="10"/>
                <w:szCs w:val="10"/>
                <w:color w:val="auto"/>
              </w:rPr>
            </w:pPr>
          </w:p>
        </w:tc>
        <w:tc>
          <w:tcPr>
            <w:tcW w:w="4240" w:type="dxa"/>
            <w:vAlign w:val="bottom"/>
          </w:tcPr>
          <w:p>
            <w:pPr>
              <w:spacing w:after="0" w:line="126" w:lineRule="exact"/>
              <w:rPr>
                <w:sz w:val="20"/>
                <w:szCs w:val="20"/>
                <w:color w:val="auto"/>
              </w:rPr>
            </w:pPr>
            <w:r>
              <w:rPr>
                <w:rFonts w:ascii="Arial" w:cs="Arial" w:eastAsia="Arial" w:hAnsi="Arial"/>
                <w:sz w:val="12"/>
                <w:szCs w:val="12"/>
                <w:b w:val="1"/>
                <w:bCs w:val="1"/>
                <w:color w:val="auto"/>
              </w:rPr>
              <w:t>Sempra Energy Consolidated:</w:t>
            </w:r>
          </w:p>
        </w:tc>
        <w:tc>
          <w:tcPr>
            <w:tcW w:w="2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34"/>
        </w:trPr>
        <w:tc>
          <w:tcPr>
            <w:tcW w:w="4260" w:type="dxa"/>
            <w:vAlign w:val="bottom"/>
            <w:gridSpan w:val="2"/>
          </w:tcPr>
          <w:p>
            <w:pPr>
              <w:spacing w:after="0" w:line="134" w:lineRule="exact"/>
              <w:rPr>
                <w:sz w:val="20"/>
                <w:szCs w:val="20"/>
                <w:color w:val="auto"/>
              </w:rPr>
            </w:pPr>
            <w:r>
              <w:rPr>
                <w:rFonts w:ascii="Arial" w:cs="Arial" w:eastAsia="Arial" w:hAnsi="Arial"/>
                <w:sz w:val="12"/>
                <w:szCs w:val="12"/>
                <w:color w:val="auto"/>
              </w:rPr>
              <w:t>Investments in affordable housing partnerships(1)</w:t>
            </w:r>
          </w:p>
        </w:tc>
        <w:tc>
          <w:tcPr>
            <w:tcW w:w="2240" w:type="dxa"/>
            <w:vAlign w:val="bottom"/>
          </w:tcPr>
          <w:p>
            <w:pPr>
              <w:jc w:val="right"/>
              <w:ind w:right="559"/>
              <w:spacing w:after="0" w:line="134" w:lineRule="exact"/>
              <w:rPr>
                <w:sz w:val="20"/>
                <w:szCs w:val="20"/>
                <w:color w:val="auto"/>
              </w:rPr>
            </w:pPr>
            <w:r>
              <w:rPr>
                <w:rFonts w:ascii="Arial" w:cs="Arial" w:eastAsia="Arial" w:hAnsi="Arial"/>
                <w:sz w:val="12"/>
                <w:szCs w:val="12"/>
                <w:color w:val="auto"/>
              </w:rPr>
              <w:t>$</w:t>
            </w:r>
          </w:p>
        </w:tc>
        <w:tc>
          <w:tcPr>
            <w:tcW w:w="6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26</w:t>
            </w:r>
          </w:p>
        </w:tc>
        <w:tc>
          <w:tcPr>
            <w:tcW w:w="3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119"/>
              <w:spacing w:after="0" w:line="134" w:lineRule="exact"/>
              <w:rPr>
                <w:sz w:val="20"/>
                <w:szCs w:val="20"/>
                <w:color w:val="auto"/>
              </w:rPr>
            </w:pPr>
            <w:r>
              <w:rPr>
                <w:rFonts w:ascii="Arial" w:cs="Arial" w:eastAsia="Arial" w:hAnsi="Arial"/>
                <w:sz w:val="12"/>
                <w:szCs w:val="12"/>
                <w:color w:val="auto"/>
              </w:rPr>
              <w:t>56</w:t>
            </w:r>
          </w:p>
        </w:tc>
        <w:tc>
          <w:tcPr>
            <w:tcW w:w="3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180" w:type="dxa"/>
            <w:vAlign w:val="bottom"/>
          </w:tcPr>
          <w:p>
            <w:pPr>
              <w:jc w:val="right"/>
              <w:ind w:right="119"/>
              <w:spacing w:after="0" w:line="134" w:lineRule="exact"/>
              <w:rPr>
                <w:sz w:val="20"/>
                <w:szCs w:val="20"/>
                <w:color w:val="auto"/>
              </w:rPr>
            </w:pPr>
            <w:r>
              <w:rPr>
                <w:rFonts w:ascii="Arial" w:cs="Arial" w:eastAsia="Arial" w:hAnsi="Arial"/>
                <w:sz w:val="12"/>
                <w:szCs w:val="12"/>
                <w:color w:val="auto"/>
              </w:rPr>
              <w:t>28</w:t>
            </w:r>
          </w:p>
        </w:tc>
        <w:tc>
          <w:tcPr>
            <w:tcW w:w="3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w:t>
            </w:r>
          </w:p>
        </w:tc>
        <w:tc>
          <w:tcPr>
            <w:tcW w:w="1000" w:type="dxa"/>
            <w:vAlign w:val="bottom"/>
          </w:tcPr>
          <w:p>
            <w:pPr>
              <w:jc w:val="right"/>
              <w:spacing w:after="0" w:line="134" w:lineRule="exact"/>
              <w:rPr>
                <w:sz w:val="20"/>
                <w:szCs w:val="20"/>
                <w:color w:val="auto"/>
              </w:rPr>
            </w:pPr>
            <w:r>
              <w:rPr>
                <w:rFonts w:ascii="Arial" w:cs="Arial" w:eastAsia="Arial" w:hAnsi="Arial"/>
                <w:sz w:val="12"/>
                <w:szCs w:val="12"/>
                <w:color w:val="auto"/>
              </w:rPr>
              <w:t>58</w:t>
            </w:r>
          </w:p>
        </w:tc>
      </w:tr>
      <w:tr>
        <w:trPr>
          <w:trHeight w:val="134"/>
        </w:trPr>
        <w:tc>
          <w:tcPr>
            <w:tcW w:w="4260" w:type="dxa"/>
            <w:vAlign w:val="bottom"/>
            <w:gridSpan w:val="2"/>
          </w:tcPr>
          <w:p>
            <w:pPr>
              <w:spacing w:after="0" w:line="134" w:lineRule="exact"/>
              <w:rPr>
                <w:sz w:val="20"/>
                <w:szCs w:val="20"/>
                <w:color w:val="auto"/>
              </w:rPr>
            </w:pPr>
            <w:r>
              <w:rPr>
                <w:rFonts w:ascii="Arial" w:cs="Arial" w:eastAsia="Arial" w:hAnsi="Arial"/>
                <w:sz w:val="12"/>
                <w:szCs w:val="12"/>
                <w:color w:val="auto"/>
              </w:rPr>
              <w:t>Total long-term debt(2)</w:t>
            </w:r>
          </w:p>
        </w:tc>
        <w:tc>
          <w:tcPr>
            <w:tcW w:w="2240" w:type="dxa"/>
            <w:vAlign w:val="bottom"/>
          </w:tcPr>
          <w:p>
            <w:pPr>
              <w:spacing w:after="0"/>
              <w:rPr>
                <w:sz w:val="11"/>
                <w:szCs w:val="11"/>
                <w:color w:val="auto"/>
              </w:rPr>
            </w:pPr>
          </w:p>
        </w:tc>
        <w:tc>
          <w:tcPr>
            <w:tcW w:w="6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8,868</w:t>
            </w:r>
          </w:p>
        </w:tc>
        <w:tc>
          <w:tcPr>
            <w:tcW w:w="360" w:type="dxa"/>
            <w:vAlign w:val="bottom"/>
          </w:tcPr>
          <w:p>
            <w:pPr>
              <w:spacing w:after="0"/>
              <w:rPr>
                <w:sz w:val="11"/>
                <w:szCs w:val="11"/>
                <w:color w:val="auto"/>
              </w:rPr>
            </w:pPr>
          </w:p>
        </w:tc>
        <w:tc>
          <w:tcPr>
            <w:tcW w:w="1140" w:type="dxa"/>
            <w:vAlign w:val="bottom"/>
          </w:tcPr>
          <w:p>
            <w:pPr>
              <w:jc w:val="right"/>
              <w:ind w:right="119"/>
              <w:spacing w:after="0" w:line="134" w:lineRule="exact"/>
              <w:rPr>
                <w:sz w:val="20"/>
                <w:szCs w:val="20"/>
                <w:color w:val="auto"/>
              </w:rPr>
            </w:pPr>
            <w:r>
              <w:rPr>
                <w:rFonts w:ascii="Arial" w:cs="Arial" w:eastAsia="Arial" w:hAnsi="Arial"/>
                <w:sz w:val="12"/>
                <w:szCs w:val="12"/>
                <w:color w:val="auto"/>
              </w:rPr>
              <w:t>9,320</w:t>
            </w:r>
          </w:p>
        </w:tc>
        <w:tc>
          <w:tcPr>
            <w:tcW w:w="320" w:type="dxa"/>
            <w:vAlign w:val="bottom"/>
          </w:tcPr>
          <w:p>
            <w:pPr>
              <w:spacing w:after="0"/>
              <w:rPr>
                <w:sz w:val="11"/>
                <w:szCs w:val="11"/>
                <w:color w:val="auto"/>
              </w:rPr>
            </w:pPr>
          </w:p>
        </w:tc>
        <w:tc>
          <w:tcPr>
            <w:tcW w:w="1180" w:type="dxa"/>
            <w:vAlign w:val="bottom"/>
          </w:tcPr>
          <w:p>
            <w:pPr>
              <w:jc w:val="right"/>
              <w:ind w:right="119"/>
              <w:spacing w:after="0" w:line="134" w:lineRule="exact"/>
              <w:rPr>
                <w:sz w:val="20"/>
                <w:szCs w:val="20"/>
                <w:color w:val="auto"/>
              </w:rPr>
            </w:pPr>
            <w:r>
              <w:rPr>
                <w:rFonts w:ascii="Arial" w:cs="Arial" w:eastAsia="Arial" w:hAnsi="Arial"/>
                <w:sz w:val="12"/>
                <w:szCs w:val="12"/>
                <w:color w:val="auto"/>
              </w:rPr>
              <w:t>8,330</w:t>
            </w:r>
          </w:p>
        </w:tc>
        <w:tc>
          <w:tcPr>
            <w:tcW w:w="36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Arial" w:cs="Arial" w:eastAsia="Arial" w:hAnsi="Arial"/>
                <w:sz w:val="12"/>
                <w:szCs w:val="12"/>
                <w:color w:val="auto"/>
              </w:rPr>
              <w:t>8,883</w:t>
            </w:r>
          </w:p>
        </w:tc>
      </w:tr>
      <w:tr>
        <w:trPr>
          <w:trHeight w:val="134"/>
        </w:trPr>
        <w:tc>
          <w:tcPr>
            <w:tcW w:w="4260" w:type="dxa"/>
            <w:vAlign w:val="bottom"/>
            <w:gridSpan w:val="2"/>
          </w:tcPr>
          <w:p>
            <w:pPr>
              <w:spacing w:after="0" w:line="134" w:lineRule="exact"/>
              <w:rPr>
                <w:sz w:val="20"/>
                <w:szCs w:val="20"/>
                <w:color w:val="auto"/>
              </w:rPr>
            </w:pPr>
            <w:r>
              <w:rPr>
                <w:rFonts w:ascii="Arial" w:cs="Arial" w:eastAsia="Arial" w:hAnsi="Arial"/>
                <w:sz w:val="12"/>
                <w:szCs w:val="12"/>
                <w:color w:val="auto"/>
              </w:rPr>
              <w:t>Due to unconsolidated affiliate(3)</w:t>
            </w:r>
          </w:p>
        </w:tc>
        <w:tc>
          <w:tcPr>
            <w:tcW w:w="2240" w:type="dxa"/>
            <w:vAlign w:val="bottom"/>
          </w:tcPr>
          <w:p>
            <w:pPr>
              <w:spacing w:after="0"/>
              <w:rPr>
                <w:sz w:val="11"/>
                <w:szCs w:val="11"/>
                <w:color w:val="auto"/>
              </w:rPr>
            </w:pPr>
          </w:p>
        </w:tc>
        <w:tc>
          <w:tcPr>
            <w:tcW w:w="6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2</w:t>
            </w:r>
          </w:p>
        </w:tc>
        <w:tc>
          <w:tcPr>
            <w:tcW w:w="360" w:type="dxa"/>
            <w:vAlign w:val="bottom"/>
          </w:tcPr>
          <w:p>
            <w:pPr>
              <w:spacing w:after="0"/>
              <w:rPr>
                <w:sz w:val="11"/>
                <w:szCs w:val="11"/>
                <w:color w:val="auto"/>
              </w:rPr>
            </w:pPr>
          </w:p>
        </w:tc>
        <w:tc>
          <w:tcPr>
            <w:tcW w:w="1140" w:type="dxa"/>
            <w:vAlign w:val="bottom"/>
          </w:tcPr>
          <w:p>
            <w:pPr>
              <w:jc w:val="right"/>
              <w:ind w:right="119"/>
              <w:spacing w:after="0" w:line="134" w:lineRule="exact"/>
              <w:rPr>
                <w:sz w:val="20"/>
                <w:szCs w:val="20"/>
                <w:color w:val="auto"/>
              </w:rPr>
            </w:pPr>
            <w:r>
              <w:rPr>
                <w:rFonts w:ascii="Arial" w:cs="Arial" w:eastAsia="Arial" w:hAnsi="Arial"/>
                <w:sz w:val="12"/>
                <w:szCs w:val="12"/>
                <w:color w:val="auto"/>
              </w:rPr>
              <w:t>2</w:t>
            </w:r>
          </w:p>
        </w:tc>
        <w:tc>
          <w:tcPr>
            <w:tcW w:w="320" w:type="dxa"/>
            <w:vAlign w:val="bottom"/>
          </w:tcPr>
          <w:p>
            <w:pPr>
              <w:spacing w:after="0"/>
              <w:rPr>
                <w:sz w:val="11"/>
                <w:szCs w:val="11"/>
                <w:color w:val="auto"/>
              </w:rPr>
            </w:pPr>
          </w:p>
        </w:tc>
        <w:tc>
          <w:tcPr>
            <w:tcW w:w="1180" w:type="dxa"/>
            <w:vAlign w:val="bottom"/>
          </w:tcPr>
          <w:p>
            <w:pPr>
              <w:jc w:val="right"/>
              <w:ind w:right="119"/>
              <w:spacing w:after="0" w:line="134" w:lineRule="exact"/>
              <w:rPr>
                <w:sz w:val="20"/>
                <w:szCs w:val="20"/>
                <w:color w:val="auto"/>
              </w:rPr>
            </w:pPr>
            <w:r>
              <w:rPr>
                <w:rFonts w:ascii="Arial" w:cs="Arial" w:eastAsia="Arial" w:hAnsi="Arial"/>
                <w:sz w:val="12"/>
                <w:szCs w:val="12"/>
                <w:color w:val="auto"/>
              </w:rPr>
              <w:t>2</w:t>
            </w:r>
          </w:p>
        </w:tc>
        <w:tc>
          <w:tcPr>
            <w:tcW w:w="36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r>
      <w:tr>
        <w:trPr>
          <w:trHeight w:val="144"/>
        </w:trPr>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Preferred stock of subsidiaries</w:t>
            </w:r>
          </w:p>
        </w:tc>
        <w:tc>
          <w:tcPr>
            <w:tcW w:w="2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179</w:t>
            </w: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163</w:t>
            </w: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179</w:t>
            </w: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w:t>
            </w:r>
          </w:p>
        </w:tc>
      </w:tr>
      <w:tr>
        <w:trPr>
          <w:trHeight w:val="125"/>
        </w:trPr>
        <w:tc>
          <w:tcPr>
            <w:tcW w:w="42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SDG&amp;E:</w:t>
            </w:r>
          </w:p>
        </w:tc>
        <w:tc>
          <w:tcPr>
            <w:tcW w:w="2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34"/>
        </w:trPr>
        <w:tc>
          <w:tcPr>
            <w:tcW w:w="4260" w:type="dxa"/>
            <w:vAlign w:val="bottom"/>
            <w:gridSpan w:val="2"/>
          </w:tcPr>
          <w:p>
            <w:pPr>
              <w:spacing w:after="0" w:line="134" w:lineRule="exact"/>
              <w:rPr>
                <w:sz w:val="20"/>
                <w:szCs w:val="20"/>
                <w:color w:val="auto"/>
              </w:rPr>
            </w:pPr>
            <w:r>
              <w:rPr>
                <w:rFonts w:ascii="Arial" w:cs="Arial" w:eastAsia="Arial" w:hAnsi="Arial"/>
                <w:sz w:val="12"/>
                <w:szCs w:val="12"/>
                <w:color w:val="auto"/>
              </w:rPr>
              <w:t>Total long-term debt(4)</w:t>
            </w:r>
          </w:p>
        </w:tc>
        <w:tc>
          <w:tcPr>
            <w:tcW w:w="2240" w:type="dxa"/>
            <w:vAlign w:val="bottom"/>
          </w:tcPr>
          <w:p>
            <w:pPr>
              <w:jc w:val="right"/>
              <w:ind w:right="559"/>
              <w:spacing w:after="0" w:line="134" w:lineRule="exact"/>
              <w:rPr>
                <w:sz w:val="20"/>
                <w:szCs w:val="20"/>
                <w:color w:val="auto"/>
              </w:rPr>
            </w:pPr>
            <w:r>
              <w:rPr>
                <w:rFonts w:ascii="Arial" w:cs="Arial" w:eastAsia="Arial" w:hAnsi="Arial"/>
                <w:sz w:val="12"/>
                <w:szCs w:val="12"/>
                <w:color w:val="auto"/>
              </w:rPr>
              <w:t>$</w:t>
            </w:r>
          </w:p>
        </w:tc>
        <w:tc>
          <w:tcPr>
            <w:tcW w:w="6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3,303</w:t>
            </w:r>
          </w:p>
        </w:tc>
        <w:tc>
          <w:tcPr>
            <w:tcW w:w="3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119"/>
              <w:spacing w:after="0" w:line="134" w:lineRule="exact"/>
              <w:rPr>
                <w:sz w:val="20"/>
                <w:szCs w:val="20"/>
                <w:color w:val="auto"/>
              </w:rPr>
            </w:pPr>
            <w:r>
              <w:rPr>
                <w:rFonts w:ascii="Arial" w:cs="Arial" w:eastAsia="Arial" w:hAnsi="Arial"/>
                <w:sz w:val="12"/>
                <w:szCs w:val="12"/>
                <w:color w:val="auto"/>
              </w:rPr>
              <w:t>3,285</w:t>
            </w:r>
          </w:p>
        </w:tc>
        <w:tc>
          <w:tcPr>
            <w:tcW w:w="3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180" w:type="dxa"/>
            <w:vAlign w:val="bottom"/>
          </w:tcPr>
          <w:p>
            <w:pPr>
              <w:jc w:val="right"/>
              <w:ind w:right="119"/>
              <w:spacing w:after="0" w:line="134" w:lineRule="exact"/>
              <w:rPr>
                <w:sz w:val="20"/>
                <w:szCs w:val="20"/>
                <w:color w:val="auto"/>
              </w:rPr>
            </w:pPr>
            <w:r>
              <w:rPr>
                <w:rFonts w:ascii="Arial" w:cs="Arial" w:eastAsia="Arial" w:hAnsi="Arial"/>
                <w:sz w:val="12"/>
                <w:szCs w:val="12"/>
                <w:color w:val="auto"/>
              </w:rPr>
              <w:t>3,305</w:t>
            </w:r>
          </w:p>
        </w:tc>
        <w:tc>
          <w:tcPr>
            <w:tcW w:w="3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w:t>
            </w:r>
          </w:p>
        </w:tc>
        <w:tc>
          <w:tcPr>
            <w:tcW w:w="1000" w:type="dxa"/>
            <w:vAlign w:val="bottom"/>
          </w:tcPr>
          <w:p>
            <w:pPr>
              <w:jc w:val="right"/>
              <w:spacing w:after="0" w:line="134" w:lineRule="exact"/>
              <w:rPr>
                <w:sz w:val="20"/>
                <w:szCs w:val="20"/>
                <w:color w:val="auto"/>
              </w:rPr>
            </w:pPr>
            <w:r>
              <w:rPr>
                <w:rFonts w:ascii="Arial" w:cs="Arial" w:eastAsia="Arial" w:hAnsi="Arial"/>
                <w:sz w:val="12"/>
                <w:szCs w:val="12"/>
                <w:color w:val="auto"/>
              </w:rPr>
              <w:t>3,300</w:t>
            </w:r>
          </w:p>
        </w:tc>
      </w:tr>
      <w:tr>
        <w:trPr>
          <w:trHeight w:val="144"/>
        </w:trPr>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Contingently redeemable preferred stock</w:t>
            </w:r>
          </w:p>
        </w:tc>
        <w:tc>
          <w:tcPr>
            <w:tcW w:w="2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79</w:t>
            </w: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78</w:t>
            </w: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79</w:t>
            </w: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w:t>
            </w:r>
          </w:p>
        </w:tc>
      </w:tr>
      <w:tr>
        <w:trPr>
          <w:trHeight w:val="125"/>
        </w:trPr>
        <w:tc>
          <w:tcPr>
            <w:tcW w:w="42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PE and SoCalGas:</w:t>
            </w:r>
          </w:p>
        </w:tc>
        <w:tc>
          <w:tcPr>
            <w:tcW w:w="2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48"/>
        </w:trPr>
        <w:tc>
          <w:tcPr>
            <w:tcW w:w="4260" w:type="dxa"/>
            <w:vAlign w:val="bottom"/>
            <w:gridSpan w:val="2"/>
          </w:tcPr>
          <w:p>
            <w:pPr>
              <w:spacing w:after="0"/>
              <w:rPr>
                <w:sz w:val="20"/>
                <w:szCs w:val="20"/>
                <w:color w:val="auto"/>
              </w:rPr>
            </w:pPr>
            <w:r>
              <w:rPr>
                <w:rFonts w:ascii="Arial" w:cs="Arial" w:eastAsia="Arial" w:hAnsi="Arial"/>
                <w:sz w:val="12"/>
                <w:szCs w:val="12"/>
                <w:color w:val="auto"/>
              </w:rPr>
              <w:t>Total long-term debt(5)</w:t>
            </w:r>
          </w:p>
        </w:tc>
        <w:tc>
          <w:tcPr>
            <w:tcW w:w="2240" w:type="dxa"/>
            <w:vAlign w:val="bottom"/>
          </w:tcPr>
          <w:p>
            <w:pPr>
              <w:jc w:val="right"/>
              <w:ind w:right="559"/>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118"/>
              <w:spacing w:after="0"/>
              <w:rPr>
                <w:sz w:val="20"/>
                <w:szCs w:val="20"/>
                <w:color w:val="auto"/>
              </w:rPr>
            </w:pPr>
            <w:r>
              <w:rPr>
                <w:rFonts w:ascii="Arial" w:cs="Arial" w:eastAsia="Arial" w:hAnsi="Arial"/>
                <w:sz w:val="12"/>
                <w:szCs w:val="12"/>
                <w:color w:val="auto"/>
              </w:rPr>
              <w:t>1,312</w:t>
            </w:r>
          </w:p>
        </w:tc>
        <w:tc>
          <w:tcPr>
            <w:tcW w:w="3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119"/>
              <w:spacing w:after="0"/>
              <w:rPr>
                <w:sz w:val="20"/>
                <w:szCs w:val="20"/>
                <w:color w:val="auto"/>
              </w:rPr>
            </w:pPr>
            <w:r>
              <w:rPr>
                <w:rFonts w:ascii="Arial" w:cs="Arial" w:eastAsia="Arial" w:hAnsi="Arial"/>
                <w:sz w:val="12"/>
                <w:szCs w:val="12"/>
                <w:color w:val="auto"/>
              </w:rPr>
              <w:t>1,353</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119"/>
              <w:spacing w:after="0"/>
              <w:rPr>
                <w:sz w:val="20"/>
                <w:szCs w:val="20"/>
                <w:color w:val="auto"/>
              </w:rPr>
            </w:pPr>
            <w:r>
              <w:rPr>
                <w:rFonts w:ascii="Arial" w:cs="Arial" w:eastAsia="Arial" w:hAnsi="Arial"/>
                <w:sz w:val="12"/>
                <w:szCs w:val="12"/>
                <w:color w:val="auto"/>
              </w:rPr>
              <w:t>1,566</w:t>
            </w:r>
          </w:p>
        </w:tc>
        <w:tc>
          <w:tcPr>
            <w:tcW w:w="3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1,638</w:t>
            </w:r>
          </w:p>
        </w:tc>
      </w:tr>
      <w:tr>
        <w:trPr>
          <w:trHeight w:val="255"/>
        </w:trPr>
        <w:tc>
          <w:tcPr>
            <w:tcW w:w="4260" w:type="dxa"/>
            <w:vAlign w:val="bottom"/>
            <w:gridSpan w:val="2"/>
          </w:tcPr>
          <w:p>
            <w:pPr>
              <w:spacing w:after="0"/>
              <w:rPr>
                <w:sz w:val="20"/>
                <w:szCs w:val="20"/>
                <w:color w:val="auto"/>
              </w:rPr>
            </w:pPr>
            <w:r>
              <w:rPr>
                <w:rFonts w:ascii="Arial" w:cs="Arial" w:eastAsia="Arial" w:hAnsi="Arial"/>
                <w:sz w:val="12"/>
                <w:szCs w:val="12"/>
                <w:color w:val="auto"/>
              </w:rPr>
              <w:t>PE:</w:t>
            </w:r>
          </w:p>
        </w:tc>
        <w:tc>
          <w:tcPr>
            <w:tcW w:w="2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134"/>
        </w:trPr>
        <w:tc>
          <w:tcPr>
            <w:tcW w:w="20" w:type="dxa"/>
            <w:vAlign w:val="bottom"/>
          </w:tcPr>
          <w:p>
            <w:pPr>
              <w:spacing w:after="0"/>
              <w:rPr>
                <w:sz w:val="11"/>
                <w:szCs w:val="11"/>
                <w:color w:val="auto"/>
              </w:rPr>
            </w:pPr>
          </w:p>
        </w:tc>
        <w:tc>
          <w:tcPr>
            <w:tcW w:w="4240" w:type="dxa"/>
            <w:vAlign w:val="bottom"/>
          </w:tcPr>
          <w:p>
            <w:pPr>
              <w:ind w:left="120"/>
              <w:spacing w:after="0" w:line="134" w:lineRule="exact"/>
              <w:rPr>
                <w:sz w:val="20"/>
                <w:szCs w:val="20"/>
                <w:color w:val="auto"/>
              </w:rPr>
            </w:pPr>
            <w:r>
              <w:rPr>
                <w:rFonts w:ascii="Arial" w:cs="Arial" w:eastAsia="Arial" w:hAnsi="Arial"/>
                <w:sz w:val="12"/>
                <w:szCs w:val="12"/>
                <w:color w:val="auto"/>
              </w:rPr>
              <w:t>Preferred stock</w:t>
            </w:r>
          </w:p>
        </w:tc>
        <w:tc>
          <w:tcPr>
            <w:tcW w:w="2240" w:type="dxa"/>
            <w:vAlign w:val="bottom"/>
          </w:tcPr>
          <w:p>
            <w:pPr>
              <w:jc w:val="right"/>
              <w:ind w:right="559"/>
              <w:spacing w:after="0" w:line="134" w:lineRule="exact"/>
              <w:rPr>
                <w:sz w:val="20"/>
                <w:szCs w:val="20"/>
                <w:color w:val="auto"/>
              </w:rPr>
            </w:pPr>
            <w:r>
              <w:rPr>
                <w:rFonts w:ascii="Arial" w:cs="Arial" w:eastAsia="Arial" w:hAnsi="Arial"/>
                <w:sz w:val="12"/>
                <w:szCs w:val="12"/>
                <w:color w:val="auto"/>
              </w:rPr>
              <w:t>$</w:t>
            </w:r>
          </w:p>
        </w:tc>
        <w:tc>
          <w:tcPr>
            <w:tcW w:w="6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80</w:t>
            </w:r>
          </w:p>
        </w:tc>
        <w:tc>
          <w:tcPr>
            <w:tcW w:w="3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119"/>
              <w:spacing w:after="0" w:line="134" w:lineRule="exact"/>
              <w:rPr>
                <w:sz w:val="20"/>
                <w:szCs w:val="20"/>
                <w:color w:val="auto"/>
              </w:rPr>
            </w:pPr>
            <w:r>
              <w:rPr>
                <w:rFonts w:ascii="Arial" w:cs="Arial" w:eastAsia="Arial" w:hAnsi="Arial"/>
                <w:sz w:val="12"/>
                <w:szCs w:val="12"/>
                <w:color w:val="auto"/>
              </w:rPr>
              <w:t>65</w:t>
            </w:r>
          </w:p>
        </w:tc>
        <w:tc>
          <w:tcPr>
            <w:tcW w:w="3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180" w:type="dxa"/>
            <w:vAlign w:val="bottom"/>
          </w:tcPr>
          <w:p>
            <w:pPr>
              <w:jc w:val="right"/>
              <w:ind w:right="119"/>
              <w:spacing w:after="0" w:line="134" w:lineRule="exact"/>
              <w:rPr>
                <w:sz w:val="20"/>
                <w:szCs w:val="20"/>
                <w:color w:val="auto"/>
              </w:rPr>
            </w:pPr>
            <w:r>
              <w:rPr>
                <w:rFonts w:ascii="Arial" w:cs="Arial" w:eastAsia="Arial" w:hAnsi="Arial"/>
                <w:sz w:val="12"/>
                <w:szCs w:val="12"/>
                <w:color w:val="auto"/>
              </w:rPr>
              <w:t>80</w:t>
            </w:r>
          </w:p>
        </w:tc>
        <w:tc>
          <w:tcPr>
            <w:tcW w:w="3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w:t>
            </w:r>
          </w:p>
        </w:tc>
        <w:tc>
          <w:tcPr>
            <w:tcW w:w="1000" w:type="dxa"/>
            <w:vAlign w:val="bottom"/>
          </w:tcPr>
          <w:p>
            <w:pPr>
              <w:jc w:val="right"/>
              <w:spacing w:after="0" w:line="134" w:lineRule="exact"/>
              <w:rPr>
                <w:sz w:val="20"/>
                <w:szCs w:val="20"/>
                <w:color w:val="auto"/>
              </w:rPr>
            </w:pPr>
            <w:r>
              <w:rPr>
                <w:rFonts w:ascii="Arial" w:cs="Arial" w:eastAsia="Arial" w:hAnsi="Arial"/>
                <w:sz w:val="12"/>
                <w:szCs w:val="12"/>
                <w:color w:val="auto"/>
              </w:rPr>
              <w:t>68</w:t>
            </w:r>
          </w:p>
        </w:tc>
      </w:tr>
      <w:tr>
        <w:trPr>
          <w:trHeight w:val="148"/>
        </w:trPr>
        <w:tc>
          <w:tcPr>
            <w:tcW w:w="20" w:type="dxa"/>
            <w:vAlign w:val="bottom"/>
          </w:tcPr>
          <w:p>
            <w:pPr>
              <w:spacing w:after="0"/>
              <w:rPr>
                <w:sz w:val="12"/>
                <w:szCs w:val="12"/>
                <w:color w:val="auto"/>
              </w:rPr>
            </w:pPr>
          </w:p>
        </w:tc>
        <w:tc>
          <w:tcPr>
            <w:tcW w:w="4240" w:type="dxa"/>
            <w:vAlign w:val="bottom"/>
          </w:tcPr>
          <w:p>
            <w:pPr>
              <w:ind w:left="120"/>
              <w:spacing w:after="0"/>
              <w:rPr>
                <w:sz w:val="20"/>
                <w:szCs w:val="20"/>
                <w:color w:val="auto"/>
              </w:rPr>
            </w:pPr>
            <w:r>
              <w:rPr>
                <w:rFonts w:ascii="Arial" w:cs="Arial" w:eastAsia="Arial" w:hAnsi="Arial"/>
                <w:sz w:val="12"/>
                <w:szCs w:val="12"/>
                <w:color w:val="auto"/>
              </w:rPr>
              <w:t>Preferred stock of subsidiary</w:t>
            </w:r>
          </w:p>
        </w:tc>
        <w:tc>
          <w:tcPr>
            <w:tcW w:w="2240" w:type="dxa"/>
            <w:vAlign w:val="bottom"/>
          </w:tcPr>
          <w:p>
            <w:pPr>
              <w:spacing w:after="0"/>
              <w:rPr>
                <w:sz w:val="12"/>
                <w:szCs w:val="12"/>
                <w:color w:val="auto"/>
              </w:rPr>
            </w:pPr>
          </w:p>
        </w:tc>
        <w:tc>
          <w:tcPr>
            <w:tcW w:w="600" w:type="dxa"/>
            <w:vAlign w:val="bottom"/>
          </w:tcPr>
          <w:p>
            <w:pPr>
              <w:jc w:val="right"/>
              <w:ind w:right="118"/>
              <w:spacing w:after="0"/>
              <w:rPr>
                <w:sz w:val="20"/>
                <w:szCs w:val="20"/>
                <w:color w:val="auto"/>
              </w:rPr>
            </w:pPr>
            <w:r>
              <w:rPr>
                <w:rFonts w:ascii="Arial" w:cs="Arial" w:eastAsia="Arial" w:hAnsi="Arial"/>
                <w:sz w:val="12"/>
                <w:szCs w:val="12"/>
                <w:color w:val="auto"/>
              </w:rPr>
              <w:t>20</w:t>
            </w:r>
          </w:p>
        </w:tc>
        <w:tc>
          <w:tcPr>
            <w:tcW w:w="360" w:type="dxa"/>
            <w:vAlign w:val="bottom"/>
          </w:tcPr>
          <w:p>
            <w:pPr>
              <w:spacing w:after="0"/>
              <w:rPr>
                <w:sz w:val="12"/>
                <w:szCs w:val="12"/>
                <w:color w:val="auto"/>
              </w:rPr>
            </w:pPr>
          </w:p>
        </w:tc>
        <w:tc>
          <w:tcPr>
            <w:tcW w:w="1140" w:type="dxa"/>
            <w:vAlign w:val="bottom"/>
          </w:tcPr>
          <w:p>
            <w:pPr>
              <w:jc w:val="right"/>
              <w:ind w:right="119"/>
              <w:spacing w:after="0"/>
              <w:rPr>
                <w:sz w:val="20"/>
                <w:szCs w:val="20"/>
                <w:color w:val="auto"/>
              </w:rPr>
            </w:pPr>
            <w:r>
              <w:rPr>
                <w:rFonts w:ascii="Arial" w:cs="Arial" w:eastAsia="Arial" w:hAnsi="Arial"/>
                <w:sz w:val="12"/>
                <w:szCs w:val="12"/>
                <w:color w:val="auto"/>
              </w:rPr>
              <w:t>20</w:t>
            </w:r>
          </w:p>
        </w:tc>
        <w:tc>
          <w:tcPr>
            <w:tcW w:w="320" w:type="dxa"/>
            <w:vAlign w:val="bottom"/>
          </w:tcPr>
          <w:p>
            <w:pPr>
              <w:spacing w:after="0"/>
              <w:rPr>
                <w:sz w:val="12"/>
                <w:szCs w:val="12"/>
                <w:color w:val="auto"/>
              </w:rPr>
            </w:pPr>
          </w:p>
        </w:tc>
        <w:tc>
          <w:tcPr>
            <w:tcW w:w="1180" w:type="dxa"/>
            <w:vAlign w:val="bottom"/>
          </w:tcPr>
          <w:p>
            <w:pPr>
              <w:jc w:val="right"/>
              <w:ind w:right="119"/>
              <w:spacing w:after="0"/>
              <w:rPr>
                <w:sz w:val="20"/>
                <w:szCs w:val="20"/>
                <w:color w:val="auto"/>
              </w:rPr>
            </w:pPr>
            <w:r>
              <w:rPr>
                <w:rFonts w:ascii="Arial" w:cs="Arial" w:eastAsia="Arial" w:hAnsi="Arial"/>
                <w:sz w:val="12"/>
                <w:szCs w:val="12"/>
                <w:color w:val="auto"/>
              </w:rPr>
              <w:t>20</w:t>
            </w:r>
          </w:p>
        </w:tc>
        <w:tc>
          <w:tcPr>
            <w:tcW w:w="3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20</w:t>
            </w:r>
          </w:p>
        </w:tc>
      </w:tr>
      <w:tr>
        <w:trPr>
          <w:trHeight w:val="255"/>
        </w:trPr>
        <w:tc>
          <w:tcPr>
            <w:tcW w:w="4260" w:type="dxa"/>
            <w:vAlign w:val="bottom"/>
            <w:gridSpan w:val="2"/>
          </w:tcPr>
          <w:p>
            <w:pPr>
              <w:spacing w:after="0"/>
              <w:rPr>
                <w:sz w:val="20"/>
                <w:szCs w:val="20"/>
                <w:color w:val="auto"/>
              </w:rPr>
            </w:pPr>
            <w:r>
              <w:rPr>
                <w:rFonts w:ascii="Arial" w:cs="Arial" w:eastAsia="Arial" w:hAnsi="Arial"/>
                <w:sz w:val="12"/>
                <w:szCs w:val="12"/>
                <w:color w:val="auto"/>
              </w:rPr>
              <w:t>SoCalGas:</w:t>
            </w:r>
          </w:p>
        </w:tc>
        <w:tc>
          <w:tcPr>
            <w:tcW w:w="2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4240" w:type="dxa"/>
            <w:vAlign w:val="bottom"/>
          </w:tcPr>
          <w:p>
            <w:pPr>
              <w:ind w:left="120"/>
              <w:spacing w:after="0"/>
              <w:rPr>
                <w:sz w:val="20"/>
                <w:szCs w:val="20"/>
                <w:color w:val="auto"/>
              </w:rPr>
            </w:pPr>
            <w:r>
              <w:rPr>
                <w:rFonts w:ascii="Arial" w:cs="Arial" w:eastAsia="Arial" w:hAnsi="Arial"/>
                <w:sz w:val="12"/>
                <w:szCs w:val="12"/>
                <w:color w:val="auto"/>
              </w:rPr>
              <w:t>Preferred stock</w:t>
            </w:r>
          </w:p>
        </w:tc>
        <w:tc>
          <w:tcPr>
            <w:tcW w:w="2240" w:type="dxa"/>
            <w:vAlign w:val="bottom"/>
          </w:tcPr>
          <w:p>
            <w:pPr>
              <w:jc w:val="right"/>
              <w:ind w:right="559"/>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118"/>
              <w:spacing w:after="0"/>
              <w:rPr>
                <w:sz w:val="20"/>
                <w:szCs w:val="20"/>
                <w:color w:val="auto"/>
              </w:rPr>
            </w:pPr>
            <w:r>
              <w:rPr>
                <w:rFonts w:ascii="Arial" w:cs="Arial" w:eastAsia="Arial" w:hAnsi="Arial"/>
                <w:sz w:val="12"/>
                <w:szCs w:val="12"/>
                <w:color w:val="auto"/>
              </w:rPr>
              <w:t>22</w:t>
            </w:r>
          </w:p>
        </w:tc>
        <w:tc>
          <w:tcPr>
            <w:tcW w:w="3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119"/>
              <w:spacing w:after="0"/>
              <w:rPr>
                <w:sz w:val="20"/>
                <w:szCs w:val="20"/>
                <w:color w:val="auto"/>
              </w:rPr>
            </w:pPr>
            <w:r>
              <w:rPr>
                <w:rFonts w:ascii="Arial" w:cs="Arial" w:eastAsia="Arial" w:hAnsi="Arial"/>
                <w:sz w:val="12"/>
                <w:szCs w:val="12"/>
                <w:color w:val="auto"/>
              </w:rPr>
              <w:t>21</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119"/>
              <w:spacing w:after="0"/>
              <w:rPr>
                <w:sz w:val="20"/>
                <w:szCs w:val="20"/>
                <w:color w:val="auto"/>
              </w:rPr>
            </w:pPr>
            <w:r>
              <w:rPr>
                <w:rFonts w:ascii="Arial" w:cs="Arial" w:eastAsia="Arial" w:hAnsi="Arial"/>
                <w:sz w:val="12"/>
                <w:szCs w:val="12"/>
                <w:color w:val="auto"/>
              </w:rPr>
              <w:t>22</w:t>
            </w:r>
          </w:p>
        </w:tc>
        <w:tc>
          <w:tcPr>
            <w:tcW w:w="3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279005" cy="13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ind w:left="680" w:hanging="409"/>
        <w:spacing w:after="0"/>
        <w:tabs>
          <w:tab w:leader="none" w:pos="680" w:val="left"/>
        </w:tabs>
        <w:numPr>
          <w:ilvl w:val="0"/>
          <w:numId w:val="19"/>
        </w:numPr>
        <w:rPr>
          <w:rFonts w:ascii="Arial" w:cs="Arial" w:eastAsia="Arial" w:hAnsi="Arial"/>
          <w:sz w:val="11"/>
          <w:szCs w:val="11"/>
          <w:i w:val="1"/>
          <w:iCs w:val="1"/>
          <w:color w:val="auto"/>
        </w:rPr>
      </w:pPr>
      <w:r>
        <w:rPr>
          <w:rFonts w:ascii="Arial" w:cs="Arial" w:eastAsia="Arial" w:hAnsi="Arial"/>
          <w:sz w:val="11"/>
          <w:szCs w:val="11"/>
          <w:i w:val="1"/>
          <w:iCs w:val="1"/>
          <w:color w:val="auto"/>
        </w:rPr>
        <w:t>We discuss our investments in affordable housing partnerships in Note 4 of the Notes to Consolidated Financial Statements in the Annual Report.</w:t>
      </w:r>
    </w:p>
    <w:p>
      <w:pPr>
        <w:spacing w:after="0" w:line="9" w:lineRule="exact"/>
        <w:rPr>
          <w:rFonts w:ascii="Arial" w:cs="Arial" w:eastAsia="Arial" w:hAnsi="Arial"/>
          <w:sz w:val="11"/>
          <w:szCs w:val="11"/>
          <w:i w:val="1"/>
          <w:iCs w:val="1"/>
          <w:color w:val="auto"/>
        </w:rPr>
      </w:pPr>
    </w:p>
    <w:p>
      <w:pPr>
        <w:ind w:left="680" w:right="100" w:hanging="409"/>
        <w:spacing w:after="0" w:line="235" w:lineRule="auto"/>
        <w:tabs>
          <w:tab w:leader="none" w:pos="680" w:val="left"/>
        </w:tabs>
        <w:numPr>
          <w:ilvl w:val="0"/>
          <w:numId w:val="19"/>
        </w:numPr>
        <w:rPr>
          <w:rFonts w:ascii="Arial" w:cs="Arial" w:eastAsia="Arial" w:hAnsi="Arial"/>
          <w:sz w:val="11"/>
          <w:szCs w:val="11"/>
          <w:i w:val="1"/>
          <w:iCs w:val="1"/>
          <w:color w:val="auto"/>
        </w:rPr>
      </w:pPr>
      <w:r>
        <w:rPr>
          <w:rFonts w:ascii="Arial" w:cs="Arial" w:eastAsia="Arial" w:hAnsi="Arial"/>
          <w:sz w:val="11"/>
          <w:szCs w:val="11"/>
          <w:i w:val="1"/>
          <w:iCs w:val="1"/>
          <w:color w:val="auto"/>
        </w:rPr>
        <w:t>Before reductions for unamortized discount of $22 million at March 31, 2011 and December 31, 2010, and excluding capital leases of $217 million at March 31, 2011 and $221 million at December 31, 2010, and commercial paper classified as long-term debt of $200 million at March 31, 2011 and $800 million at December 31, 2010. We discuss our long-term debt in Note 6 above and Note 5 of the Notes to Consolidated Financial Statements in the Annual Report.</w:t>
      </w:r>
    </w:p>
    <w:p>
      <w:pPr>
        <w:ind w:left="680" w:hanging="409"/>
        <w:spacing w:after="0" w:line="235" w:lineRule="auto"/>
        <w:tabs>
          <w:tab w:leader="none" w:pos="680" w:val="left"/>
        </w:tabs>
        <w:numPr>
          <w:ilvl w:val="0"/>
          <w:numId w:val="19"/>
        </w:numPr>
        <w:rPr>
          <w:rFonts w:ascii="Arial" w:cs="Arial" w:eastAsia="Arial" w:hAnsi="Arial"/>
          <w:sz w:val="11"/>
          <w:szCs w:val="11"/>
          <w:i w:val="1"/>
          <w:iCs w:val="1"/>
          <w:color w:val="auto"/>
        </w:rPr>
      </w:pPr>
      <w:r>
        <w:rPr>
          <w:rFonts w:ascii="Arial" w:cs="Arial" w:eastAsia="Arial" w:hAnsi="Arial"/>
          <w:sz w:val="11"/>
          <w:szCs w:val="11"/>
          <w:i w:val="1"/>
          <w:iCs w:val="1"/>
          <w:color w:val="auto"/>
        </w:rPr>
        <w:t>Note payable to Chilquinta Energía S.A. due April 1, 2011 is included in Due to Unconsolidated Affiliates, Current at March 31, 2011 and December 31, 2010.</w:t>
      </w:r>
    </w:p>
    <w:p>
      <w:pPr>
        <w:ind w:left="680" w:hanging="409"/>
        <w:spacing w:after="0" w:line="235" w:lineRule="auto"/>
        <w:tabs>
          <w:tab w:leader="none" w:pos="680" w:val="left"/>
        </w:tabs>
        <w:numPr>
          <w:ilvl w:val="0"/>
          <w:numId w:val="19"/>
        </w:numPr>
        <w:rPr>
          <w:rFonts w:ascii="Arial" w:cs="Arial" w:eastAsia="Arial" w:hAnsi="Arial"/>
          <w:sz w:val="11"/>
          <w:szCs w:val="11"/>
          <w:i w:val="1"/>
          <w:iCs w:val="1"/>
          <w:color w:val="auto"/>
        </w:rPr>
      </w:pPr>
      <w:r>
        <w:rPr>
          <w:rFonts w:ascii="Arial" w:cs="Arial" w:eastAsia="Arial" w:hAnsi="Arial"/>
          <w:sz w:val="11"/>
          <w:szCs w:val="11"/>
          <w:i w:val="1"/>
          <w:iCs w:val="1"/>
          <w:color w:val="auto"/>
        </w:rPr>
        <w:t>Before reductions for unamortized discount of $10 million at March 31, 2011 and $9 million at December 31, 2010, and excluding capital leases of $200 million at March 31, 2011 and $202 million at December 31, 2010.</w:t>
      </w:r>
    </w:p>
    <w:p>
      <w:pPr>
        <w:ind w:left="680" w:hanging="409"/>
        <w:spacing w:after="0"/>
        <w:tabs>
          <w:tab w:leader="none" w:pos="680" w:val="left"/>
        </w:tabs>
        <w:numPr>
          <w:ilvl w:val="0"/>
          <w:numId w:val="19"/>
        </w:numPr>
        <w:rPr>
          <w:rFonts w:ascii="Arial" w:cs="Arial" w:eastAsia="Arial" w:hAnsi="Arial"/>
          <w:sz w:val="11"/>
          <w:szCs w:val="11"/>
          <w:i w:val="1"/>
          <w:iCs w:val="1"/>
          <w:color w:val="auto"/>
        </w:rPr>
      </w:pPr>
      <w:r>
        <w:rPr>
          <w:rFonts w:ascii="Arial" w:cs="Arial" w:eastAsia="Arial" w:hAnsi="Arial"/>
          <w:sz w:val="11"/>
          <w:szCs w:val="11"/>
          <w:i w:val="1"/>
          <w:iCs w:val="1"/>
          <w:color w:val="auto"/>
        </w:rPr>
        <w:t>Before reductions for unamortized discount of $2 million at March 31, 2011 and $3 million at December 31, 2010, and excluding capital leases of $17 million at March 31, 2011 and $19 million at December 31, 2010.</w:t>
      </w:r>
    </w:p>
    <w:p>
      <w:pPr>
        <w:spacing w:after="0" w:line="169" w:lineRule="exact"/>
        <w:rPr>
          <w:sz w:val="20"/>
          <w:szCs w:val="20"/>
          <w:color w:val="auto"/>
        </w:rPr>
      </w:pPr>
    </w:p>
    <w:p>
      <w:pPr>
        <w:ind w:right="240"/>
        <w:spacing w:after="0" w:line="267" w:lineRule="auto"/>
        <w:rPr>
          <w:sz w:val="20"/>
          <w:szCs w:val="20"/>
          <w:color w:val="auto"/>
        </w:rPr>
      </w:pPr>
      <w:r>
        <w:rPr>
          <w:rFonts w:ascii="Arial" w:cs="Arial" w:eastAsia="Arial" w:hAnsi="Arial"/>
          <w:sz w:val="14"/>
          <w:szCs w:val="14"/>
          <w:color w:val="auto"/>
        </w:rPr>
        <w:t>Sempra Energy based the fair values of investments in affordable housing partnerships on the present value of estimated future cash flows, discounted at rates available for similar investments. All entities based the fair values of long-term debt and preferred stock on their quoted market prices or quoted market prices for similar securities.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Nuclear Decommissioning Trusts</w:t>
      </w:r>
    </w:p>
    <w:p>
      <w:pPr>
        <w:spacing w:after="0" w:line="160" w:lineRule="exact"/>
        <w:rPr>
          <w:sz w:val="20"/>
          <w:szCs w:val="20"/>
          <w:color w:val="auto"/>
        </w:rPr>
      </w:pPr>
    </w:p>
    <w:p>
      <w:pPr>
        <w:ind w:right="240"/>
        <w:spacing w:after="0" w:line="267" w:lineRule="auto"/>
        <w:rPr>
          <w:sz w:val="20"/>
          <w:szCs w:val="20"/>
          <w:color w:val="auto"/>
        </w:rPr>
      </w:pPr>
      <w:r>
        <w:rPr>
          <w:rFonts w:ascii="Arial" w:cs="Arial" w:eastAsia="Arial" w:hAnsi="Arial"/>
          <w:sz w:val="14"/>
          <w:szCs w:val="14"/>
          <w:color w:val="auto"/>
        </w:rPr>
        <w:t>We discuss SDG&amp;E's investments in nuclear decommissioning trust funds in Note 6 of the Notes to Consolidated Financial Statements in the Annual Report. The following table shows the fair values and gross unrealized gains and losses for the securities held in the trust funds:</w:t>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NUCLEAR DECOMMISSIONING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(Dollars 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jc w:val="center"/>
              <w:ind w:right="265"/>
              <w:spacing w:after="0"/>
              <w:rPr>
                <w:sz w:val="20"/>
                <w:szCs w:val="20"/>
                <w:color w:val="auto"/>
              </w:rPr>
            </w:pPr>
            <w:r>
              <w:rPr>
                <w:rFonts w:ascii="Arial" w:cs="Arial" w:eastAsia="Arial" w:hAnsi="Arial"/>
                <w:sz w:val="11"/>
                <w:szCs w:val="11"/>
                <w:color w:val="auto"/>
              </w:rPr>
              <w:t>Gross</w:t>
            </w:r>
          </w:p>
        </w:tc>
        <w:tc>
          <w:tcPr>
            <w:tcW w:w="420" w:type="dxa"/>
            <w:vAlign w:val="bottom"/>
          </w:tcPr>
          <w:p>
            <w:pPr>
              <w:spacing w:after="0"/>
              <w:rPr>
                <w:sz w:val="11"/>
                <w:szCs w:val="11"/>
                <w:color w:val="auto"/>
              </w:rPr>
            </w:pPr>
          </w:p>
        </w:tc>
        <w:tc>
          <w:tcPr>
            <w:tcW w:w="1160" w:type="dxa"/>
            <w:vAlign w:val="bottom"/>
          </w:tcPr>
          <w:p>
            <w:pPr>
              <w:jc w:val="center"/>
              <w:ind w:right="285"/>
              <w:spacing w:after="0"/>
              <w:rPr>
                <w:sz w:val="20"/>
                <w:szCs w:val="20"/>
                <w:color w:val="auto"/>
              </w:rPr>
            </w:pPr>
            <w:r>
              <w:rPr>
                <w:rFonts w:ascii="Arial" w:cs="Arial" w:eastAsia="Arial" w:hAnsi="Arial"/>
                <w:sz w:val="11"/>
                <w:szCs w:val="11"/>
                <w:color w:val="auto"/>
              </w:rPr>
              <w:t>Gross</w:t>
            </w:r>
          </w:p>
        </w:tc>
        <w:tc>
          <w:tcPr>
            <w:tcW w:w="440" w:type="dxa"/>
            <w:vAlign w:val="bottom"/>
          </w:tcPr>
          <w:p>
            <w:pPr>
              <w:spacing w:after="0"/>
              <w:rPr>
                <w:sz w:val="11"/>
                <w:szCs w:val="11"/>
                <w:color w:val="auto"/>
              </w:rPr>
            </w:pPr>
          </w:p>
        </w:tc>
        <w:tc>
          <w:tcPr>
            <w:tcW w:w="1080" w:type="dxa"/>
            <w:vAlign w:val="bottom"/>
          </w:tcPr>
          <w:p>
            <w:pPr>
              <w:jc w:val="center"/>
              <w:ind w:right="145"/>
              <w:spacing w:after="0"/>
              <w:rPr>
                <w:sz w:val="20"/>
                <w:szCs w:val="20"/>
                <w:color w:val="auto"/>
              </w:rPr>
            </w:pPr>
            <w:r>
              <w:rPr>
                <w:rFonts w:ascii="Arial" w:cs="Arial" w:eastAsia="Arial" w:hAnsi="Arial"/>
                <w:sz w:val="11"/>
                <w:szCs w:val="11"/>
                <w:color w:val="auto"/>
                <w:w w:val="98"/>
              </w:rPr>
              <w:t>Estimated</w:t>
            </w: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center"/>
              <w:ind w:right="245"/>
              <w:spacing w:after="0"/>
              <w:rPr>
                <w:sz w:val="20"/>
                <w:szCs w:val="20"/>
                <w:color w:val="auto"/>
              </w:rPr>
            </w:pPr>
            <w:r>
              <w:rPr>
                <w:rFonts w:ascii="Arial" w:cs="Arial" w:eastAsia="Arial" w:hAnsi="Arial"/>
                <w:sz w:val="11"/>
                <w:szCs w:val="11"/>
                <w:color w:val="auto"/>
                <w:w w:val="98"/>
              </w:rPr>
              <w:t>Unrealized</w:t>
            </w:r>
          </w:p>
        </w:tc>
        <w:tc>
          <w:tcPr>
            <w:tcW w:w="420" w:type="dxa"/>
            <w:vAlign w:val="bottom"/>
          </w:tcPr>
          <w:p>
            <w:pPr>
              <w:spacing w:after="0"/>
              <w:rPr>
                <w:sz w:val="13"/>
                <w:szCs w:val="13"/>
                <w:color w:val="auto"/>
              </w:rPr>
            </w:pPr>
          </w:p>
        </w:tc>
        <w:tc>
          <w:tcPr>
            <w:tcW w:w="1160" w:type="dxa"/>
            <w:vAlign w:val="bottom"/>
          </w:tcPr>
          <w:p>
            <w:pPr>
              <w:jc w:val="center"/>
              <w:ind w:right="285"/>
              <w:spacing w:after="0"/>
              <w:rPr>
                <w:sz w:val="20"/>
                <w:szCs w:val="20"/>
                <w:color w:val="auto"/>
              </w:rPr>
            </w:pPr>
            <w:r>
              <w:rPr>
                <w:rFonts w:ascii="Arial" w:cs="Arial" w:eastAsia="Arial" w:hAnsi="Arial"/>
                <w:sz w:val="11"/>
                <w:szCs w:val="11"/>
                <w:color w:val="auto"/>
              </w:rPr>
              <w:t>Unrealized</w:t>
            </w:r>
          </w:p>
        </w:tc>
        <w:tc>
          <w:tcPr>
            <w:tcW w:w="440" w:type="dxa"/>
            <w:vAlign w:val="bottom"/>
          </w:tcPr>
          <w:p>
            <w:pPr>
              <w:spacing w:after="0"/>
              <w:rPr>
                <w:sz w:val="13"/>
                <w:szCs w:val="13"/>
                <w:color w:val="auto"/>
              </w:rPr>
            </w:pPr>
          </w:p>
        </w:tc>
        <w:tc>
          <w:tcPr>
            <w:tcW w:w="1080" w:type="dxa"/>
            <w:vAlign w:val="bottom"/>
          </w:tcPr>
          <w:p>
            <w:pPr>
              <w:jc w:val="center"/>
              <w:ind w:right="145"/>
              <w:spacing w:after="0"/>
              <w:rPr>
                <w:sz w:val="20"/>
                <w:szCs w:val="20"/>
                <w:color w:val="auto"/>
              </w:rPr>
            </w:pPr>
            <w:r>
              <w:rPr>
                <w:rFonts w:ascii="Arial" w:cs="Arial" w:eastAsia="Arial" w:hAnsi="Arial"/>
                <w:sz w:val="11"/>
                <w:szCs w:val="11"/>
                <w:color w:val="auto"/>
              </w:rPr>
              <w:t>Fair</w:t>
            </w:r>
          </w:p>
        </w:tc>
      </w:tr>
      <w:tr>
        <w:trPr>
          <w:trHeight w:val="144"/>
        </w:trPr>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8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Cost</w:t>
            </w:r>
          </w:p>
        </w:tc>
        <w:tc>
          <w:tcPr>
            <w:tcW w:w="5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245"/>
              <w:spacing w:after="0"/>
              <w:rPr>
                <w:sz w:val="20"/>
                <w:szCs w:val="20"/>
                <w:color w:val="auto"/>
              </w:rPr>
            </w:pPr>
            <w:r>
              <w:rPr>
                <w:rFonts w:ascii="Arial" w:cs="Arial" w:eastAsia="Arial" w:hAnsi="Arial"/>
                <w:sz w:val="11"/>
                <w:szCs w:val="11"/>
                <w:color w:val="auto"/>
                <w:w w:val="97"/>
              </w:rPr>
              <w:t>Gains</w:t>
            </w:r>
          </w:p>
        </w:tc>
        <w:tc>
          <w:tcPr>
            <w:tcW w:w="4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285"/>
              <w:spacing w:after="0"/>
              <w:rPr>
                <w:sz w:val="20"/>
                <w:szCs w:val="20"/>
                <w:color w:val="auto"/>
              </w:rPr>
            </w:pPr>
            <w:r>
              <w:rPr>
                <w:rFonts w:ascii="Arial" w:cs="Arial" w:eastAsia="Arial" w:hAnsi="Arial"/>
                <w:sz w:val="11"/>
                <w:szCs w:val="11"/>
                <w:color w:val="auto"/>
                <w:w w:val="97"/>
              </w:rPr>
              <w:t>Losses</w:t>
            </w:r>
          </w:p>
        </w:tc>
        <w:tc>
          <w:tcPr>
            <w:tcW w:w="4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45"/>
              <w:spacing w:after="0"/>
              <w:rPr>
                <w:sz w:val="20"/>
                <w:szCs w:val="20"/>
                <w:color w:val="auto"/>
              </w:rPr>
            </w:pPr>
            <w:r>
              <w:rPr>
                <w:rFonts w:ascii="Arial" w:cs="Arial" w:eastAsia="Arial" w:hAnsi="Arial"/>
                <w:sz w:val="11"/>
                <w:szCs w:val="11"/>
                <w:color w:val="auto"/>
                <w:w w:val="99"/>
              </w:rPr>
              <w:t>Value</w:t>
            </w:r>
          </w:p>
        </w:tc>
      </w:tr>
      <w:tr>
        <w:trPr>
          <w:trHeight w:val="128"/>
        </w:trPr>
        <w:tc>
          <w:tcPr>
            <w:tcW w:w="20" w:type="dxa"/>
            <w:vAlign w:val="bottom"/>
          </w:tcPr>
          <w:p>
            <w:pPr>
              <w:spacing w:after="0"/>
              <w:rPr>
                <w:sz w:val="11"/>
                <w:szCs w:val="11"/>
                <w:color w:val="auto"/>
              </w:rPr>
            </w:pPr>
          </w:p>
        </w:tc>
        <w:tc>
          <w:tcPr>
            <w:tcW w:w="5080" w:type="dxa"/>
            <w:vAlign w:val="bottom"/>
            <w:gridSpan w:val="2"/>
          </w:tcPr>
          <w:p>
            <w:pPr>
              <w:spacing w:after="0"/>
              <w:rPr>
                <w:sz w:val="20"/>
                <w:szCs w:val="20"/>
                <w:color w:val="auto"/>
              </w:rPr>
            </w:pPr>
            <w:r>
              <w:rPr>
                <w:rFonts w:ascii="Arial" w:cs="Arial" w:eastAsia="Arial" w:hAnsi="Arial"/>
                <w:sz w:val="11"/>
                <w:szCs w:val="11"/>
                <w:b w:val="1"/>
                <w:bCs w:val="1"/>
                <w:color w:val="auto"/>
              </w:rPr>
              <w:t>As of March 31, 2011:</w:t>
            </w:r>
          </w:p>
        </w:tc>
        <w:tc>
          <w:tcPr>
            <w:tcW w:w="1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24"/>
        </w:trPr>
        <w:tc>
          <w:tcPr>
            <w:tcW w:w="5100" w:type="dxa"/>
            <w:vAlign w:val="bottom"/>
            <w:gridSpan w:val="3"/>
          </w:tcPr>
          <w:p>
            <w:pPr>
              <w:spacing w:after="0" w:line="124" w:lineRule="exact"/>
              <w:rPr>
                <w:sz w:val="20"/>
                <w:szCs w:val="20"/>
                <w:color w:val="auto"/>
              </w:rPr>
            </w:pPr>
            <w:r>
              <w:rPr>
                <w:rFonts w:ascii="Arial" w:cs="Arial" w:eastAsia="Arial" w:hAnsi="Arial"/>
                <w:sz w:val="11"/>
                <w:szCs w:val="11"/>
                <w:color w:val="auto"/>
              </w:rPr>
              <w:t>Debt securities</w:t>
            </w:r>
          </w:p>
        </w:tc>
        <w:tc>
          <w:tcPr>
            <w:tcW w:w="1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24"/>
        </w:trPr>
        <w:tc>
          <w:tcPr>
            <w:tcW w:w="20" w:type="dxa"/>
            <w:vAlign w:val="bottom"/>
          </w:tcPr>
          <w:p>
            <w:pPr>
              <w:spacing w:after="0"/>
              <w:rPr>
                <w:sz w:val="10"/>
                <w:szCs w:val="10"/>
                <w:color w:val="auto"/>
              </w:rPr>
            </w:pPr>
          </w:p>
        </w:tc>
        <w:tc>
          <w:tcPr>
            <w:tcW w:w="5080" w:type="dxa"/>
            <w:vAlign w:val="bottom"/>
            <w:gridSpan w:val="2"/>
          </w:tcPr>
          <w:p>
            <w:pPr>
              <w:ind w:left="100"/>
              <w:spacing w:after="0" w:line="124" w:lineRule="exact"/>
              <w:rPr>
                <w:sz w:val="20"/>
                <w:szCs w:val="20"/>
                <w:color w:val="auto"/>
              </w:rPr>
            </w:pPr>
            <w:r>
              <w:rPr>
                <w:rFonts w:ascii="Arial" w:cs="Arial" w:eastAsia="Arial" w:hAnsi="Arial"/>
                <w:sz w:val="11"/>
                <w:szCs w:val="11"/>
                <w:color w:val="auto"/>
              </w:rPr>
              <w:t>Debt securities issued by the U.S. Treasury and other</w:t>
            </w:r>
          </w:p>
        </w:tc>
        <w:tc>
          <w:tcPr>
            <w:tcW w:w="1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24"/>
        </w:trPr>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40" w:type="dxa"/>
            <w:vAlign w:val="bottom"/>
          </w:tcPr>
          <w:p>
            <w:pPr>
              <w:ind w:left="20"/>
              <w:spacing w:after="0" w:line="124" w:lineRule="exact"/>
              <w:rPr>
                <w:sz w:val="20"/>
                <w:szCs w:val="20"/>
                <w:color w:val="auto"/>
              </w:rPr>
            </w:pPr>
            <w:r>
              <w:rPr>
                <w:rFonts w:ascii="Arial" w:cs="Arial" w:eastAsia="Arial" w:hAnsi="Arial"/>
                <w:sz w:val="11"/>
                <w:szCs w:val="11"/>
                <w:color w:val="auto"/>
              </w:rPr>
              <w:t>U.S. government corporations and agencies(1)</w:t>
            </w:r>
          </w:p>
        </w:tc>
        <w:tc>
          <w:tcPr>
            <w:tcW w:w="1220" w:type="dxa"/>
            <w:vAlign w:val="bottom"/>
          </w:tcPr>
          <w:p>
            <w:pPr>
              <w:jc w:val="right"/>
              <w:ind w:right="745"/>
              <w:spacing w:after="0" w:line="124" w:lineRule="exact"/>
              <w:rPr>
                <w:sz w:val="20"/>
                <w:szCs w:val="20"/>
                <w:color w:val="auto"/>
              </w:rPr>
            </w:pPr>
            <w:r>
              <w:rPr>
                <w:rFonts w:ascii="Arial" w:cs="Arial" w:eastAsia="Arial" w:hAnsi="Arial"/>
                <w:sz w:val="11"/>
                <w:szCs w:val="11"/>
                <w:color w:val="auto"/>
              </w:rPr>
              <w:t>$</w:t>
            </w:r>
          </w:p>
        </w:tc>
        <w:tc>
          <w:tcPr>
            <w:tcW w:w="500" w:type="dxa"/>
            <w:vAlign w:val="bottom"/>
          </w:tcPr>
          <w:p>
            <w:pPr>
              <w:jc w:val="right"/>
              <w:ind w:right="145"/>
              <w:spacing w:after="0" w:line="124" w:lineRule="exact"/>
              <w:rPr>
                <w:sz w:val="20"/>
                <w:szCs w:val="20"/>
                <w:color w:val="auto"/>
              </w:rPr>
            </w:pPr>
            <w:r>
              <w:rPr>
                <w:rFonts w:ascii="Arial" w:cs="Arial" w:eastAsia="Arial" w:hAnsi="Arial"/>
                <w:sz w:val="11"/>
                <w:szCs w:val="11"/>
                <w:color w:val="auto"/>
              </w:rPr>
              <w:t>162</w:t>
            </w:r>
          </w:p>
        </w:tc>
        <w:tc>
          <w:tcPr>
            <w:tcW w:w="400" w:type="dxa"/>
            <w:vAlign w:val="bottom"/>
          </w:tcPr>
          <w:p>
            <w:pPr>
              <w:jc w:val="right"/>
              <w:ind w:right="85"/>
              <w:spacing w:after="0" w:line="124" w:lineRule="exact"/>
              <w:rPr>
                <w:sz w:val="20"/>
                <w:szCs w:val="20"/>
                <w:color w:val="auto"/>
              </w:rPr>
            </w:pPr>
            <w:r>
              <w:rPr>
                <w:rFonts w:ascii="Arial" w:cs="Arial" w:eastAsia="Arial" w:hAnsi="Arial"/>
                <w:sz w:val="11"/>
                <w:szCs w:val="11"/>
                <w:color w:val="auto"/>
              </w:rPr>
              <w:t>$</w:t>
            </w:r>
          </w:p>
        </w:tc>
        <w:tc>
          <w:tcPr>
            <w:tcW w:w="1140" w:type="dxa"/>
            <w:vAlign w:val="bottom"/>
          </w:tcPr>
          <w:p>
            <w:pPr>
              <w:jc w:val="right"/>
              <w:ind w:right="145"/>
              <w:spacing w:after="0" w:line="124" w:lineRule="exact"/>
              <w:rPr>
                <w:sz w:val="20"/>
                <w:szCs w:val="20"/>
                <w:color w:val="auto"/>
              </w:rPr>
            </w:pPr>
            <w:r>
              <w:rPr>
                <w:rFonts w:ascii="Arial" w:cs="Arial" w:eastAsia="Arial" w:hAnsi="Arial"/>
                <w:sz w:val="11"/>
                <w:szCs w:val="11"/>
                <w:color w:val="auto"/>
              </w:rPr>
              <w:t>12</w:t>
            </w:r>
          </w:p>
        </w:tc>
        <w:tc>
          <w:tcPr>
            <w:tcW w:w="420" w:type="dxa"/>
            <w:vAlign w:val="bottom"/>
          </w:tcPr>
          <w:p>
            <w:pPr>
              <w:jc w:val="right"/>
              <w:ind w:right="105"/>
              <w:spacing w:after="0" w:line="124" w:lineRule="exact"/>
              <w:rPr>
                <w:sz w:val="20"/>
                <w:szCs w:val="20"/>
                <w:color w:val="auto"/>
              </w:rPr>
            </w:pPr>
            <w:r>
              <w:rPr>
                <w:rFonts w:ascii="Arial" w:cs="Arial" w:eastAsia="Arial" w:hAnsi="Arial"/>
                <w:sz w:val="11"/>
                <w:szCs w:val="11"/>
                <w:color w:val="auto"/>
              </w:rPr>
              <w:t>$</w:t>
            </w:r>
          </w:p>
        </w:tc>
        <w:tc>
          <w:tcPr>
            <w:tcW w:w="1160" w:type="dxa"/>
            <w:vAlign w:val="bottom"/>
          </w:tcPr>
          <w:p>
            <w:pPr>
              <w:ind w:left="840"/>
              <w:spacing w:after="0" w:line="124" w:lineRule="exact"/>
              <w:rPr>
                <w:sz w:val="20"/>
                <w:szCs w:val="20"/>
                <w:color w:val="auto"/>
              </w:rPr>
            </w:pPr>
            <w:r>
              <w:rPr>
                <w:rFonts w:ascii="Arial" w:cs="Arial" w:eastAsia="Arial" w:hAnsi="Arial"/>
                <w:sz w:val="11"/>
                <w:szCs w:val="11"/>
                <w:color w:val="auto"/>
              </w:rPr>
              <w:t>(3)</w:t>
            </w:r>
          </w:p>
        </w:tc>
        <w:tc>
          <w:tcPr>
            <w:tcW w:w="440" w:type="dxa"/>
            <w:vAlign w:val="bottom"/>
          </w:tcPr>
          <w:p>
            <w:pPr>
              <w:jc w:val="right"/>
              <w:ind w:right="145"/>
              <w:spacing w:after="0" w:line="124" w:lineRule="exact"/>
              <w:rPr>
                <w:sz w:val="20"/>
                <w:szCs w:val="20"/>
                <w:color w:val="auto"/>
              </w:rPr>
            </w:pPr>
            <w:r>
              <w:rPr>
                <w:rFonts w:ascii="Arial" w:cs="Arial" w:eastAsia="Arial" w:hAnsi="Arial"/>
                <w:sz w:val="11"/>
                <w:szCs w:val="11"/>
                <w:color w:val="auto"/>
              </w:rPr>
              <w:t>$</w:t>
            </w:r>
          </w:p>
        </w:tc>
        <w:tc>
          <w:tcPr>
            <w:tcW w:w="1080" w:type="dxa"/>
            <w:vAlign w:val="bottom"/>
          </w:tcPr>
          <w:p>
            <w:pPr>
              <w:jc w:val="right"/>
              <w:spacing w:after="0" w:line="124" w:lineRule="exact"/>
              <w:rPr>
                <w:sz w:val="20"/>
                <w:szCs w:val="20"/>
                <w:color w:val="auto"/>
              </w:rPr>
            </w:pPr>
            <w:r>
              <w:rPr>
                <w:rFonts w:ascii="Arial" w:cs="Arial" w:eastAsia="Arial" w:hAnsi="Arial"/>
                <w:sz w:val="11"/>
                <w:szCs w:val="11"/>
                <w:color w:val="auto"/>
              </w:rPr>
              <w:t>171</w:t>
            </w:r>
          </w:p>
        </w:tc>
      </w:tr>
      <w:tr>
        <w:trPr>
          <w:trHeight w:val="124"/>
        </w:trPr>
        <w:tc>
          <w:tcPr>
            <w:tcW w:w="20" w:type="dxa"/>
            <w:vAlign w:val="bottom"/>
          </w:tcPr>
          <w:p>
            <w:pPr>
              <w:spacing w:after="0"/>
              <w:rPr>
                <w:sz w:val="10"/>
                <w:szCs w:val="10"/>
                <w:color w:val="auto"/>
              </w:rPr>
            </w:pPr>
          </w:p>
        </w:tc>
        <w:tc>
          <w:tcPr>
            <w:tcW w:w="5080" w:type="dxa"/>
            <w:vAlign w:val="bottom"/>
            <w:gridSpan w:val="2"/>
          </w:tcPr>
          <w:p>
            <w:pPr>
              <w:ind w:left="100"/>
              <w:spacing w:after="0" w:line="124" w:lineRule="exact"/>
              <w:rPr>
                <w:sz w:val="20"/>
                <w:szCs w:val="20"/>
                <w:color w:val="auto"/>
              </w:rPr>
            </w:pPr>
            <w:r>
              <w:rPr>
                <w:rFonts w:ascii="Arial" w:cs="Arial" w:eastAsia="Arial" w:hAnsi="Arial"/>
                <w:sz w:val="11"/>
                <w:szCs w:val="11"/>
                <w:color w:val="auto"/>
              </w:rPr>
              <w:t>Municipal bonds(2)</w:t>
            </w:r>
          </w:p>
        </w:tc>
        <w:tc>
          <w:tcPr>
            <w:tcW w:w="1220" w:type="dxa"/>
            <w:vAlign w:val="bottom"/>
          </w:tcPr>
          <w:p>
            <w:pPr>
              <w:spacing w:after="0"/>
              <w:rPr>
                <w:sz w:val="10"/>
                <w:szCs w:val="10"/>
                <w:color w:val="auto"/>
              </w:rPr>
            </w:pPr>
          </w:p>
        </w:tc>
        <w:tc>
          <w:tcPr>
            <w:tcW w:w="500" w:type="dxa"/>
            <w:vAlign w:val="bottom"/>
          </w:tcPr>
          <w:p>
            <w:pPr>
              <w:jc w:val="right"/>
              <w:ind w:right="145"/>
              <w:spacing w:after="0" w:line="124" w:lineRule="exact"/>
              <w:rPr>
                <w:sz w:val="20"/>
                <w:szCs w:val="20"/>
                <w:color w:val="auto"/>
              </w:rPr>
            </w:pPr>
            <w:r>
              <w:rPr>
                <w:rFonts w:ascii="Arial" w:cs="Arial" w:eastAsia="Arial" w:hAnsi="Arial"/>
                <w:sz w:val="11"/>
                <w:szCs w:val="11"/>
                <w:color w:val="auto"/>
              </w:rPr>
              <w:t>95</w:t>
            </w:r>
          </w:p>
        </w:tc>
        <w:tc>
          <w:tcPr>
            <w:tcW w:w="400" w:type="dxa"/>
            <w:vAlign w:val="bottom"/>
          </w:tcPr>
          <w:p>
            <w:pPr>
              <w:spacing w:after="0"/>
              <w:rPr>
                <w:sz w:val="10"/>
                <w:szCs w:val="10"/>
                <w:color w:val="auto"/>
              </w:rPr>
            </w:pPr>
          </w:p>
        </w:tc>
        <w:tc>
          <w:tcPr>
            <w:tcW w:w="1140" w:type="dxa"/>
            <w:vAlign w:val="bottom"/>
          </w:tcPr>
          <w:p>
            <w:pPr>
              <w:jc w:val="right"/>
              <w:ind w:right="145"/>
              <w:spacing w:after="0" w:line="124" w:lineRule="exact"/>
              <w:rPr>
                <w:sz w:val="20"/>
                <w:szCs w:val="20"/>
                <w:color w:val="auto"/>
              </w:rPr>
            </w:pPr>
            <w:r>
              <w:rPr>
                <w:rFonts w:ascii="Arial" w:cs="Arial" w:eastAsia="Arial" w:hAnsi="Arial"/>
                <w:sz w:val="11"/>
                <w:szCs w:val="11"/>
                <w:color w:val="auto"/>
              </w:rPr>
              <w:t>2</w:t>
            </w:r>
          </w:p>
        </w:tc>
        <w:tc>
          <w:tcPr>
            <w:tcW w:w="420" w:type="dxa"/>
            <w:vAlign w:val="bottom"/>
          </w:tcPr>
          <w:p>
            <w:pPr>
              <w:spacing w:after="0"/>
              <w:rPr>
                <w:sz w:val="10"/>
                <w:szCs w:val="10"/>
                <w:color w:val="auto"/>
              </w:rPr>
            </w:pPr>
          </w:p>
        </w:tc>
        <w:tc>
          <w:tcPr>
            <w:tcW w:w="1160" w:type="dxa"/>
            <w:vAlign w:val="bottom"/>
          </w:tcPr>
          <w:p>
            <w:pPr>
              <w:ind w:left="840"/>
              <w:spacing w:after="0" w:line="124" w:lineRule="exact"/>
              <w:rPr>
                <w:sz w:val="20"/>
                <w:szCs w:val="20"/>
                <w:color w:val="auto"/>
              </w:rPr>
            </w:pPr>
            <w:r>
              <w:rPr>
                <w:rFonts w:ascii="Arial" w:cs="Arial" w:eastAsia="Arial" w:hAnsi="Arial"/>
                <w:sz w:val="11"/>
                <w:szCs w:val="11"/>
                <w:color w:val="auto"/>
              </w:rPr>
              <w:t>(3)</w:t>
            </w:r>
          </w:p>
        </w:tc>
        <w:tc>
          <w:tcPr>
            <w:tcW w:w="44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Arial" w:cs="Arial" w:eastAsia="Arial" w:hAnsi="Arial"/>
                <w:sz w:val="11"/>
                <w:szCs w:val="11"/>
                <w:color w:val="auto"/>
              </w:rPr>
              <w:t>94</w:t>
            </w:r>
          </w:p>
        </w:tc>
      </w:tr>
      <w:tr>
        <w:trPr>
          <w:trHeight w:val="121"/>
        </w:trPr>
        <w:tc>
          <w:tcPr>
            <w:tcW w:w="20" w:type="dxa"/>
            <w:vAlign w:val="bottom"/>
          </w:tcPr>
          <w:p>
            <w:pPr>
              <w:spacing w:after="0"/>
              <w:rPr>
                <w:sz w:val="10"/>
                <w:szCs w:val="10"/>
                <w:color w:val="auto"/>
              </w:rPr>
            </w:pPr>
          </w:p>
        </w:tc>
        <w:tc>
          <w:tcPr>
            <w:tcW w:w="5080" w:type="dxa"/>
            <w:vAlign w:val="bottom"/>
            <w:gridSpan w:val="2"/>
          </w:tcPr>
          <w:p>
            <w:pPr>
              <w:ind w:left="100"/>
              <w:spacing w:after="0" w:line="101" w:lineRule="exact"/>
              <w:rPr>
                <w:sz w:val="20"/>
                <w:szCs w:val="20"/>
                <w:color w:val="auto"/>
              </w:rPr>
            </w:pPr>
            <w:r>
              <w:rPr>
                <w:rFonts w:ascii="Arial" w:cs="Arial" w:eastAsia="Arial" w:hAnsi="Arial"/>
                <w:sz w:val="11"/>
                <w:szCs w:val="11"/>
                <w:color w:val="auto"/>
              </w:rPr>
              <w:t>Other securities(3)</w:t>
            </w:r>
          </w:p>
        </w:tc>
        <w:tc>
          <w:tcPr>
            <w:tcW w:w="12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45"/>
              <w:spacing w:after="0" w:line="101" w:lineRule="exact"/>
              <w:rPr>
                <w:sz w:val="20"/>
                <w:szCs w:val="20"/>
                <w:color w:val="auto"/>
              </w:rPr>
            </w:pPr>
            <w:r>
              <w:rPr>
                <w:rFonts w:ascii="Arial" w:cs="Arial" w:eastAsia="Arial" w:hAnsi="Arial"/>
                <w:sz w:val="11"/>
                <w:szCs w:val="11"/>
                <w:color w:val="auto"/>
              </w:rPr>
              <w:t>36</w:t>
            </w:r>
          </w:p>
        </w:tc>
        <w:tc>
          <w:tcPr>
            <w:tcW w:w="4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145"/>
              <w:spacing w:after="0" w:line="101" w:lineRule="exact"/>
              <w:rPr>
                <w:sz w:val="20"/>
                <w:szCs w:val="20"/>
                <w:color w:val="auto"/>
              </w:rPr>
            </w:pPr>
            <w:r>
              <w:rPr>
                <w:rFonts w:ascii="Arial" w:cs="Arial" w:eastAsia="Arial" w:hAnsi="Arial"/>
                <w:sz w:val="11"/>
                <w:szCs w:val="11"/>
                <w:color w:val="auto"/>
              </w:rPr>
              <w:t>3</w:t>
            </w:r>
          </w:p>
        </w:tc>
        <w:tc>
          <w:tcPr>
            <w:tcW w:w="4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ind w:left="840"/>
              <w:spacing w:after="0" w:line="101" w:lineRule="exact"/>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color w:val="auto"/>
              </w:rPr>
              <w:t>39</w:t>
            </w:r>
          </w:p>
        </w:tc>
      </w:tr>
      <w:tr>
        <w:trPr>
          <w:trHeight w:val="128"/>
        </w:trPr>
        <w:tc>
          <w:tcPr>
            <w:tcW w:w="5100" w:type="dxa"/>
            <w:vAlign w:val="bottom"/>
            <w:gridSpan w:val="3"/>
          </w:tcPr>
          <w:p>
            <w:pPr>
              <w:spacing w:after="0"/>
              <w:rPr>
                <w:sz w:val="20"/>
                <w:szCs w:val="20"/>
                <w:color w:val="auto"/>
              </w:rPr>
            </w:pPr>
            <w:r>
              <w:rPr>
                <w:rFonts w:ascii="Arial" w:cs="Arial" w:eastAsia="Arial" w:hAnsi="Arial"/>
                <w:sz w:val="11"/>
                <w:szCs w:val="11"/>
                <w:color w:val="auto"/>
              </w:rPr>
              <w:t>Total debt securities</w:t>
            </w:r>
          </w:p>
        </w:tc>
        <w:tc>
          <w:tcPr>
            <w:tcW w:w="1220" w:type="dxa"/>
            <w:vAlign w:val="bottom"/>
          </w:tcPr>
          <w:p>
            <w:pPr>
              <w:spacing w:after="0"/>
              <w:rPr>
                <w:sz w:val="11"/>
                <w:szCs w:val="11"/>
                <w:color w:val="auto"/>
              </w:rPr>
            </w:pPr>
          </w:p>
        </w:tc>
        <w:tc>
          <w:tcPr>
            <w:tcW w:w="500" w:type="dxa"/>
            <w:vAlign w:val="bottom"/>
          </w:tcPr>
          <w:p>
            <w:pPr>
              <w:jc w:val="right"/>
              <w:ind w:right="145"/>
              <w:spacing w:after="0"/>
              <w:rPr>
                <w:sz w:val="20"/>
                <w:szCs w:val="20"/>
                <w:color w:val="auto"/>
              </w:rPr>
            </w:pPr>
            <w:r>
              <w:rPr>
                <w:rFonts w:ascii="Arial" w:cs="Arial" w:eastAsia="Arial" w:hAnsi="Arial"/>
                <w:sz w:val="11"/>
                <w:szCs w:val="11"/>
                <w:color w:val="auto"/>
              </w:rPr>
              <w:t>293</w:t>
            </w:r>
          </w:p>
        </w:tc>
        <w:tc>
          <w:tcPr>
            <w:tcW w:w="400" w:type="dxa"/>
            <w:vAlign w:val="bottom"/>
          </w:tcPr>
          <w:p>
            <w:pPr>
              <w:spacing w:after="0"/>
              <w:rPr>
                <w:sz w:val="11"/>
                <w:szCs w:val="11"/>
                <w:color w:val="auto"/>
              </w:rPr>
            </w:pPr>
          </w:p>
        </w:tc>
        <w:tc>
          <w:tcPr>
            <w:tcW w:w="1140" w:type="dxa"/>
            <w:vAlign w:val="bottom"/>
          </w:tcPr>
          <w:p>
            <w:pPr>
              <w:jc w:val="right"/>
              <w:ind w:right="145"/>
              <w:spacing w:after="0"/>
              <w:rPr>
                <w:sz w:val="20"/>
                <w:szCs w:val="20"/>
                <w:color w:val="auto"/>
              </w:rPr>
            </w:pPr>
            <w:r>
              <w:rPr>
                <w:rFonts w:ascii="Arial" w:cs="Arial" w:eastAsia="Arial" w:hAnsi="Arial"/>
                <w:sz w:val="11"/>
                <w:szCs w:val="11"/>
                <w:color w:val="auto"/>
              </w:rPr>
              <w:t>17</w:t>
            </w:r>
          </w:p>
        </w:tc>
        <w:tc>
          <w:tcPr>
            <w:tcW w:w="420" w:type="dxa"/>
            <w:vAlign w:val="bottom"/>
          </w:tcPr>
          <w:p>
            <w:pPr>
              <w:spacing w:after="0"/>
              <w:rPr>
                <w:sz w:val="11"/>
                <w:szCs w:val="11"/>
                <w:color w:val="auto"/>
              </w:rPr>
            </w:pPr>
          </w:p>
        </w:tc>
        <w:tc>
          <w:tcPr>
            <w:tcW w:w="1160" w:type="dxa"/>
            <w:vAlign w:val="bottom"/>
          </w:tcPr>
          <w:p>
            <w:pPr>
              <w:ind w:left="840"/>
              <w:spacing w:after="0"/>
              <w:rPr>
                <w:sz w:val="20"/>
                <w:szCs w:val="20"/>
                <w:color w:val="auto"/>
              </w:rPr>
            </w:pPr>
            <w:r>
              <w:rPr>
                <w:rFonts w:ascii="Arial" w:cs="Arial" w:eastAsia="Arial" w:hAnsi="Arial"/>
                <w:sz w:val="11"/>
                <w:szCs w:val="11"/>
                <w:color w:val="auto"/>
              </w:rPr>
              <w:t>(6)</w:t>
            </w:r>
          </w:p>
        </w:tc>
        <w:tc>
          <w:tcPr>
            <w:tcW w:w="4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304</w:t>
            </w:r>
          </w:p>
        </w:tc>
      </w:tr>
      <w:tr>
        <w:trPr>
          <w:trHeight w:val="124"/>
        </w:trPr>
        <w:tc>
          <w:tcPr>
            <w:tcW w:w="5100" w:type="dxa"/>
            <w:vAlign w:val="bottom"/>
            <w:gridSpan w:val="3"/>
          </w:tcPr>
          <w:p>
            <w:pPr>
              <w:spacing w:after="0" w:line="124" w:lineRule="exact"/>
              <w:rPr>
                <w:sz w:val="20"/>
                <w:szCs w:val="20"/>
                <w:color w:val="auto"/>
              </w:rPr>
            </w:pPr>
            <w:r>
              <w:rPr>
                <w:rFonts w:ascii="Arial" w:cs="Arial" w:eastAsia="Arial" w:hAnsi="Arial"/>
                <w:sz w:val="11"/>
                <w:szCs w:val="11"/>
                <w:color w:val="auto"/>
              </w:rPr>
              <w:t>Equity securities</w:t>
            </w:r>
          </w:p>
        </w:tc>
        <w:tc>
          <w:tcPr>
            <w:tcW w:w="1220" w:type="dxa"/>
            <w:vAlign w:val="bottom"/>
          </w:tcPr>
          <w:p>
            <w:pPr>
              <w:spacing w:after="0"/>
              <w:rPr>
                <w:sz w:val="10"/>
                <w:szCs w:val="10"/>
                <w:color w:val="auto"/>
              </w:rPr>
            </w:pPr>
          </w:p>
        </w:tc>
        <w:tc>
          <w:tcPr>
            <w:tcW w:w="500" w:type="dxa"/>
            <w:vAlign w:val="bottom"/>
          </w:tcPr>
          <w:p>
            <w:pPr>
              <w:jc w:val="right"/>
              <w:ind w:right="145"/>
              <w:spacing w:after="0" w:line="124" w:lineRule="exact"/>
              <w:rPr>
                <w:sz w:val="20"/>
                <w:szCs w:val="20"/>
                <w:color w:val="auto"/>
              </w:rPr>
            </w:pPr>
            <w:r>
              <w:rPr>
                <w:rFonts w:ascii="Arial" w:cs="Arial" w:eastAsia="Arial" w:hAnsi="Arial"/>
                <w:sz w:val="11"/>
                <w:szCs w:val="11"/>
                <w:color w:val="auto"/>
              </w:rPr>
              <w:t>220</w:t>
            </w:r>
          </w:p>
        </w:tc>
        <w:tc>
          <w:tcPr>
            <w:tcW w:w="400" w:type="dxa"/>
            <w:vAlign w:val="bottom"/>
          </w:tcPr>
          <w:p>
            <w:pPr>
              <w:spacing w:after="0"/>
              <w:rPr>
                <w:sz w:val="10"/>
                <w:szCs w:val="10"/>
                <w:color w:val="auto"/>
              </w:rPr>
            </w:pPr>
          </w:p>
        </w:tc>
        <w:tc>
          <w:tcPr>
            <w:tcW w:w="1140" w:type="dxa"/>
            <w:vAlign w:val="bottom"/>
          </w:tcPr>
          <w:p>
            <w:pPr>
              <w:jc w:val="right"/>
              <w:ind w:right="145"/>
              <w:spacing w:after="0" w:line="124" w:lineRule="exact"/>
              <w:rPr>
                <w:sz w:val="20"/>
                <w:szCs w:val="20"/>
                <w:color w:val="auto"/>
              </w:rPr>
            </w:pPr>
            <w:r>
              <w:rPr>
                <w:rFonts w:ascii="Arial" w:cs="Arial" w:eastAsia="Arial" w:hAnsi="Arial"/>
                <w:sz w:val="11"/>
                <w:szCs w:val="11"/>
                <w:color w:val="auto"/>
              </w:rPr>
              <w:t>264</w:t>
            </w:r>
          </w:p>
        </w:tc>
        <w:tc>
          <w:tcPr>
            <w:tcW w:w="420" w:type="dxa"/>
            <w:vAlign w:val="bottom"/>
          </w:tcPr>
          <w:p>
            <w:pPr>
              <w:spacing w:after="0"/>
              <w:rPr>
                <w:sz w:val="10"/>
                <w:szCs w:val="10"/>
                <w:color w:val="auto"/>
              </w:rPr>
            </w:pPr>
          </w:p>
        </w:tc>
        <w:tc>
          <w:tcPr>
            <w:tcW w:w="1160" w:type="dxa"/>
            <w:vAlign w:val="bottom"/>
          </w:tcPr>
          <w:p>
            <w:pPr>
              <w:ind w:left="840"/>
              <w:spacing w:after="0" w:line="124" w:lineRule="exact"/>
              <w:rPr>
                <w:sz w:val="20"/>
                <w:szCs w:val="20"/>
                <w:color w:val="auto"/>
              </w:rPr>
            </w:pPr>
            <w:r>
              <w:rPr>
                <w:rFonts w:ascii="Arial" w:cs="Arial" w:eastAsia="Arial" w:hAnsi="Arial"/>
                <w:sz w:val="11"/>
                <w:szCs w:val="11"/>
                <w:color w:val="auto"/>
              </w:rPr>
              <w:t>(1)</w:t>
            </w:r>
          </w:p>
        </w:tc>
        <w:tc>
          <w:tcPr>
            <w:tcW w:w="44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Arial" w:cs="Arial" w:eastAsia="Arial" w:hAnsi="Arial"/>
                <w:sz w:val="11"/>
                <w:szCs w:val="11"/>
                <w:color w:val="auto"/>
              </w:rPr>
              <w:t>483</w:t>
            </w:r>
          </w:p>
        </w:tc>
      </w:tr>
      <w:tr>
        <w:trPr>
          <w:trHeight w:val="121"/>
        </w:trPr>
        <w:tc>
          <w:tcPr>
            <w:tcW w:w="5100" w:type="dxa"/>
            <w:vAlign w:val="bottom"/>
            <w:gridSpan w:val="3"/>
          </w:tcPr>
          <w:p>
            <w:pPr>
              <w:spacing w:after="0" w:line="101" w:lineRule="exact"/>
              <w:rPr>
                <w:sz w:val="20"/>
                <w:szCs w:val="20"/>
                <w:color w:val="auto"/>
              </w:rPr>
            </w:pPr>
            <w:r>
              <w:rPr>
                <w:rFonts w:ascii="Arial" w:cs="Arial" w:eastAsia="Arial" w:hAnsi="Arial"/>
                <w:sz w:val="11"/>
                <w:szCs w:val="11"/>
                <w:color w:val="auto"/>
              </w:rPr>
              <w:t>Cash and cash equivalents</w:t>
            </w:r>
          </w:p>
        </w:tc>
        <w:tc>
          <w:tcPr>
            <w:tcW w:w="12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45"/>
              <w:spacing w:after="0" w:line="101" w:lineRule="exact"/>
              <w:rPr>
                <w:sz w:val="20"/>
                <w:szCs w:val="20"/>
                <w:color w:val="auto"/>
              </w:rPr>
            </w:pPr>
            <w:r>
              <w:rPr>
                <w:rFonts w:ascii="Arial" w:cs="Arial" w:eastAsia="Arial" w:hAnsi="Arial"/>
                <w:sz w:val="11"/>
                <w:szCs w:val="11"/>
                <w:color w:val="auto"/>
              </w:rPr>
              <w:t>9</w:t>
            </w:r>
          </w:p>
        </w:tc>
        <w:tc>
          <w:tcPr>
            <w:tcW w:w="4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145"/>
              <w:spacing w:after="0" w:line="101" w:lineRule="exact"/>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ind w:left="840"/>
              <w:spacing w:after="0" w:line="101" w:lineRule="exact"/>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color w:val="auto"/>
              </w:rPr>
              <w:t>9</w:t>
            </w:r>
          </w:p>
        </w:tc>
      </w:tr>
      <w:tr>
        <w:trPr>
          <w:trHeight w:val="125"/>
        </w:trPr>
        <w:tc>
          <w:tcPr>
            <w:tcW w:w="260" w:type="dxa"/>
            <w:vAlign w:val="bottom"/>
            <w:tcBorders>
              <w:bottom w:val="single" w:sz="8" w:color="auto"/>
            </w:tcBorders>
            <w:gridSpan w:val="2"/>
          </w:tcPr>
          <w:p>
            <w:pPr>
              <w:spacing w:after="0" w:line="124" w:lineRule="exact"/>
              <w:rPr>
                <w:sz w:val="20"/>
                <w:szCs w:val="20"/>
                <w:color w:val="auto"/>
              </w:rPr>
            </w:pPr>
            <w:r>
              <w:rPr>
                <w:rFonts w:ascii="Arial" w:cs="Arial" w:eastAsia="Arial" w:hAnsi="Arial"/>
                <w:sz w:val="11"/>
                <w:szCs w:val="11"/>
                <w:color w:val="auto"/>
                <w:w w:val="97"/>
              </w:rPr>
              <w:t>Total</w:t>
            </w:r>
          </w:p>
        </w:tc>
        <w:tc>
          <w:tcPr>
            <w:tcW w:w="48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745"/>
              <w:spacing w:after="0" w:line="124" w:lineRule="exact"/>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tcPr>
          <w:p>
            <w:pPr>
              <w:jc w:val="right"/>
              <w:ind w:right="145"/>
              <w:spacing w:after="0" w:line="124" w:lineRule="exact"/>
              <w:rPr>
                <w:sz w:val="20"/>
                <w:szCs w:val="20"/>
                <w:color w:val="auto"/>
              </w:rPr>
            </w:pPr>
            <w:r>
              <w:rPr>
                <w:rFonts w:ascii="Arial" w:cs="Arial" w:eastAsia="Arial" w:hAnsi="Arial"/>
                <w:sz w:val="11"/>
                <w:szCs w:val="11"/>
                <w:color w:val="auto"/>
              </w:rPr>
              <w:t>522</w:t>
            </w:r>
          </w:p>
        </w:tc>
        <w:tc>
          <w:tcPr>
            <w:tcW w:w="400" w:type="dxa"/>
            <w:vAlign w:val="bottom"/>
            <w:tcBorders>
              <w:bottom w:val="single" w:sz="8" w:color="auto"/>
            </w:tcBorders>
          </w:tcPr>
          <w:p>
            <w:pPr>
              <w:jc w:val="right"/>
              <w:ind w:right="85"/>
              <w:spacing w:after="0" w:line="124" w:lineRule="exact"/>
              <w:rPr>
                <w:sz w:val="20"/>
                <w:szCs w:val="20"/>
                <w:color w:val="auto"/>
              </w:rPr>
            </w:pPr>
            <w:r>
              <w:rPr>
                <w:rFonts w:ascii="Arial" w:cs="Arial" w:eastAsia="Arial" w:hAnsi="Arial"/>
                <w:sz w:val="11"/>
                <w:szCs w:val="11"/>
                <w:color w:val="auto"/>
              </w:rPr>
              <w:t>$</w:t>
            </w:r>
          </w:p>
        </w:tc>
        <w:tc>
          <w:tcPr>
            <w:tcW w:w="1140" w:type="dxa"/>
            <w:vAlign w:val="bottom"/>
            <w:tcBorders>
              <w:bottom w:val="single" w:sz="8" w:color="auto"/>
            </w:tcBorders>
          </w:tcPr>
          <w:p>
            <w:pPr>
              <w:jc w:val="right"/>
              <w:ind w:right="145"/>
              <w:spacing w:after="0" w:line="124" w:lineRule="exact"/>
              <w:rPr>
                <w:sz w:val="20"/>
                <w:szCs w:val="20"/>
                <w:color w:val="auto"/>
              </w:rPr>
            </w:pPr>
            <w:r>
              <w:rPr>
                <w:rFonts w:ascii="Arial" w:cs="Arial" w:eastAsia="Arial" w:hAnsi="Arial"/>
                <w:sz w:val="11"/>
                <w:szCs w:val="11"/>
                <w:color w:val="auto"/>
              </w:rPr>
              <w:t>281</w:t>
            </w:r>
          </w:p>
        </w:tc>
        <w:tc>
          <w:tcPr>
            <w:tcW w:w="420" w:type="dxa"/>
            <w:vAlign w:val="bottom"/>
            <w:tcBorders>
              <w:bottom w:val="single" w:sz="8" w:color="auto"/>
            </w:tcBorders>
          </w:tcPr>
          <w:p>
            <w:pPr>
              <w:jc w:val="right"/>
              <w:ind w:right="105"/>
              <w:spacing w:after="0" w:line="124" w:lineRule="exact"/>
              <w:rPr>
                <w:sz w:val="20"/>
                <w:szCs w:val="20"/>
                <w:color w:val="auto"/>
              </w:rPr>
            </w:pPr>
            <w:r>
              <w:rPr>
                <w:rFonts w:ascii="Arial" w:cs="Arial" w:eastAsia="Arial" w:hAnsi="Arial"/>
                <w:sz w:val="11"/>
                <w:szCs w:val="11"/>
                <w:color w:val="auto"/>
              </w:rPr>
              <w:t>$</w:t>
            </w:r>
          </w:p>
        </w:tc>
        <w:tc>
          <w:tcPr>
            <w:tcW w:w="1160" w:type="dxa"/>
            <w:vAlign w:val="bottom"/>
            <w:tcBorders>
              <w:bottom w:val="single" w:sz="8" w:color="auto"/>
            </w:tcBorders>
          </w:tcPr>
          <w:p>
            <w:pPr>
              <w:ind w:left="840"/>
              <w:spacing w:after="0" w:line="124" w:lineRule="exact"/>
              <w:rPr>
                <w:sz w:val="20"/>
                <w:szCs w:val="20"/>
                <w:color w:val="auto"/>
              </w:rPr>
            </w:pPr>
            <w:r>
              <w:rPr>
                <w:rFonts w:ascii="Arial" w:cs="Arial" w:eastAsia="Arial" w:hAnsi="Arial"/>
                <w:sz w:val="11"/>
                <w:szCs w:val="11"/>
                <w:color w:val="auto"/>
              </w:rPr>
              <w:t>(7)</w:t>
            </w:r>
          </w:p>
        </w:tc>
        <w:tc>
          <w:tcPr>
            <w:tcW w:w="440" w:type="dxa"/>
            <w:vAlign w:val="bottom"/>
            <w:tcBorders>
              <w:bottom w:val="single" w:sz="8" w:color="auto"/>
            </w:tcBorders>
          </w:tcPr>
          <w:p>
            <w:pPr>
              <w:jc w:val="right"/>
              <w:ind w:right="145"/>
              <w:spacing w:after="0" w:line="124" w:lineRule="exact"/>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796</w:t>
            </w:r>
          </w:p>
        </w:tc>
      </w:tr>
      <w:tr>
        <w:trPr>
          <w:trHeight w:val="128"/>
        </w:trPr>
        <w:tc>
          <w:tcPr>
            <w:tcW w:w="5100" w:type="dxa"/>
            <w:vAlign w:val="bottom"/>
            <w:gridSpan w:val="3"/>
          </w:tcPr>
          <w:p>
            <w:pPr>
              <w:spacing w:after="0"/>
              <w:rPr>
                <w:sz w:val="20"/>
                <w:szCs w:val="20"/>
                <w:color w:val="auto"/>
              </w:rPr>
            </w:pPr>
            <w:r>
              <w:rPr>
                <w:rFonts w:ascii="Arial" w:cs="Arial" w:eastAsia="Arial" w:hAnsi="Arial"/>
                <w:sz w:val="11"/>
                <w:szCs w:val="11"/>
                <w:b w:val="1"/>
                <w:bCs w:val="1"/>
                <w:color w:val="auto"/>
              </w:rPr>
              <w:t>As of December 31, 2010:</w:t>
            </w:r>
          </w:p>
        </w:tc>
        <w:tc>
          <w:tcPr>
            <w:tcW w:w="1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24"/>
        </w:trPr>
        <w:tc>
          <w:tcPr>
            <w:tcW w:w="5100" w:type="dxa"/>
            <w:vAlign w:val="bottom"/>
            <w:gridSpan w:val="3"/>
          </w:tcPr>
          <w:p>
            <w:pPr>
              <w:spacing w:after="0" w:line="124" w:lineRule="exact"/>
              <w:rPr>
                <w:sz w:val="20"/>
                <w:szCs w:val="20"/>
                <w:color w:val="auto"/>
              </w:rPr>
            </w:pPr>
            <w:r>
              <w:rPr>
                <w:rFonts w:ascii="Arial" w:cs="Arial" w:eastAsia="Arial" w:hAnsi="Arial"/>
                <w:sz w:val="11"/>
                <w:szCs w:val="11"/>
                <w:color w:val="auto"/>
              </w:rPr>
              <w:t>Debt securities</w:t>
            </w:r>
          </w:p>
        </w:tc>
        <w:tc>
          <w:tcPr>
            <w:tcW w:w="1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24"/>
        </w:trPr>
        <w:tc>
          <w:tcPr>
            <w:tcW w:w="20" w:type="dxa"/>
            <w:vAlign w:val="bottom"/>
          </w:tcPr>
          <w:p>
            <w:pPr>
              <w:spacing w:after="0"/>
              <w:rPr>
                <w:sz w:val="10"/>
                <w:szCs w:val="10"/>
                <w:color w:val="auto"/>
              </w:rPr>
            </w:pPr>
          </w:p>
        </w:tc>
        <w:tc>
          <w:tcPr>
            <w:tcW w:w="5080" w:type="dxa"/>
            <w:vAlign w:val="bottom"/>
            <w:gridSpan w:val="2"/>
          </w:tcPr>
          <w:p>
            <w:pPr>
              <w:ind w:left="100"/>
              <w:spacing w:after="0" w:line="124" w:lineRule="exact"/>
              <w:rPr>
                <w:sz w:val="20"/>
                <w:szCs w:val="20"/>
                <w:color w:val="auto"/>
              </w:rPr>
            </w:pPr>
            <w:r>
              <w:rPr>
                <w:rFonts w:ascii="Arial" w:cs="Arial" w:eastAsia="Arial" w:hAnsi="Arial"/>
                <w:sz w:val="11"/>
                <w:szCs w:val="11"/>
                <w:color w:val="auto"/>
              </w:rPr>
              <w:t>Debt securities issued by the U.S. Treasury and other</w:t>
            </w:r>
          </w:p>
        </w:tc>
        <w:tc>
          <w:tcPr>
            <w:tcW w:w="1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24"/>
        </w:trPr>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40" w:type="dxa"/>
            <w:vAlign w:val="bottom"/>
          </w:tcPr>
          <w:p>
            <w:pPr>
              <w:ind w:left="20"/>
              <w:spacing w:after="0" w:line="124" w:lineRule="exact"/>
              <w:rPr>
                <w:sz w:val="20"/>
                <w:szCs w:val="20"/>
                <w:color w:val="auto"/>
              </w:rPr>
            </w:pPr>
            <w:r>
              <w:rPr>
                <w:rFonts w:ascii="Arial" w:cs="Arial" w:eastAsia="Arial" w:hAnsi="Arial"/>
                <w:sz w:val="11"/>
                <w:szCs w:val="11"/>
                <w:color w:val="auto"/>
              </w:rPr>
              <w:t>U.S. government corporations and agencies</w:t>
            </w:r>
          </w:p>
        </w:tc>
        <w:tc>
          <w:tcPr>
            <w:tcW w:w="1220" w:type="dxa"/>
            <w:vAlign w:val="bottom"/>
          </w:tcPr>
          <w:p>
            <w:pPr>
              <w:jc w:val="right"/>
              <w:ind w:right="745"/>
              <w:spacing w:after="0" w:line="124" w:lineRule="exact"/>
              <w:rPr>
                <w:sz w:val="20"/>
                <w:szCs w:val="20"/>
                <w:color w:val="auto"/>
              </w:rPr>
            </w:pPr>
            <w:r>
              <w:rPr>
                <w:rFonts w:ascii="Arial" w:cs="Arial" w:eastAsia="Arial" w:hAnsi="Arial"/>
                <w:sz w:val="11"/>
                <w:szCs w:val="11"/>
                <w:color w:val="auto"/>
              </w:rPr>
              <w:t>$</w:t>
            </w:r>
          </w:p>
        </w:tc>
        <w:tc>
          <w:tcPr>
            <w:tcW w:w="500" w:type="dxa"/>
            <w:vAlign w:val="bottom"/>
          </w:tcPr>
          <w:p>
            <w:pPr>
              <w:jc w:val="right"/>
              <w:ind w:right="145"/>
              <w:spacing w:after="0" w:line="124" w:lineRule="exact"/>
              <w:rPr>
                <w:sz w:val="20"/>
                <w:szCs w:val="20"/>
                <w:color w:val="auto"/>
              </w:rPr>
            </w:pPr>
            <w:r>
              <w:rPr>
                <w:rFonts w:ascii="Arial" w:cs="Arial" w:eastAsia="Arial" w:hAnsi="Arial"/>
                <w:sz w:val="11"/>
                <w:szCs w:val="11"/>
                <w:color w:val="auto"/>
              </w:rPr>
              <w:t>162</w:t>
            </w:r>
          </w:p>
        </w:tc>
        <w:tc>
          <w:tcPr>
            <w:tcW w:w="400" w:type="dxa"/>
            <w:vAlign w:val="bottom"/>
          </w:tcPr>
          <w:p>
            <w:pPr>
              <w:jc w:val="right"/>
              <w:ind w:right="85"/>
              <w:spacing w:after="0" w:line="124" w:lineRule="exact"/>
              <w:rPr>
                <w:sz w:val="20"/>
                <w:szCs w:val="20"/>
                <w:color w:val="auto"/>
              </w:rPr>
            </w:pPr>
            <w:r>
              <w:rPr>
                <w:rFonts w:ascii="Arial" w:cs="Arial" w:eastAsia="Arial" w:hAnsi="Arial"/>
                <w:sz w:val="11"/>
                <w:szCs w:val="11"/>
                <w:color w:val="auto"/>
              </w:rPr>
              <w:t>$</w:t>
            </w:r>
          </w:p>
        </w:tc>
        <w:tc>
          <w:tcPr>
            <w:tcW w:w="1140" w:type="dxa"/>
            <w:vAlign w:val="bottom"/>
          </w:tcPr>
          <w:p>
            <w:pPr>
              <w:jc w:val="right"/>
              <w:ind w:right="145"/>
              <w:spacing w:after="0" w:line="124" w:lineRule="exact"/>
              <w:rPr>
                <w:sz w:val="20"/>
                <w:szCs w:val="20"/>
                <w:color w:val="auto"/>
              </w:rPr>
            </w:pPr>
            <w:r>
              <w:rPr>
                <w:rFonts w:ascii="Arial" w:cs="Arial" w:eastAsia="Arial" w:hAnsi="Arial"/>
                <w:sz w:val="11"/>
                <w:szCs w:val="11"/>
                <w:color w:val="auto"/>
              </w:rPr>
              <w:t>14</w:t>
            </w:r>
          </w:p>
        </w:tc>
        <w:tc>
          <w:tcPr>
            <w:tcW w:w="420" w:type="dxa"/>
            <w:vAlign w:val="bottom"/>
          </w:tcPr>
          <w:p>
            <w:pPr>
              <w:jc w:val="right"/>
              <w:ind w:right="105"/>
              <w:spacing w:after="0" w:line="124" w:lineRule="exact"/>
              <w:rPr>
                <w:sz w:val="20"/>
                <w:szCs w:val="20"/>
                <w:color w:val="auto"/>
              </w:rPr>
            </w:pPr>
            <w:r>
              <w:rPr>
                <w:rFonts w:ascii="Arial" w:cs="Arial" w:eastAsia="Arial" w:hAnsi="Arial"/>
                <w:sz w:val="11"/>
                <w:szCs w:val="11"/>
                <w:color w:val="auto"/>
              </w:rPr>
              <w:t>$</w:t>
            </w:r>
          </w:p>
        </w:tc>
        <w:tc>
          <w:tcPr>
            <w:tcW w:w="1160" w:type="dxa"/>
            <w:vAlign w:val="bottom"/>
          </w:tcPr>
          <w:p>
            <w:pPr>
              <w:ind w:left="840"/>
              <w:spacing w:after="0" w:line="124" w:lineRule="exact"/>
              <w:rPr>
                <w:sz w:val="20"/>
                <w:szCs w:val="20"/>
                <w:color w:val="auto"/>
              </w:rPr>
            </w:pPr>
            <w:r>
              <w:rPr>
                <w:rFonts w:ascii="Arial" w:cs="Arial" w:eastAsia="Arial" w:hAnsi="Arial"/>
                <w:sz w:val="11"/>
                <w:szCs w:val="11"/>
                <w:color w:val="auto"/>
              </w:rPr>
              <w:t>(2)</w:t>
            </w:r>
          </w:p>
        </w:tc>
        <w:tc>
          <w:tcPr>
            <w:tcW w:w="440" w:type="dxa"/>
            <w:vAlign w:val="bottom"/>
          </w:tcPr>
          <w:p>
            <w:pPr>
              <w:jc w:val="right"/>
              <w:ind w:right="145"/>
              <w:spacing w:after="0" w:line="124" w:lineRule="exact"/>
              <w:rPr>
                <w:sz w:val="20"/>
                <w:szCs w:val="20"/>
                <w:color w:val="auto"/>
              </w:rPr>
            </w:pPr>
            <w:r>
              <w:rPr>
                <w:rFonts w:ascii="Arial" w:cs="Arial" w:eastAsia="Arial" w:hAnsi="Arial"/>
                <w:sz w:val="11"/>
                <w:szCs w:val="11"/>
                <w:color w:val="auto"/>
              </w:rPr>
              <w:t>$</w:t>
            </w:r>
          </w:p>
        </w:tc>
        <w:tc>
          <w:tcPr>
            <w:tcW w:w="1080" w:type="dxa"/>
            <w:vAlign w:val="bottom"/>
          </w:tcPr>
          <w:p>
            <w:pPr>
              <w:jc w:val="right"/>
              <w:spacing w:after="0" w:line="124" w:lineRule="exact"/>
              <w:rPr>
                <w:sz w:val="20"/>
                <w:szCs w:val="20"/>
                <w:color w:val="auto"/>
              </w:rPr>
            </w:pPr>
            <w:r>
              <w:rPr>
                <w:rFonts w:ascii="Arial" w:cs="Arial" w:eastAsia="Arial" w:hAnsi="Arial"/>
                <w:sz w:val="11"/>
                <w:szCs w:val="11"/>
                <w:color w:val="auto"/>
              </w:rPr>
              <w:t>174</w:t>
            </w:r>
          </w:p>
        </w:tc>
      </w:tr>
      <w:tr>
        <w:trPr>
          <w:trHeight w:val="124"/>
        </w:trPr>
        <w:tc>
          <w:tcPr>
            <w:tcW w:w="20" w:type="dxa"/>
            <w:vAlign w:val="bottom"/>
          </w:tcPr>
          <w:p>
            <w:pPr>
              <w:spacing w:after="0"/>
              <w:rPr>
                <w:sz w:val="10"/>
                <w:szCs w:val="10"/>
                <w:color w:val="auto"/>
              </w:rPr>
            </w:pPr>
          </w:p>
        </w:tc>
        <w:tc>
          <w:tcPr>
            <w:tcW w:w="5080" w:type="dxa"/>
            <w:vAlign w:val="bottom"/>
            <w:gridSpan w:val="2"/>
          </w:tcPr>
          <w:p>
            <w:pPr>
              <w:ind w:left="100"/>
              <w:spacing w:after="0" w:line="124" w:lineRule="exact"/>
              <w:rPr>
                <w:sz w:val="20"/>
                <w:szCs w:val="20"/>
                <w:color w:val="auto"/>
              </w:rPr>
            </w:pPr>
            <w:r>
              <w:rPr>
                <w:rFonts w:ascii="Arial" w:cs="Arial" w:eastAsia="Arial" w:hAnsi="Arial"/>
                <w:sz w:val="11"/>
                <w:szCs w:val="11"/>
                <w:color w:val="auto"/>
              </w:rPr>
              <w:t>Municipal bonds</w:t>
            </w:r>
          </w:p>
        </w:tc>
        <w:tc>
          <w:tcPr>
            <w:tcW w:w="1220" w:type="dxa"/>
            <w:vAlign w:val="bottom"/>
          </w:tcPr>
          <w:p>
            <w:pPr>
              <w:spacing w:after="0"/>
              <w:rPr>
                <w:sz w:val="10"/>
                <w:szCs w:val="10"/>
                <w:color w:val="auto"/>
              </w:rPr>
            </w:pPr>
          </w:p>
        </w:tc>
        <w:tc>
          <w:tcPr>
            <w:tcW w:w="500" w:type="dxa"/>
            <w:vAlign w:val="bottom"/>
          </w:tcPr>
          <w:p>
            <w:pPr>
              <w:jc w:val="right"/>
              <w:ind w:right="145"/>
              <w:spacing w:after="0" w:line="124" w:lineRule="exact"/>
              <w:rPr>
                <w:sz w:val="20"/>
                <w:szCs w:val="20"/>
                <w:color w:val="auto"/>
              </w:rPr>
            </w:pPr>
            <w:r>
              <w:rPr>
                <w:rFonts w:ascii="Arial" w:cs="Arial" w:eastAsia="Arial" w:hAnsi="Arial"/>
                <w:sz w:val="11"/>
                <w:szCs w:val="11"/>
                <w:color w:val="auto"/>
              </w:rPr>
              <w:t>101</w:t>
            </w:r>
          </w:p>
        </w:tc>
        <w:tc>
          <w:tcPr>
            <w:tcW w:w="400" w:type="dxa"/>
            <w:vAlign w:val="bottom"/>
          </w:tcPr>
          <w:p>
            <w:pPr>
              <w:spacing w:after="0"/>
              <w:rPr>
                <w:sz w:val="10"/>
                <w:szCs w:val="10"/>
                <w:color w:val="auto"/>
              </w:rPr>
            </w:pPr>
          </w:p>
        </w:tc>
        <w:tc>
          <w:tcPr>
            <w:tcW w:w="1140" w:type="dxa"/>
            <w:vAlign w:val="bottom"/>
          </w:tcPr>
          <w:p>
            <w:pPr>
              <w:jc w:val="right"/>
              <w:ind w:right="145"/>
              <w:spacing w:after="0" w:line="124" w:lineRule="exact"/>
              <w:rPr>
                <w:sz w:val="20"/>
                <w:szCs w:val="20"/>
                <w:color w:val="auto"/>
              </w:rPr>
            </w:pPr>
            <w:r>
              <w:rPr>
                <w:rFonts w:ascii="Arial" w:cs="Arial" w:eastAsia="Arial" w:hAnsi="Arial"/>
                <w:sz w:val="11"/>
                <w:szCs w:val="11"/>
                <w:color w:val="auto"/>
              </w:rPr>
              <w:t>2</w:t>
            </w:r>
          </w:p>
        </w:tc>
        <w:tc>
          <w:tcPr>
            <w:tcW w:w="420" w:type="dxa"/>
            <w:vAlign w:val="bottom"/>
          </w:tcPr>
          <w:p>
            <w:pPr>
              <w:spacing w:after="0"/>
              <w:rPr>
                <w:sz w:val="10"/>
                <w:szCs w:val="10"/>
                <w:color w:val="auto"/>
              </w:rPr>
            </w:pPr>
          </w:p>
        </w:tc>
        <w:tc>
          <w:tcPr>
            <w:tcW w:w="1160" w:type="dxa"/>
            <w:vAlign w:val="bottom"/>
          </w:tcPr>
          <w:p>
            <w:pPr>
              <w:ind w:left="840"/>
              <w:spacing w:after="0" w:line="124" w:lineRule="exact"/>
              <w:rPr>
                <w:sz w:val="20"/>
                <w:szCs w:val="20"/>
                <w:color w:val="auto"/>
              </w:rPr>
            </w:pPr>
            <w:r>
              <w:rPr>
                <w:rFonts w:ascii="Arial" w:cs="Arial" w:eastAsia="Arial" w:hAnsi="Arial"/>
                <w:sz w:val="11"/>
                <w:szCs w:val="11"/>
                <w:color w:val="auto"/>
              </w:rPr>
              <w:t>(3)</w:t>
            </w:r>
          </w:p>
        </w:tc>
        <w:tc>
          <w:tcPr>
            <w:tcW w:w="44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Arial" w:cs="Arial" w:eastAsia="Arial" w:hAnsi="Arial"/>
                <w:sz w:val="11"/>
                <w:szCs w:val="11"/>
                <w:color w:val="auto"/>
              </w:rPr>
              <w:t>100</w:t>
            </w:r>
          </w:p>
        </w:tc>
      </w:tr>
      <w:tr>
        <w:trPr>
          <w:trHeight w:val="121"/>
        </w:trPr>
        <w:tc>
          <w:tcPr>
            <w:tcW w:w="20" w:type="dxa"/>
            <w:vAlign w:val="bottom"/>
          </w:tcPr>
          <w:p>
            <w:pPr>
              <w:spacing w:after="0"/>
              <w:rPr>
                <w:sz w:val="10"/>
                <w:szCs w:val="10"/>
                <w:color w:val="auto"/>
              </w:rPr>
            </w:pPr>
          </w:p>
        </w:tc>
        <w:tc>
          <w:tcPr>
            <w:tcW w:w="5080" w:type="dxa"/>
            <w:vAlign w:val="bottom"/>
            <w:gridSpan w:val="2"/>
          </w:tcPr>
          <w:p>
            <w:pPr>
              <w:ind w:left="100"/>
              <w:spacing w:after="0" w:line="101" w:lineRule="exact"/>
              <w:rPr>
                <w:sz w:val="20"/>
                <w:szCs w:val="20"/>
                <w:color w:val="auto"/>
              </w:rPr>
            </w:pPr>
            <w:r>
              <w:rPr>
                <w:rFonts w:ascii="Arial" w:cs="Arial" w:eastAsia="Arial" w:hAnsi="Arial"/>
                <w:sz w:val="11"/>
                <w:szCs w:val="11"/>
                <w:color w:val="auto"/>
              </w:rPr>
              <w:t>Other securities</w:t>
            </w:r>
          </w:p>
        </w:tc>
        <w:tc>
          <w:tcPr>
            <w:tcW w:w="12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45"/>
              <w:spacing w:after="0" w:line="101" w:lineRule="exact"/>
              <w:rPr>
                <w:sz w:val="20"/>
                <w:szCs w:val="20"/>
                <w:color w:val="auto"/>
              </w:rPr>
            </w:pPr>
            <w:r>
              <w:rPr>
                <w:rFonts w:ascii="Arial" w:cs="Arial" w:eastAsia="Arial" w:hAnsi="Arial"/>
                <w:sz w:val="11"/>
                <w:szCs w:val="11"/>
                <w:color w:val="auto"/>
              </w:rPr>
              <w:t>22</w:t>
            </w:r>
          </w:p>
        </w:tc>
        <w:tc>
          <w:tcPr>
            <w:tcW w:w="4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145"/>
              <w:spacing w:after="0" w:line="101" w:lineRule="exact"/>
              <w:rPr>
                <w:sz w:val="20"/>
                <w:szCs w:val="20"/>
                <w:color w:val="auto"/>
              </w:rPr>
            </w:pPr>
            <w:r>
              <w:rPr>
                <w:rFonts w:ascii="Arial" w:cs="Arial" w:eastAsia="Arial" w:hAnsi="Arial"/>
                <w:sz w:val="11"/>
                <w:szCs w:val="11"/>
                <w:color w:val="auto"/>
              </w:rPr>
              <w:t>3</w:t>
            </w:r>
          </w:p>
        </w:tc>
        <w:tc>
          <w:tcPr>
            <w:tcW w:w="4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ind w:left="840"/>
              <w:spacing w:after="0" w:line="101" w:lineRule="exact"/>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color w:val="auto"/>
              </w:rPr>
              <w:t>25</w:t>
            </w:r>
          </w:p>
        </w:tc>
      </w:tr>
      <w:tr>
        <w:trPr>
          <w:trHeight w:val="128"/>
        </w:trPr>
        <w:tc>
          <w:tcPr>
            <w:tcW w:w="5100" w:type="dxa"/>
            <w:vAlign w:val="bottom"/>
            <w:gridSpan w:val="3"/>
          </w:tcPr>
          <w:p>
            <w:pPr>
              <w:spacing w:after="0"/>
              <w:rPr>
                <w:sz w:val="20"/>
                <w:szCs w:val="20"/>
                <w:color w:val="auto"/>
              </w:rPr>
            </w:pPr>
            <w:r>
              <w:rPr>
                <w:rFonts w:ascii="Arial" w:cs="Arial" w:eastAsia="Arial" w:hAnsi="Arial"/>
                <w:sz w:val="11"/>
                <w:szCs w:val="11"/>
                <w:color w:val="auto"/>
              </w:rPr>
              <w:t>Total debt securities</w:t>
            </w:r>
          </w:p>
        </w:tc>
        <w:tc>
          <w:tcPr>
            <w:tcW w:w="1220" w:type="dxa"/>
            <w:vAlign w:val="bottom"/>
          </w:tcPr>
          <w:p>
            <w:pPr>
              <w:spacing w:after="0"/>
              <w:rPr>
                <w:sz w:val="11"/>
                <w:szCs w:val="11"/>
                <w:color w:val="auto"/>
              </w:rPr>
            </w:pPr>
          </w:p>
        </w:tc>
        <w:tc>
          <w:tcPr>
            <w:tcW w:w="500" w:type="dxa"/>
            <w:vAlign w:val="bottom"/>
          </w:tcPr>
          <w:p>
            <w:pPr>
              <w:jc w:val="right"/>
              <w:ind w:right="145"/>
              <w:spacing w:after="0"/>
              <w:rPr>
                <w:sz w:val="20"/>
                <w:szCs w:val="20"/>
                <w:color w:val="auto"/>
              </w:rPr>
            </w:pPr>
            <w:r>
              <w:rPr>
                <w:rFonts w:ascii="Arial" w:cs="Arial" w:eastAsia="Arial" w:hAnsi="Arial"/>
                <w:sz w:val="11"/>
                <w:szCs w:val="11"/>
                <w:color w:val="auto"/>
              </w:rPr>
              <w:t>285</w:t>
            </w:r>
          </w:p>
        </w:tc>
        <w:tc>
          <w:tcPr>
            <w:tcW w:w="400" w:type="dxa"/>
            <w:vAlign w:val="bottom"/>
          </w:tcPr>
          <w:p>
            <w:pPr>
              <w:spacing w:after="0"/>
              <w:rPr>
                <w:sz w:val="11"/>
                <w:szCs w:val="11"/>
                <w:color w:val="auto"/>
              </w:rPr>
            </w:pPr>
          </w:p>
        </w:tc>
        <w:tc>
          <w:tcPr>
            <w:tcW w:w="1140" w:type="dxa"/>
            <w:vAlign w:val="bottom"/>
          </w:tcPr>
          <w:p>
            <w:pPr>
              <w:jc w:val="right"/>
              <w:ind w:right="145"/>
              <w:spacing w:after="0"/>
              <w:rPr>
                <w:sz w:val="20"/>
                <w:szCs w:val="20"/>
                <w:color w:val="auto"/>
              </w:rPr>
            </w:pPr>
            <w:r>
              <w:rPr>
                <w:rFonts w:ascii="Arial" w:cs="Arial" w:eastAsia="Arial" w:hAnsi="Arial"/>
                <w:sz w:val="11"/>
                <w:szCs w:val="11"/>
                <w:color w:val="auto"/>
              </w:rPr>
              <w:t>19</w:t>
            </w:r>
          </w:p>
        </w:tc>
        <w:tc>
          <w:tcPr>
            <w:tcW w:w="420" w:type="dxa"/>
            <w:vAlign w:val="bottom"/>
          </w:tcPr>
          <w:p>
            <w:pPr>
              <w:spacing w:after="0"/>
              <w:rPr>
                <w:sz w:val="11"/>
                <w:szCs w:val="11"/>
                <w:color w:val="auto"/>
              </w:rPr>
            </w:pPr>
          </w:p>
        </w:tc>
        <w:tc>
          <w:tcPr>
            <w:tcW w:w="1160" w:type="dxa"/>
            <w:vAlign w:val="bottom"/>
          </w:tcPr>
          <w:p>
            <w:pPr>
              <w:ind w:left="840"/>
              <w:spacing w:after="0"/>
              <w:rPr>
                <w:sz w:val="20"/>
                <w:szCs w:val="20"/>
                <w:color w:val="auto"/>
              </w:rPr>
            </w:pPr>
            <w:r>
              <w:rPr>
                <w:rFonts w:ascii="Arial" w:cs="Arial" w:eastAsia="Arial" w:hAnsi="Arial"/>
                <w:sz w:val="11"/>
                <w:szCs w:val="11"/>
                <w:color w:val="auto"/>
              </w:rPr>
              <w:t>(5)</w:t>
            </w:r>
          </w:p>
        </w:tc>
        <w:tc>
          <w:tcPr>
            <w:tcW w:w="4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299</w:t>
            </w:r>
          </w:p>
        </w:tc>
      </w:tr>
      <w:tr>
        <w:trPr>
          <w:trHeight w:val="124"/>
        </w:trPr>
        <w:tc>
          <w:tcPr>
            <w:tcW w:w="5100" w:type="dxa"/>
            <w:vAlign w:val="bottom"/>
            <w:gridSpan w:val="3"/>
          </w:tcPr>
          <w:p>
            <w:pPr>
              <w:spacing w:after="0" w:line="124" w:lineRule="exact"/>
              <w:rPr>
                <w:sz w:val="20"/>
                <w:szCs w:val="20"/>
                <w:color w:val="auto"/>
              </w:rPr>
            </w:pPr>
            <w:r>
              <w:rPr>
                <w:rFonts w:ascii="Arial" w:cs="Arial" w:eastAsia="Arial" w:hAnsi="Arial"/>
                <w:sz w:val="11"/>
                <w:szCs w:val="11"/>
                <w:color w:val="auto"/>
              </w:rPr>
              <w:t>Equity securities</w:t>
            </w:r>
          </w:p>
        </w:tc>
        <w:tc>
          <w:tcPr>
            <w:tcW w:w="1220" w:type="dxa"/>
            <w:vAlign w:val="bottom"/>
          </w:tcPr>
          <w:p>
            <w:pPr>
              <w:spacing w:after="0"/>
              <w:rPr>
                <w:sz w:val="10"/>
                <w:szCs w:val="10"/>
                <w:color w:val="auto"/>
              </w:rPr>
            </w:pPr>
          </w:p>
        </w:tc>
        <w:tc>
          <w:tcPr>
            <w:tcW w:w="500" w:type="dxa"/>
            <w:vAlign w:val="bottom"/>
          </w:tcPr>
          <w:p>
            <w:pPr>
              <w:jc w:val="right"/>
              <w:ind w:right="145"/>
              <w:spacing w:after="0" w:line="124" w:lineRule="exact"/>
              <w:rPr>
                <w:sz w:val="20"/>
                <w:szCs w:val="20"/>
                <w:color w:val="auto"/>
              </w:rPr>
            </w:pPr>
            <w:r>
              <w:rPr>
                <w:rFonts w:ascii="Arial" w:cs="Arial" w:eastAsia="Arial" w:hAnsi="Arial"/>
                <w:sz w:val="11"/>
                <w:szCs w:val="11"/>
                <w:color w:val="auto"/>
              </w:rPr>
              <w:t>219</w:t>
            </w:r>
          </w:p>
        </w:tc>
        <w:tc>
          <w:tcPr>
            <w:tcW w:w="400" w:type="dxa"/>
            <w:vAlign w:val="bottom"/>
          </w:tcPr>
          <w:p>
            <w:pPr>
              <w:spacing w:after="0"/>
              <w:rPr>
                <w:sz w:val="10"/>
                <w:szCs w:val="10"/>
                <w:color w:val="auto"/>
              </w:rPr>
            </w:pPr>
          </w:p>
        </w:tc>
        <w:tc>
          <w:tcPr>
            <w:tcW w:w="1140" w:type="dxa"/>
            <w:vAlign w:val="bottom"/>
          </w:tcPr>
          <w:p>
            <w:pPr>
              <w:jc w:val="right"/>
              <w:ind w:right="145"/>
              <w:spacing w:after="0" w:line="124" w:lineRule="exact"/>
              <w:rPr>
                <w:sz w:val="20"/>
                <w:szCs w:val="20"/>
                <w:color w:val="auto"/>
              </w:rPr>
            </w:pPr>
            <w:r>
              <w:rPr>
                <w:rFonts w:ascii="Arial" w:cs="Arial" w:eastAsia="Arial" w:hAnsi="Arial"/>
                <w:sz w:val="11"/>
                <w:szCs w:val="11"/>
                <w:color w:val="auto"/>
              </w:rPr>
              <w:t>242</w:t>
            </w:r>
          </w:p>
        </w:tc>
        <w:tc>
          <w:tcPr>
            <w:tcW w:w="420" w:type="dxa"/>
            <w:vAlign w:val="bottom"/>
          </w:tcPr>
          <w:p>
            <w:pPr>
              <w:spacing w:after="0"/>
              <w:rPr>
                <w:sz w:val="10"/>
                <w:szCs w:val="10"/>
                <w:color w:val="auto"/>
              </w:rPr>
            </w:pPr>
          </w:p>
        </w:tc>
        <w:tc>
          <w:tcPr>
            <w:tcW w:w="1160" w:type="dxa"/>
            <w:vAlign w:val="bottom"/>
          </w:tcPr>
          <w:p>
            <w:pPr>
              <w:ind w:left="840"/>
              <w:spacing w:after="0" w:line="124" w:lineRule="exact"/>
              <w:rPr>
                <w:sz w:val="20"/>
                <w:szCs w:val="20"/>
                <w:color w:val="auto"/>
              </w:rPr>
            </w:pPr>
            <w:r>
              <w:rPr>
                <w:rFonts w:ascii="Arial" w:cs="Arial" w:eastAsia="Arial" w:hAnsi="Arial"/>
                <w:sz w:val="11"/>
                <w:szCs w:val="11"/>
                <w:color w:val="auto"/>
              </w:rPr>
              <w:t>(1)</w:t>
            </w:r>
          </w:p>
        </w:tc>
        <w:tc>
          <w:tcPr>
            <w:tcW w:w="44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Arial" w:cs="Arial" w:eastAsia="Arial" w:hAnsi="Arial"/>
                <w:sz w:val="11"/>
                <w:szCs w:val="11"/>
                <w:color w:val="auto"/>
              </w:rPr>
              <w:t>460</w:t>
            </w:r>
          </w:p>
        </w:tc>
      </w:tr>
      <w:tr>
        <w:trPr>
          <w:trHeight w:val="121"/>
        </w:trPr>
        <w:tc>
          <w:tcPr>
            <w:tcW w:w="5100" w:type="dxa"/>
            <w:vAlign w:val="bottom"/>
            <w:gridSpan w:val="3"/>
          </w:tcPr>
          <w:p>
            <w:pPr>
              <w:spacing w:after="0" w:line="101" w:lineRule="exact"/>
              <w:rPr>
                <w:sz w:val="20"/>
                <w:szCs w:val="20"/>
                <w:color w:val="auto"/>
              </w:rPr>
            </w:pPr>
            <w:r>
              <w:rPr>
                <w:rFonts w:ascii="Arial" w:cs="Arial" w:eastAsia="Arial" w:hAnsi="Arial"/>
                <w:sz w:val="11"/>
                <w:szCs w:val="11"/>
                <w:color w:val="auto"/>
              </w:rPr>
              <w:t>Cash and cash equivalents</w:t>
            </w:r>
          </w:p>
        </w:tc>
        <w:tc>
          <w:tcPr>
            <w:tcW w:w="12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45"/>
              <w:spacing w:after="0" w:line="101" w:lineRule="exact"/>
              <w:rPr>
                <w:sz w:val="20"/>
                <w:szCs w:val="20"/>
                <w:color w:val="auto"/>
              </w:rPr>
            </w:pPr>
            <w:r>
              <w:rPr>
                <w:rFonts w:ascii="Arial" w:cs="Arial" w:eastAsia="Arial" w:hAnsi="Arial"/>
                <w:sz w:val="11"/>
                <w:szCs w:val="11"/>
                <w:color w:val="auto"/>
              </w:rPr>
              <w:t>10</w:t>
            </w:r>
          </w:p>
        </w:tc>
        <w:tc>
          <w:tcPr>
            <w:tcW w:w="4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145"/>
              <w:spacing w:after="0" w:line="101" w:lineRule="exact"/>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ind w:left="840"/>
              <w:spacing w:after="0" w:line="101" w:lineRule="exact"/>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color w:val="auto"/>
              </w:rPr>
              <w:t>10</w:t>
            </w:r>
          </w:p>
        </w:tc>
      </w:tr>
      <w:tr>
        <w:trPr>
          <w:trHeight w:val="125"/>
        </w:trPr>
        <w:tc>
          <w:tcPr>
            <w:tcW w:w="260" w:type="dxa"/>
            <w:vAlign w:val="bottom"/>
            <w:tcBorders>
              <w:bottom w:val="single" w:sz="8" w:color="auto"/>
            </w:tcBorders>
            <w:gridSpan w:val="2"/>
          </w:tcPr>
          <w:p>
            <w:pPr>
              <w:spacing w:after="0" w:line="124" w:lineRule="exact"/>
              <w:rPr>
                <w:sz w:val="20"/>
                <w:szCs w:val="20"/>
                <w:color w:val="auto"/>
              </w:rPr>
            </w:pPr>
            <w:r>
              <w:rPr>
                <w:rFonts w:ascii="Arial" w:cs="Arial" w:eastAsia="Arial" w:hAnsi="Arial"/>
                <w:sz w:val="11"/>
                <w:szCs w:val="11"/>
                <w:color w:val="auto"/>
                <w:w w:val="97"/>
              </w:rPr>
              <w:t>Total</w:t>
            </w:r>
          </w:p>
        </w:tc>
        <w:tc>
          <w:tcPr>
            <w:tcW w:w="48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745"/>
              <w:spacing w:after="0" w:line="124" w:lineRule="exact"/>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tcPr>
          <w:p>
            <w:pPr>
              <w:jc w:val="right"/>
              <w:ind w:right="145"/>
              <w:spacing w:after="0" w:line="124" w:lineRule="exact"/>
              <w:rPr>
                <w:sz w:val="20"/>
                <w:szCs w:val="20"/>
                <w:color w:val="auto"/>
              </w:rPr>
            </w:pPr>
            <w:r>
              <w:rPr>
                <w:rFonts w:ascii="Arial" w:cs="Arial" w:eastAsia="Arial" w:hAnsi="Arial"/>
                <w:sz w:val="11"/>
                <w:szCs w:val="11"/>
                <w:color w:val="auto"/>
              </w:rPr>
              <w:t>514</w:t>
            </w:r>
          </w:p>
        </w:tc>
        <w:tc>
          <w:tcPr>
            <w:tcW w:w="400" w:type="dxa"/>
            <w:vAlign w:val="bottom"/>
            <w:tcBorders>
              <w:bottom w:val="single" w:sz="8" w:color="auto"/>
            </w:tcBorders>
          </w:tcPr>
          <w:p>
            <w:pPr>
              <w:jc w:val="right"/>
              <w:ind w:right="85"/>
              <w:spacing w:after="0" w:line="124" w:lineRule="exact"/>
              <w:rPr>
                <w:sz w:val="20"/>
                <w:szCs w:val="20"/>
                <w:color w:val="auto"/>
              </w:rPr>
            </w:pPr>
            <w:r>
              <w:rPr>
                <w:rFonts w:ascii="Arial" w:cs="Arial" w:eastAsia="Arial" w:hAnsi="Arial"/>
                <w:sz w:val="11"/>
                <w:szCs w:val="11"/>
                <w:color w:val="auto"/>
              </w:rPr>
              <w:t>$</w:t>
            </w:r>
          </w:p>
        </w:tc>
        <w:tc>
          <w:tcPr>
            <w:tcW w:w="1140" w:type="dxa"/>
            <w:vAlign w:val="bottom"/>
            <w:tcBorders>
              <w:bottom w:val="single" w:sz="8" w:color="auto"/>
            </w:tcBorders>
          </w:tcPr>
          <w:p>
            <w:pPr>
              <w:jc w:val="right"/>
              <w:ind w:right="145"/>
              <w:spacing w:after="0" w:line="124" w:lineRule="exact"/>
              <w:rPr>
                <w:sz w:val="20"/>
                <w:szCs w:val="20"/>
                <w:color w:val="auto"/>
              </w:rPr>
            </w:pPr>
            <w:r>
              <w:rPr>
                <w:rFonts w:ascii="Arial" w:cs="Arial" w:eastAsia="Arial" w:hAnsi="Arial"/>
                <w:sz w:val="11"/>
                <w:szCs w:val="11"/>
                <w:color w:val="auto"/>
              </w:rPr>
              <w:t>261</w:t>
            </w:r>
          </w:p>
        </w:tc>
        <w:tc>
          <w:tcPr>
            <w:tcW w:w="420" w:type="dxa"/>
            <w:vAlign w:val="bottom"/>
            <w:tcBorders>
              <w:bottom w:val="single" w:sz="8" w:color="auto"/>
            </w:tcBorders>
          </w:tcPr>
          <w:p>
            <w:pPr>
              <w:jc w:val="right"/>
              <w:ind w:right="105"/>
              <w:spacing w:after="0" w:line="124" w:lineRule="exact"/>
              <w:rPr>
                <w:sz w:val="20"/>
                <w:szCs w:val="20"/>
                <w:color w:val="auto"/>
              </w:rPr>
            </w:pPr>
            <w:r>
              <w:rPr>
                <w:rFonts w:ascii="Arial" w:cs="Arial" w:eastAsia="Arial" w:hAnsi="Arial"/>
                <w:sz w:val="11"/>
                <w:szCs w:val="11"/>
                <w:color w:val="auto"/>
              </w:rPr>
              <w:t>$</w:t>
            </w:r>
          </w:p>
        </w:tc>
        <w:tc>
          <w:tcPr>
            <w:tcW w:w="1160" w:type="dxa"/>
            <w:vAlign w:val="bottom"/>
            <w:tcBorders>
              <w:bottom w:val="single" w:sz="8" w:color="auto"/>
            </w:tcBorders>
          </w:tcPr>
          <w:p>
            <w:pPr>
              <w:ind w:left="840"/>
              <w:spacing w:after="0" w:line="124" w:lineRule="exact"/>
              <w:rPr>
                <w:sz w:val="20"/>
                <w:szCs w:val="20"/>
                <w:color w:val="auto"/>
              </w:rPr>
            </w:pPr>
            <w:r>
              <w:rPr>
                <w:rFonts w:ascii="Arial" w:cs="Arial" w:eastAsia="Arial" w:hAnsi="Arial"/>
                <w:sz w:val="11"/>
                <w:szCs w:val="11"/>
                <w:color w:val="auto"/>
              </w:rPr>
              <w:t>(6)</w:t>
            </w:r>
          </w:p>
        </w:tc>
        <w:tc>
          <w:tcPr>
            <w:tcW w:w="440" w:type="dxa"/>
            <w:vAlign w:val="bottom"/>
            <w:tcBorders>
              <w:bottom w:val="single" w:sz="8" w:color="auto"/>
            </w:tcBorders>
          </w:tcPr>
          <w:p>
            <w:pPr>
              <w:jc w:val="right"/>
              <w:ind w:right="145"/>
              <w:spacing w:after="0" w:line="124" w:lineRule="exact"/>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769</w:t>
            </w:r>
          </w:p>
        </w:tc>
      </w:tr>
      <w:tr>
        <w:trPr>
          <w:trHeight w:val="116"/>
        </w:trPr>
        <w:tc>
          <w:tcPr>
            <w:tcW w:w="260" w:type="dxa"/>
            <w:vAlign w:val="bottom"/>
            <w:gridSpan w:val="2"/>
          </w:tcPr>
          <w:p>
            <w:pPr>
              <w:spacing w:after="0" w:line="116" w:lineRule="exact"/>
              <w:rPr>
                <w:sz w:val="20"/>
                <w:szCs w:val="20"/>
                <w:color w:val="auto"/>
              </w:rPr>
            </w:pPr>
            <w:r>
              <w:rPr>
                <w:rFonts w:ascii="Arial" w:cs="Arial" w:eastAsia="Arial" w:hAnsi="Arial"/>
                <w:sz w:val="11"/>
                <w:szCs w:val="11"/>
                <w:i w:val="1"/>
                <w:iCs w:val="1"/>
                <w:color w:val="auto"/>
              </w:rPr>
              <w:t>(1)</w:t>
            </w:r>
          </w:p>
        </w:tc>
        <w:tc>
          <w:tcPr>
            <w:tcW w:w="4840" w:type="dxa"/>
            <w:vAlign w:val="bottom"/>
          </w:tcPr>
          <w:p>
            <w:pPr>
              <w:ind w:left="300"/>
              <w:spacing w:after="0" w:line="116" w:lineRule="exact"/>
              <w:rPr>
                <w:sz w:val="20"/>
                <w:szCs w:val="20"/>
                <w:color w:val="auto"/>
              </w:rPr>
            </w:pPr>
            <w:r>
              <w:rPr>
                <w:rFonts w:ascii="Arial" w:cs="Arial" w:eastAsia="Arial" w:hAnsi="Arial"/>
                <w:sz w:val="11"/>
                <w:szCs w:val="11"/>
                <w:i w:val="1"/>
                <w:iCs w:val="1"/>
                <w:color w:val="auto"/>
              </w:rPr>
              <w:t>Maturity dates are 2011-2040.</w:t>
            </w:r>
          </w:p>
        </w:tc>
        <w:tc>
          <w:tcPr>
            <w:tcW w:w="1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24"/>
        </w:trPr>
        <w:tc>
          <w:tcPr>
            <w:tcW w:w="260" w:type="dxa"/>
            <w:vAlign w:val="bottom"/>
            <w:gridSpan w:val="2"/>
          </w:tcPr>
          <w:p>
            <w:pPr>
              <w:spacing w:after="0" w:line="124" w:lineRule="exact"/>
              <w:rPr>
                <w:sz w:val="20"/>
                <w:szCs w:val="20"/>
                <w:color w:val="auto"/>
              </w:rPr>
            </w:pPr>
            <w:r>
              <w:rPr>
                <w:rFonts w:ascii="Arial" w:cs="Arial" w:eastAsia="Arial" w:hAnsi="Arial"/>
                <w:sz w:val="11"/>
                <w:szCs w:val="11"/>
                <w:i w:val="1"/>
                <w:iCs w:val="1"/>
                <w:color w:val="auto"/>
              </w:rPr>
              <w:t>(2)</w:t>
            </w:r>
          </w:p>
        </w:tc>
        <w:tc>
          <w:tcPr>
            <w:tcW w:w="4840" w:type="dxa"/>
            <w:vAlign w:val="bottom"/>
          </w:tcPr>
          <w:p>
            <w:pPr>
              <w:ind w:left="300"/>
              <w:spacing w:after="0" w:line="124" w:lineRule="exact"/>
              <w:rPr>
                <w:sz w:val="20"/>
                <w:szCs w:val="20"/>
                <w:color w:val="auto"/>
              </w:rPr>
            </w:pPr>
            <w:r>
              <w:rPr>
                <w:rFonts w:ascii="Arial" w:cs="Arial" w:eastAsia="Arial" w:hAnsi="Arial"/>
                <w:sz w:val="11"/>
                <w:szCs w:val="11"/>
                <w:i w:val="1"/>
                <w:iCs w:val="1"/>
                <w:color w:val="auto"/>
              </w:rPr>
              <w:t>Maturity dates are 2013-2057.</w:t>
            </w:r>
          </w:p>
        </w:tc>
        <w:tc>
          <w:tcPr>
            <w:tcW w:w="1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44"/>
        </w:trPr>
        <w:tc>
          <w:tcPr>
            <w:tcW w:w="260" w:type="dxa"/>
            <w:vAlign w:val="bottom"/>
            <w:gridSpan w:val="2"/>
          </w:tcPr>
          <w:p>
            <w:pPr>
              <w:spacing w:after="0"/>
              <w:rPr>
                <w:sz w:val="20"/>
                <w:szCs w:val="20"/>
                <w:color w:val="auto"/>
              </w:rPr>
            </w:pPr>
            <w:r>
              <w:rPr>
                <w:rFonts w:ascii="Arial" w:cs="Arial" w:eastAsia="Arial" w:hAnsi="Arial"/>
                <w:sz w:val="11"/>
                <w:szCs w:val="11"/>
                <w:i w:val="1"/>
                <w:iCs w:val="1"/>
                <w:color w:val="auto"/>
              </w:rPr>
              <w:t>(3)</w:t>
            </w:r>
          </w:p>
        </w:tc>
        <w:tc>
          <w:tcPr>
            <w:tcW w:w="4840" w:type="dxa"/>
            <w:vAlign w:val="bottom"/>
          </w:tcPr>
          <w:p>
            <w:pPr>
              <w:ind w:left="300"/>
              <w:spacing w:after="0"/>
              <w:rPr>
                <w:sz w:val="20"/>
                <w:szCs w:val="20"/>
                <w:color w:val="auto"/>
              </w:rPr>
            </w:pPr>
            <w:r>
              <w:rPr>
                <w:rFonts w:ascii="Arial" w:cs="Arial" w:eastAsia="Arial" w:hAnsi="Arial"/>
                <w:sz w:val="11"/>
                <w:szCs w:val="11"/>
                <w:i w:val="1"/>
                <w:iCs w:val="1"/>
                <w:color w:val="auto"/>
              </w:rPr>
              <w:t>Maturity dates are 2011-2049.</w:t>
            </w:r>
          </w:p>
        </w:tc>
        <w:tc>
          <w:tcPr>
            <w:tcW w:w="1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the proceeds from sales of securities in the trusts and gross realized gains and losses on those sales:</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680" w:type="dxa"/>
            <w:vAlign w:val="bottom"/>
            <w:gridSpan w:val="2"/>
          </w:tcPr>
          <w:p>
            <w:pPr>
              <w:spacing w:after="0"/>
              <w:rPr>
                <w:sz w:val="20"/>
                <w:szCs w:val="20"/>
                <w:color w:val="auto"/>
              </w:rPr>
            </w:pPr>
            <w:r>
              <w:rPr>
                <w:rFonts w:ascii="Arial" w:cs="Arial" w:eastAsia="Arial" w:hAnsi="Arial"/>
                <w:sz w:val="11"/>
                <w:szCs w:val="11"/>
                <w:i w:val="1"/>
                <w:iCs w:val="1"/>
                <w:color w:val="auto"/>
              </w:rPr>
              <w:t>(Dollars in millions)</w:t>
            </w:r>
          </w:p>
        </w:tc>
        <w:tc>
          <w:tcPr>
            <w:tcW w:w="35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940" w:type="dxa"/>
            <w:vAlign w:val="bottom"/>
          </w:tcPr>
          <w:p>
            <w:pPr>
              <w:jc w:val="right"/>
              <w:spacing w:after="0"/>
              <w:rPr>
                <w:sz w:val="20"/>
                <w:szCs w:val="20"/>
                <w:color w:val="auto"/>
              </w:rPr>
            </w:pPr>
            <w:r>
              <w:rPr>
                <w:rFonts w:ascii="Arial" w:cs="Arial" w:eastAsia="Arial" w:hAnsi="Arial"/>
                <w:sz w:val="11"/>
                <w:szCs w:val="11"/>
                <w:color w:val="auto"/>
              </w:rPr>
              <w:t>Three months ended March 31,</w:t>
            </w:r>
          </w:p>
        </w:tc>
        <w:tc>
          <w:tcPr>
            <w:tcW w:w="320" w:type="dxa"/>
            <w:vAlign w:val="bottom"/>
          </w:tcPr>
          <w:p>
            <w:pPr>
              <w:spacing w:after="0"/>
              <w:rPr>
                <w:sz w:val="11"/>
                <w:szCs w:val="11"/>
                <w:color w:val="auto"/>
              </w:rPr>
            </w:pPr>
          </w:p>
        </w:tc>
        <w:tc>
          <w:tcPr>
            <w:tcW w:w="2000" w:type="dxa"/>
            <w:vAlign w:val="bottom"/>
          </w:tcPr>
          <w:p>
            <w:pPr>
              <w:spacing w:after="0"/>
              <w:rPr>
                <w:sz w:val="11"/>
                <w:szCs w:val="11"/>
                <w:color w:val="auto"/>
              </w:rPr>
            </w:pPr>
          </w:p>
        </w:tc>
      </w:tr>
      <w:tr>
        <w:trPr>
          <w:trHeight w:val="124"/>
        </w:trPr>
        <w:tc>
          <w:tcPr>
            <w:tcW w:w="20" w:type="dxa"/>
            <w:vAlign w:val="bottom"/>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tcPr>
          <w:p>
            <w:pPr>
              <w:jc w:val="right"/>
              <w:ind w:right="301"/>
              <w:spacing w:after="0" w:line="123" w:lineRule="exact"/>
              <w:rPr>
                <w:sz w:val="20"/>
                <w:szCs w:val="20"/>
                <w:color w:val="auto"/>
              </w:rPr>
            </w:pPr>
            <w:r>
              <w:rPr>
                <w:rFonts w:ascii="Arial" w:cs="Arial" w:eastAsia="Arial" w:hAnsi="Arial"/>
                <w:sz w:val="11"/>
                <w:szCs w:val="11"/>
                <w:color w:val="auto"/>
              </w:rPr>
              <w:t>2011</w:t>
            </w:r>
          </w:p>
        </w:tc>
        <w:tc>
          <w:tcPr>
            <w:tcW w:w="19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jc w:val="right"/>
              <w:ind w:right="1460"/>
              <w:spacing w:after="0" w:line="123" w:lineRule="exact"/>
              <w:rPr>
                <w:sz w:val="20"/>
                <w:szCs w:val="20"/>
                <w:color w:val="auto"/>
              </w:rPr>
            </w:pPr>
            <w:r>
              <w:rPr>
                <w:rFonts w:ascii="Arial" w:cs="Arial" w:eastAsia="Arial" w:hAnsi="Arial"/>
                <w:sz w:val="11"/>
                <w:szCs w:val="11"/>
                <w:color w:val="auto"/>
              </w:rPr>
              <w:t>2010</w:t>
            </w:r>
          </w:p>
        </w:tc>
      </w:tr>
      <w:tr>
        <w:trPr>
          <w:trHeight w:val="125"/>
        </w:trPr>
        <w:tc>
          <w:tcPr>
            <w:tcW w:w="20" w:type="dxa"/>
            <w:vAlign w:val="bottom"/>
          </w:tcPr>
          <w:p>
            <w:pPr>
              <w:spacing w:after="0"/>
              <w:rPr>
                <w:sz w:val="10"/>
                <w:szCs w:val="10"/>
                <w:color w:val="auto"/>
              </w:rPr>
            </w:pPr>
          </w:p>
        </w:tc>
        <w:tc>
          <w:tcPr>
            <w:tcW w:w="3660" w:type="dxa"/>
            <w:vAlign w:val="bottom"/>
          </w:tcPr>
          <w:p>
            <w:pPr>
              <w:spacing w:after="0" w:line="126" w:lineRule="exact"/>
              <w:rPr>
                <w:sz w:val="20"/>
                <w:szCs w:val="20"/>
                <w:color w:val="auto"/>
              </w:rPr>
            </w:pPr>
            <w:r>
              <w:rPr>
                <w:rFonts w:ascii="Arial" w:cs="Arial" w:eastAsia="Arial" w:hAnsi="Arial"/>
                <w:sz w:val="12"/>
                <w:szCs w:val="12"/>
                <w:color w:val="auto"/>
              </w:rPr>
              <w:t>Proceeds from sales</w:t>
            </w:r>
          </w:p>
        </w:tc>
        <w:tc>
          <w:tcPr>
            <w:tcW w:w="3520" w:type="dxa"/>
            <w:vAlign w:val="bottom"/>
          </w:tcPr>
          <w:p>
            <w:pPr>
              <w:jc w:val="right"/>
              <w:ind w:right="921"/>
              <w:spacing w:after="0" w:line="126" w:lineRule="exact"/>
              <w:rPr>
                <w:sz w:val="20"/>
                <w:szCs w:val="20"/>
                <w:color w:val="auto"/>
              </w:rPr>
            </w:pPr>
            <w:r>
              <w:rPr>
                <w:rFonts w:ascii="Arial" w:cs="Arial" w:eastAsia="Arial" w:hAnsi="Arial"/>
                <w:sz w:val="12"/>
                <w:szCs w:val="12"/>
                <w:color w:val="auto"/>
              </w:rPr>
              <w:t>$</w:t>
            </w:r>
          </w:p>
        </w:tc>
        <w:tc>
          <w:tcPr>
            <w:tcW w:w="1940" w:type="dxa"/>
            <w:vAlign w:val="bottom"/>
          </w:tcPr>
          <w:p>
            <w:pPr>
              <w:jc w:val="right"/>
              <w:ind w:right="900"/>
              <w:spacing w:after="0" w:line="126" w:lineRule="exact"/>
              <w:rPr>
                <w:sz w:val="20"/>
                <w:szCs w:val="20"/>
                <w:color w:val="auto"/>
              </w:rPr>
            </w:pPr>
            <w:r>
              <w:rPr>
                <w:rFonts w:ascii="Arial" w:cs="Arial" w:eastAsia="Arial" w:hAnsi="Arial"/>
                <w:sz w:val="12"/>
                <w:szCs w:val="12"/>
                <w:color w:val="auto"/>
              </w:rPr>
              <w:t>42</w:t>
            </w:r>
          </w:p>
        </w:tc>
        <w:tc>
          <w:tcPr>
            <w:tcW w:w="320" w:type="dxa"/>
            <w:vAlign w:val="bottom"/>
          </w:tcPr>
          <w:p>
            <w:pPr>
              <w:jc w:val="right"/>
              <w:ind w:right="178"/>
              <w:spacing w:after="0" w:line="126" w:lineRule="exact"/>
              <w:rPr>
                <w:sz w:val="20"/>
                <w:szCs w:val="20"/>
                <w:color w:val="auto"/>
              </w:rPr>
            </w:pPr>
            <w:r>
              <w:rPr>
                <w:rFonts w:ascii="Arial" w:cs="Arial" w:eastAsia="Arial" w:hAnsi="Arial"/>
                <w:sz w:val="12"/>
                <w:szCs w:val="12"/>
                <w:color w:val="auto"/>
                <w:w w:val="89"/>
              </w:rPr>
              <w:t>$</w:t>
            </w:r>
          </w:p>
        </w:tc>
        <w:tc>
          <w:tcPr>
            <w:tcW w:w="2000" w:type="dxa"/>
            <w:vAlign w:val="bottom"/>
          </w:tcPr>
          <w:p>
            <w:pPr>
              <w:jc w:val="right"/>
              <w:spacing w:after="0" w:line="126" w:lineRule="exact"/>
              <w:rPr>
                <w:sz w:val="20"/>
                <w:szCs w:val="20"/>
                <w:color w:val="auto"/>
              </w:rPr>
            </w:pPr>
            <w:r>
              <w:rPr>
                <w:rFonts w:ascii="Arial" w:cs="Arial" w:eastAsia="Arial" w:hAnsi="Arial"/>
                <w:sz w:val="12"/>
                <w:szCs w:val="12"/>
                <w:color w:val="auto"/>
              </w:rPr>
              <w:t>40</w:t>
            </w:r>
          </w:p>
        </w:tc>
      </w:tr>
      <w:tr>
        <w:trPr>
          <w:trHeight w:val="134"/>
        </w:trPr>
        <w:tc>
          <w:tcPr>
            <w:tcW w:w="3680" w:type="dxa"/>
            <w:vAlign w:val="bottom"/>
            <w:gridSpan w:val="2"/>
          </w:tcPr>
          <w:p>
            <w:pPr>
              <w:spacing w:after="0" w:line="134" w:lineRule="exact"/>
              <w:rPr>
                <w:sz w:val="20"/>
                <w:szCs w:val="20"/>
                <w:color w:val="auto"/>
              </w:rPr>
            </w:pPr>
            <w:r>
              <w:rPr>
                <w:rFonts w:ascii="Arial" w:cs="Arial" w:eastAsia="Arial" w:hAnsi="Arial"/>
                <w:sz w:val="12"/>
                <w:szCs w:val="12"/>
                <w:color w:val="auto"/>
              </w:rPr>
              <w:t>Gross realized gains</w:t>
            </w:r>
          </w:p>
        </w:tc>
        <w:tc>
          <w:tcPr>
            <w:tcW w:w="3520" w:type="dxa"/>
            <w:vAlign w:val="bottom"/>
          </w:tcPr>
          <w:p>
            <w:pPr>
              <w:spacing w:after="0"/>
              <w:rPr>
                <w:sz w:val="11"/>
                <w:szCs w:val="11"/>
                <w:color w:val="auto"/>
              </w:rPr>
            </w:pPr>
          </w:p>
        </w:tc>
        <w:tc>
          <w:tcPr>
            <w:tcW w:w="1940" w:type="dxa"/>
            <w:vAlign w:val="bottom"/>
          </w:tcPr>
          <w:p>
            <w:pPr>
              <w:jc w:val="right"/>
              <w:ind w:right="900"/>
              <w:spacing w:after="0" w:line="134" w:lineRule="exact"/>
              <w:rPr>
                <w:sz w:val="20"/>
                <w:szCs w:val="20"/>
                <w:color w:val="auto"/>
              </w:rPr>
            </w:pPr>
            <w:r>
              <w:rPr>
                <w:rFonts w:ascii="Arial" w:cs="Arial" w:eastAsia="Arial" w:hAnsi="Arial"/>
                <w:sz w:val="12"/>
                <w:szCs w:val="12"/>
                <w:color w:val="auto"/>
              </w:rPr>
              <w:t>1</w:t>
            </w:r>
          </w:p>
        </w:tc>
        <w:tc>
          <w:tcPr>
            <w:tcW w:w="320" w:type="dxa"/>
            <w:vAlign w:val="bottom"/>
          </w:tcPr>
          <w:p>
            <w:pPr>
              <w:spacing w:after="0"/>
              <w:rPr>
                <w:sz w:val="11"/>
                <w:szCs w:val="11"/>
                <w:color w:val="auto"/>
              </w:rPr>
            </w:pPr>
          </w:p>
        </w:tc>
        <w:tc>
          <w:tcPr>
            <w:tcW w:w="200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r>
      <w:tr>
        <w:trPr>
          <w:trHeight w:val="144"/>
        </w:trPr>
        <w:tc>
          <w:tcPr>
            <w:tcW w:w="36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Gross realized losses</w:t>
            </w:r>
          </w:p>
        </w:tc>
        <w:tc>
          <w:tcPr>
            <w:tcW w:w="352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ind w:right="860"/>
              <w:spacing w:after="0"/>
              <w:rPr>
                <w:sz w:val="20"/>
                <w:szCs w:val="20"/>
                <w:color w:val="auto"/>
              </w:rPr>
            </w:pPr>
            <w:r>
              <w:rPr>
                <w:rFonts w:ascii="Arial" w:cs="Arial" w:eastAsia="Arial" w:hAnsi="Arial"/>
                <w:sz w:val="12"/>
                <w:szCs w:val="12"/>
                <w:color w:val="auto"/>
              </w:rPr>
              <w:t>(1)</w:t>
            </w:r>
          </w:p>
        </w:tc>
        <w:tc>
          <w:tcPr>
            <w:tcW w:w="3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r>
    </w:tbl>
    <w:p>
      <w:pPr>
        <w:spacing w:after="0" w:line="175"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color w:val="auto"/>
        </w:rPr>
        <w:t>Net unrealized gains (losses) are included in Regulatory Liabilities Arising from Removal Obligations on the Condensed Consolidated Balance Sheets. We determine the cost of securities in the trusts on the basis of specific identification.</w:t>
      </w: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Derivative Positions Net of Cash Collateral</w:t>
      </w:r>
    </w:p>
    <w:p>
      <w:pPr>
        <w:spacing w:after="0" w:line="160"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Each Condensed Consolidated Balance Sheet reflects the offsetting of net derivative positions with fair value amounts for cash collateral with the same counterparty when management believes a legal right of offset exists.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the amount of fair value of cash collateral receivables that were not offset in the Condensed Consolidated Balance Sheets as of March 31, 2011 and December 31, 2010:</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620" w:type="dxa"/>
            <w:vAlign w:val="bottom"/>
            <w:vMerge w:val="restart"/>
          </w:tcPr>
          <w:p>
            <w:pPr>
              <w:spacing w:after="0"/>
              <w:rPr>
                <w:sz w:val="20"/>
                <w:szCs w:val="20"/>
                <w:color w:val="auto"/>
              </w:rPr>
            </w:pPr>
            <w:r>
              <w:rPr>
                <w:rFonts w:ascii="Arial" w:cs="Arial" w:eastAsia="Arial" w:hAnsi="Arial"/>
                <w:sz w:val="11"/>
                <w:szCs w:val="11"/>
                <w:i w:val="1"/>
                <w:iCs w:val="1"/>
                <w:color w:val="auto"/>
              </w:rPr>
              <w:t>(Dollars in millions)</w:t>
            </w:r>
          </w:p>
        </w:tc>
        <w:tc>
          <w:tcPr>
            <w:tcW w:w="4200" w:type="dxa"/>
            <w:vAlign w:val="bottom"/>
          </w:tcPr>
          <w:p>
            <w:pPr>
              <w:jc w:val="center"/>
              <w:ind w:left="3003"/>
              <w:spacing w:after="0"/>
              <w:rPr>
                <w:sz w:val="20"/>
                <w:szCs w:val="20"/>
                <w:color w:val="auto"/>
              </w:rPr>
            </w:pPr>
            <w:r>
              <w:rPr>
                <w:rFonts w:ascii="Arial" w:cs="Arial" w:eastAsia="Arial" w:hAnsi="Arial"/>
                <w:sz w:val="11"/>
                <w:szCs w:val="11"/>
                <w:color w:val="auto"/>
              </w:rPr>
              <w:t>March 31,</w:t>
            </w: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20" w:type="dxa"/>
            <w:vAlign w:val="bottom"/>
          </w:tcPr>
          <w:p>
            <w:pPr>
              <w:jc w:val="right"/>
              <w:ind w:right="661"/>
              <w:spacing w:after="0"/>
              <w:rPr>
                <w:sz w:val="20"/>
                <w:szCs w:val="20"/>
                <w:color w:val="auto"/>
              </w:rPr>
            </w:pPr>
            <w:r>
              <w:rPr>
                <w:rFonts w:ascii="Arial" w:cs="Arial" w:eastAsia="Arial" w:hAnsi="Arial"/>
                <w:sz w:val="11"/>
                <w:szCs w:val="11"/>
                <w:color w:val="auto"/>
              </w:rPr>
              <w:t>December 31,</w:t>
            </w:r>
          </w:p>
        </w:tc>
        <w:tc>
          <w:tcPr>
            <w:tcW w:w="0" w:type="dxa"/>
            <w:vAlign w:val="bottom"/>
          </w:tcPr>
          <w:p>
            <w:pPr>
              <w:spacing w:after="0"/>
              <w:rPr>
                <w:sz w:val="1"/>
                <w:szCs w:val="1"/>
                <w:color w:val="auto"/>
              </w:rPr>
            </w:pPr>
          </w:p>
        </w:tc>
      </w:tr>
      <w:tr>
        <w:trPr>
          <w:trHeight w:val="121"/>
        </w:trPr>
        <w:tc>
          <w:tcPr>
            <w:tcW w:w="4620" w:type="dxa"/>
            <w:vAlign w:val="bottom"/>
            <w:tcBorders>
              <w:bottom w:val="single" w:sz="8" w:color="auto"/>
            </w:tcBorders>
            <w:vMerge w:val="continue"/>
          </w:tcPr>
          <w:p>
            <w:pPr>
              <w:spacing w:after="0"/>
              <w:rPr>
                <w:sz w:val="10"/>
                <w:szCs w:val="10"/>
                <w:color w:val="auto"/>
              </w:rPr>
            </w:pPr>
          </w:p>
        </w:tc>
        <w:tc>
          <w:tcPr>
            <w:tcW w:w="4200" w:type="dxa"/>
            <w:vAlign w:val="bottom"/>
            <w:tcBorders>
              <w:bottom w:val="single" w:sz="8" w:color="auto"/>
            </w:tcBorders>
          </w:tcPr>
          <w:p>
            <w:pPr>
              <w:jc w:val="right"/>
              <w:ind w:right="403"/>
              <w:spacing w:after="0" w:line="121" w:lineRule="exact"/>
              <w:rPr>
                <w:sz w:val="20"/>
                <w:szCs w:val="20"/>
                <w:color w:val="auto"/>
              </w:rPr>
            </w:pPr>
            <w:r>
              <w:rPr>
                <w:rFonts w:ascii="Arial" w:cs="Arial" w:eastAsia="Arial" w:hAnsi="Arial"/>
                <w:sz w:val="11"/>
                <w:szCs w:val="11"/>
                <w:color w:val="auto"/>
              </w:rPr>
              <w:t>2011</w:t>
            </w:r>
          </w:p>
        </w:tc>
        <w:tc>
          <w:tcPr>
            <w:tcW w:w="7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jc w:val="right"/>
              <w:ind w:right="901"/>
              <w:spacing w:after="0" w:line="121" w:lineRule="exact"/>
              <w:rPr>
                <w:sz w:val="20"/>
                <w:szCs w:val="20"/>
                <w:color w:val="auto"/>
              </w:rPr>
            </w:pPr>
            <w:r>
              <w:rPr>
                <w:rFonts w:ascii="Arial" w:cs="Arial" w:eastAsia="Arial" w:hAnsi="Arial"/>
                <w:sz w:val="11"/>
                <w:szCs w:val="11"/>
                <w:color w:val="auto"/>
              </w:rPr>
              <w:t>2010</w:t>
            </w:r>
          </w:p>
        </w:tc>
        <w:tc>
          <w:tcPr>
            <w:tcW w:w="0" w:type="dxa"/>
            <w:vAlign w:val="bottom"/>
          </w:tcPr>
          <w:p>
            <w:pPr>
              <w:spacing w:after="0"/>
              <w:rPr>
                <w:sz w:val="1"/>
                <w:szCs w:val="1"/>
                <w:color w:val="auto"/>
              </w:rPr>
            </w:pPr>
          </w:p>
        </w:tc>
      </w:tr>
      <w:tr>
        <w:trPr>
          <w:trHeight w:val="125"/>
        </w:trPr>
        <w:tc>
          <w:tcPr>
            <w:tcW w:w="4620" w:type="dxa"/>
            <w:vAlign w:val="bottom"/>
          </w:tcPr>
          <w:p>
            <w:pPr>
              <w:spacing w:after="0" w:line="126" w:lineRule="exact"/>
              <w:rPr>
                <w:sz w:val="20"/>
                <w:szCs w:val="20"/>
                <w:color w:val="auto"/>
              </w:rPr>
            </w:pPr>
            <w:r>
              <w:rPr>
                <w:rFonts w:ascii="Arial" w:cs="Arial" w:eastAsia="Arial" w:hAnsi="Arial"/>
                <w:sz w:val="12"/>
                <w:szCs w:val="12"/>
                <w:color w:val="auto"/>
              </w:rPr>
              <w:t>Sempra Energy Consolidated</w:t>
            </w:r>
          </w:p>
        </w:tc>
        <w:tc>
          <w:tcPr>
            <w:tcW w:w="4200" w:type="dxa"/>
            <w:vAlign w:val="bottom"/>
          </w:tcPr>
          <w:p>
            <w:pPr>
              <w:jc w:val="right"/>
              <w:ind w:right="1063"/>
              <w:spacing w:after="0" w:line="126"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198"/>
              <w:spacing w:after="0" w:line="126" w:lineRule="exact"/>
              <w:rPr>
                <w:sz w:val="20"/>
                <w:szCs w:val="20"/>
                <w:color w:val="auto"/>
              </w:rPr>
            </w:pPr>
            <w:r>
              <w:rPr>
                <w:rFonts w:ascii="Arial" w:cs="Arial" w:eastAsia="Arial" w:hAnsi="Arial"/>
                <w:sz w:val="12"/>
                <w:szCs w:val="12"/>
                <w:color w:val="auto"/>
              </w:rPr>
              <w:t>42</w:t>
            </w:r>
          </w:p>
        </w:tc>
        <w:tc>
          <w:tcPr>
            <w:tcW w:w="400" w:type="dxa"/>
            <w:vAlign w:val="bottom"/>
          </w:tcPr>
          <w:p>
            <w:pPr>
              <w:jc w:val="right"/>
              <w:ind w:right="18"/>
              <w:spacing w:after="0" w:line="126" w:lineRule="exact"/>
              <w:rPr>
                <w:sz w:val="20"/>
                <w:szCs w:val="20"/>
                <w:color w:val="auto"/>
              </w:rPr>
            </w:pPr>
            <w:r>
              <w:rPr>
                <w:rFonts w:ascii="Arial" w:cs="Arial" w:eastAsia="Arial" w:hAnsi="Arial"/>
                <w:sz w:val="12"/>
                <w:szCs w:val="12"/>
                <w:color w:val="auto"/>
              </w:rPr>
              <w:t>$</w:t>
            </w:r>
          </w:p>
        </w:tc>
        <w:tc>
          <w:tcPr>
            <w:tcW w:w="1520" w:type="dxa"/>
            <w:vAlign w:val="bottom"/>
          </w:tcPr>
          <w:p>
            <w:pPr>
              <w:jc w:val="right"/>
              <w:spacing w:after="0" w:line="126" w:lineRule="exact"/>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34"/>
        </w:trPr>
        <w:tc>
          <w:tcPr>
            <w:tcW w:w="4620" w:type="dxa"/>
            <w:vAlign w:val="bottom"/>
          </w:tcPr>
          <w:p>
            <w:pPr>
              <w:spacing w:after="0" w:line="134" w:lineRule="exact"/>
              <w:rPr>
                <w:sz w:val="20"/>
                <w:szCs w:val="20"/>
                <w:color w:val="auto"/>
              </w:rPr>
            </w:pPr>
            <w:r>
              <w:rPr>
                <w:rFonts w:ascii="Arial" w:cs="Arial" w:eastAsia="Arial" w:hAnsi="Arial"/>
                <w:sz w:val="12"/>
                <w:szCs w:val="12"/>
                <w:color w:val="auto"/>
              </w:rPr>
              <w:t>SDG&amp;E</w:t>
            </w:r>
          </w:p>
        </w:tc>
        <w:tc>
          <w:tcPr>
            <w:tcW w:w="4200" w:type="dxa"/>
            <w:vAlign w:val="bottom"/>
          </w:tcPr>
          <w:p>
            <w:pPr>
              <w:spacing w:after="0"/>
              <w:rPr>
                <w:sz w:val="11"/>
                <w:szCs w:val="11"/>
                <w:color w:val="auto"/>
              </w:rPr>
            </w:pPr>
          </w:p>
        </w:tc>
        <w:tc>
          <w:tcPr>
            <w:tcW w:w="72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31</w:t>
            </w:r>
          </w:p>
        </w:tc>
        <w:tc>
          <w:tcPr>
            <w:tcW w:w="400" w:type="dxa"/>
            <w:vAlign w:val="bottom"/>
          </w:tcPr>
          <w:p>
            <w:pPr>
              <w:spacing w:after="0"/>
              <w:rPr>
                <w:sz w:val="11"/>
                <w:szCs w:val="11"/>
                <w:color w:val="auto"/>
              </w:rPr>
            </w:pPr>
          </w:p>
        </w:tc>
        <w:tc>
          <w:tcPr>
            <w:tcW w:w="1520" w:type="dxa"/>
            <w:vAlign w:val="bottom"/>
          </w:tcPr>
          <w:p>
            <w:pPr>
              <w:jc w:val="right"/>
              <w:spacing w:after="0" w:line="134" w:lineRule="exact"/>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44"/>
        </w:trPr>
        <w:tc>
          <w:tcPr>
            <w:tcW w:w="46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SoCalGas</w:t>
            </w:r>
          </w:p>
        </w:tc>
        <w:tc>
          <w:tcPr>
            <w:tcW w:w="4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4</w:t>
            </w:r>
          </w:p>
        </w:tc>
        <w:tc>
          <w:tcPr>
            <w:tcW w:w="4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Fair Value Hierarchy</w:t>
      </w:r>
    </w:p>
    <w:p>
      <w:pPr>
        <w:spacing w:after="0" w:line="160" w:lineRule="exact"/>
        <w:rPr>
          <w:sz w:val="20"/>
          <w:szCs w:val="20"/>
          <w:color w:val="auto"/>
        </w:rPr>
      </w:pPr>
    </w:p>
    <w:p>
      <w:pPr>
        <w:jc w:val="both"/>
        <w:ind w:right="40"/>
        <w:spacing w:after="0" w:line="306" w:lineRule="auto"/>
        <w:rPr>
          <w:sz w:val="20"/>
          <w:szCs w:val="20"/>
          <w:color w:val="auto"/>
        </w:rPr>
      </w:pPr>
      <w:r>
        <w:rPr>
          <w:rFonts w:ascii="Arial" w:cs="Arial" w:eastAsia="Arial" w:hAnsi="Arial"/>
          <w:sz w:val="13"/>
          <w:szCs w:val="13"/>
          <w:color w:val="auto"/>
        </w:rPr>
        <w:t>We discuss the valuation techniques and inputs we use to measure fair value and the definition of the three levels of the fair value hierarchy in Notes 1 and 2 of the Notes to Consolidated Financial Statements in the Annual Report. We have not changed the valuation techniques or inputs we use to measure fair value during the three months ended March 31, 2011.</w:t>
      </w:r>
    </w:p>
    <w:p>
      <w:pPr>
        <w:spacing w:after="0" w:line="115"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color w:val="auto"/>
        </w:rPr>
        <w:t>The three tables below, by level within the fair value hierarchy, set forth our financial assets and liabilities that were accounted for at fair value on a recurring basis as of March 31, 2011 and December 31, 2010. We also discuss our financial assets and liabilities recorded at fair value on a non-recurring basis. We classify financial assets and liabilities in their entirety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commodity derivative assets and liabilities is determined in accordance with our netting policy, as discussed above under "Derivative Positions Net of Cash Collateral."</w:t>
      </w:r>
    </w:p>
    <w:p>
      <w:pPr>
        <w:spacing w:after="0" w:line="170"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The determination of fair values, shown in the tables below, incorporates various factors, including but not limited to, the credit standing of the counterparties involved and the impact of credit enhancements (such as cash deposits, letters of credit and priority interests).</w:t>
      </w:r>
    </w:p>
    <w:p>
      <w:pPr>
        <w:sectPr>
          <w:pgSz w:w="11900" w:h="16905" w:orient="portrait"/>
          <w:cols w:equalWidth="0" w:num="1">
            <w:col w:w="11460"/>
          </w:cols>
          <w:pgMar w:left="220" w:top="282" w:right="219" w:bottom="0" w:gutter="0" w:footer="0" w:header="0"/>
        </w:sectPr>
      </w:pPr>
    </w:p>
    <w:bookmarkStart w:id="35" w:name="page36"/>
    <w:bookmarkEnd w:id="35"/>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We provide detail about our financial assets and liabilities that were accounted for at fair value on a recurring basis in Note 11 of the Notes to Consolidated Financial Statements in the Annual Report.</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RECURRING FAIR VALUE MEASURES -- 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(Dollars in millions)</w:t>
      </w:r>
    </w:p>
    <w:tbl>
      <w:tblPr>
        <w:tblLayout w:type="fixed"/>
        <w:tblInd w:w="0" w:type="dxa"/>
        <w:tblCellMar>
          <w:top w:w="0" w:type="dxa"/>
          <w:left w:w="0" w:type="dxa"/>
          <w:bottom w:w="0" w:type="dxa"/>
          <w:right w:w="0" w:type="dxa"/>
        </w:tblCellMar>
      </w:tblPr>
      <w:tr>
        <w:trPr>
          <w:trHeight w:val="121"/>
        </w:trPr>
        <w:tc>
          <w:tcPr>
            <w:tcW w:w="28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3"/>
          </w:tcPr>
          <w:p>
            <w:pPr>
              <w:jc w:val="right"/>
              <w:spacing w:after="0" w:line="121" w:lineRule="exact"/>
              <w:rPr>
                <w:sz w:val="20"/>
                <w:szCs w:val="20"/>
                <w:color w:val="auto"/>
              </w:rPr>
            </w:pPr>
            <w:r>
              <w:rPr>
                <w:rFonts w:ascii="Arial" w:cs="Arial" w:eastAsia="Arial" w:hAnsi="Arial"/>
                <w:sz w:val="11"/>
                <w:szCs w:val="11"/>
                <w:color w:val="auto"/>
              </w:rPr>
              <w:t>At fair value as of March 31, 2011</w:t>
            </w: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8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ind w:right="265"/>
              <w:spacing w:after="0"/>
              <w:rPr>
                <w:sz w:val="20"/>
                <w:szCs w:val="20"/>
                <w:color w:val="auto"/>
              </w:rPr>
            </w:pPr>
            <w:r>
              <w:rPr>
                <w:rFonts w:ascii="Arial" w:cs="Arial" w:eastAsia="Arial" w:hAnsi="Arial"/>
                <w:sz w:val="11"/>
                <w:szCs w:val="11"/>
                <w:color w:val="auto"/>
                <w:w w:val="98"/>
              </w:rPr>
              <w:t>Collateral</w:t>
            </w: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02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Level 1</w:t>
            </w:r>
          </w:p>
        </w:tc>
        <w:tc>
          <w:tcPr>
            <w:tcW w:w="3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Level 2</w:t>
            </w:r>
          </w:p>
        </w:tc>
        <w:tc>
          <w:tcPr>
            <w:tcW w:w="3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05"/>
              <w:spacing w:after="0" w:line="121" w:lineRule="exact"/>
              <w:rPr>
                <w:sz w:val="20"/>
                <w:szCs w:val="20"/>
                <w:color w:val="auto"/>
              </w:rPr>
            </w:pPr>
            <w:r>
              <w:rPr>
                <w:rFonts w:ascii="Arial" w:cs="Arial" w:eastAsia="Arial" w:hAnsi="Arial"/>
                <w:sz w:val="11"/>
                <w:szCs w:val="11"/>
                <w:color w:val="auto"/>
              </w:rPr>
              <w:t>Level 3</w:t>
            </w: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right="245"/>
              <w:spacing w:after="0" w:line="121" w:lineRule="exact"/>
              <w:rPr>
                <w:sz w:val="20"/>
                <w:szCs w:val="20"/>
                <w:color w:val="auto"/>
              </w:rPr>
            </w:pPr>
            <w:r>
              <w:rPr>
                <w:rFonts w:ascii="Arial" w:cs="Arial" w:eastAsia="Arial" w:hAnsi="Arial"/>
                <w:sz w:val="11"/>
                <w:szCs w:val="11"/>
                <w:color w:val="auto"/>
              </w:rPr>
              <w:t>netted</w:t>
            </w:r>
          </w:p>
        </w:tc>
        <w:tc>
          <w:tcPr>
            <w:tcW w:w="4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65"/>
              <w:spacing w:after="0" w:line="121" w:lineRule="exact"/>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28"/>
        </w:trPr>
        <w:tc>
          <w:tcPr>
            <w:tcW w:w="5040" w:type="dxa"/>
            <w:vAlign w:val="bottom"/>
            <w:gridSpan w:val="2"/>
          </w:tcPr>
          <w:p>
            <w:pPr>
              <w:spacing w:after="0"/>
              <w:rPr>
                <w:sz w:val="20"/>
                <w:szCs w:val="20"/>
                <w:color w:val="auto"/>
              </w:rPr>
            </w:pPr>
            <w:r>
              <w:rPr>
                <w:rFonts w:ascii="Arial" w:cs="Arial" w:eastAsia="Arial" w:hAnsi="Arial"/>
                <w:sz w:val="11"/>
                <w:szCs w:val="11"/>
                <w:color w:val="auto"/>
              </w:rPr>
              <w:t>Assets:</w:t>
            </w: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040" w:type="dxa"/>
            <w:vAlign w:val="bottom"/>
            <w:gridSpan w:val="2"/>
          </w:tcPr>
          <w:p>
            <w:pPr>
              <w:ind w:left="120"/>
              <w:spacing w:after="0"/>
              <w:rPr>
                <w:sz w:val="20"/>
                <w:szCs w:val="20"/>
                <w:color w:val="auto"/>
              </w:rPr>
            </w:pPr>
            <w:r>
              <w:rPr>
                <w:rFonts w:ascii="Arial" w:cs="Arial" w:eastAsia="Arial" w:hAnsi="Arial"/>
                <w:sz w:val="11"/>
                <w:szCs w:val="11"/>
                <w:color w:val="auto"/>
              </w:rPr>
              <w:t>Nuclear decommissioning trusts</w:t>
            </w:r>
          </w:p>
        </w:tc>
        <w:tc>
          <w:tcPr>
            <w:tcW w:w="1020" w:type="dxa"/>
            <w:vAlign w:val="bottom"/>
            <w:vMerge w:val="restart"/>
          </w:tcPr>
          <w:p>
            <w:pPr>
              <w:jc w:val="right"/>
              <w:ind w:right="585"/>
              <w:spacing w:after="0"/>
              <w:rPr>
                <w:sz w:val="20"/>
                <w:szCs w:val="20"/>
                <w:color w:val="auto"/>
              </w:rPr>
            </w:pPr>
            <w:r>
              <w:rPr>
                <w:rFonts w:ascii="Arial" w:cs="Arial" w:eastAsia="Arial" w:hAnsi="Arial"/>
                <w:sz w:val="11"/>
                <w:szCs w:val="11"/>
                <w:color w:val="auto"/>
              </w:rPr>
              <w:t>$</w:t>
            </w:r>
          </w:p>
        </w:tc>
        <w:tc>
          <w:tcPr>
            <w:tcW w:w="380" w:type="dxa"/>
            <w:vAlign w:val="bottom"/>
            <w:vMerge w:val="restart"/>
          </w:tcPr>
          <w:p>
            <w:pPr>
              <w:jc w:val="right"/>
              <w:ind w:right="125"/>
              <w:spacing w:after="0"/>
              <w:rPr>
                <w:sz w:val="20"/>
                <w:szCs w:val="20"/>
                <w:color w:val="auto"/>
              </w:rPr>
            </w:pPr>
            <w:r>
              <w:rPr>
                <w:rFonts w:ascii="Arial" w:cs="Arial" w:eastAsia="Arial" w:hAnsi="Arial"/>
                <w:sz w:val="11"/>
                <w:szCs w:val="11"/>
                <w:color w:val="auto"/>
                <w:w w:val="97"/>
              </w:rPr>
              <w:t>483</w:t>
            </w:r>
          </w:p>
        </w:tc>
        <w:tc>
          <w:tcPr>
            <w:tcW w:w="860" w:type="dxa"/>
            <w:vAlign w:val="bottom"/>
            <w:vMerge w:val="restart"/>
          </w:tcPr>
          <w:p>
            <w:pPr>
              <w:jc w:val="right"/>
              <w:ind w:right="585"/>
              <w:spacing w:after="0"/>
              <w:rPr>
                <w:sz w:val="20"/>
                <w:szCs w:val="20"/>
                <w:color w:val="auto"/>
              </w:rPr>
            </w:pPr>
            <w:r>
              <w:rPr>
                <w:rFonts w:ascii="Arial" w:cs="Arial" w:eastAsia="Arial" w:hAnsi="Arial"/>
                <w:sz w:val="11"/>
                <w:szCs w:val="11"/>
                <w:color w:val="auto"/>
              </w:rPr>
              <w:t>$</w:t>
            </w:r>
          </w:p>
        </w:tc>
        <w:tc>
          <w:tcPr>
            <w:tcW w:w="380" w:type="dxa"/>
            <w:vAlign w:val="bottom"/>
            <w:vMerge w:val="restart"/>
          </w:tcPr>
          <w:p>
            <w:pPr>
              <w:jc w:val="right"/>
              <w:ind w:right="105"/>
              <w:spacing w:after="0"/>
              <w:rPr>
                <w:sz w:val="20"/>
                <w:szCs w:val="20"/>
                <w:color w:val="auto"/>
              </w:rPr>
            </w:pPr>
            <w:r>
              <w:rPr>
                <w:rFonts w:ascii="Arial" w:cs="Arial" w:eastAsia="Arial" w:hAnsi="Arial"/>
                <w:sz w:val="11"/>
                <w:szCs w:val="11"/>
                <w:color w:val="auto"/>
              </w:rPr>
              <w:t>―</w:t>
            </w:r>
          </w:p>
        </w:tc>
        <w:tc>
          <w:tcPr>
            <w:tcW w:w="380" w:type="dxa"/>
            <w:vAlign w:val="bottom"/>
            <w:vMerge w:val="restart"/>
          </w:tcPr>
          <w:p>
            <w:pPr>
              <w:jc w:val="right"/>
              <w:ind w:right="85"/>
              <w:spacing w:after="0"/>
              <w:rPr>
                <w:sz w:val="20"/>
                <w:szCs w:val="20"/>
                <w:color w:val="auto"/>
              </w:rPr>
            </w:pPr>
            <w:r>
              <w:rPr>
                <w:rFonts w:ascii="Arial" w:cs="Arial" w:eastAsia="Arial" w:hAnsi="Arial"/>
                <w:sz w:val="11"/>
                <w:szCs w:val="11"/>
                <w:color w:val="auto"/>
              </w:rPr>
              <w:t>$</w:t>
            </w:r>
          </w:p>
        </w:tc>
        <w:tc>
          <w:tcPr>
            <w:tcW w:w="1040" w:type="dxa"/>
            <w:vAlign w:val="bottom"/>
            <w:vMerge w:val="restart"/>
          </w:tcPr>
          <w:p>
            <w:pPr>
              <w:jc w:val="right"/>
              <w:ind w:right="285"/>
              <w:spacing w:after="0"/>
              <w:rPr>
                <w:sz w:val="20"/>
                <w:szCs w:val="20"/>
                <w:color w:val="auto"/>
              </w:rPr>
            </w:pPr>
            <w:r>
              <w:rPr>
                <w:rFonts w:ascii="Arial" w:cs="Arial" w:eastAsia="Arial" w:hAnsi="Arial"/>
                <w:sz w:val="11"/>
                <w:szCs w:val="11"/>
                <w:color w:val="auto"/>
              </w:rPr>
              <w:t>―</w:t>
            </w:r>
          </w:p>
        </w:tc>
        <w:tc>
          <w:tcPr>
            <w:tcW w:w="220" w:type="dxa"/>
            <w:vAlign w:val="bottom"/>
            <w:vMerge w:val="restart"/>
          </w:tcPr>
          <w:p>
            <w:pPr>
              <w:jc w:val="right"/>
              <w:ind w:right="85"/>
              <w:spacing w:after="0"/>
              <w:rPr>
                <w:sz w:val="20"/>
                <w:szCs w:val="20"/>
                <w:color w:val="auto"/>
              </w:rPr>
            </w:pPr>
            <w:r>
              <w:rPr>
                <w:rFonts w:ascii="Arial" w:cs="Arial" w:eastAsia="Arial" w:hAnsi="Arial"/>
                <w:sz w:val="11"/>
                <w:szCs w:val="11"/>
                <w:color w:val="auto"/>
                <w:w w:val="97"/>
              </w:rPr>
              <w:t>$</w:t>
            </w:r>
          </w:p>
        </w:tc>
        <w:tc>
          <w:tcPr>
            <w:tcW w:w="1020" w:type="dxa"/>
            <w:vAlign w:val="bottom"/>
            <w:vMerge w:val="restart"/>
          </w:tcPr>
          <w:p>
            <w:pPr>
              <w:ind w:left="720"/>
              <w:spacing w:after="0"/>
              <w:rPr>
                <w:sz w:val="20"/>
                <w:szCs w:val="20"/>
                <w:color w:val="auto"/>
              </w:rPr>
            </w:pPr>
            <w:r>
              <w:rPr>
                <w:rFonts w:ascii="Arial" w:cs="Arial" w:eastAsia="Arial" w:hAnsi="Arial"/>
                <w:sz w:val="11"/>
                <w:szCs w:val="11"/>
                <w:color w:val="auto"/>
              </w:rPr>
              <w:t>―</w:t>
            </w:r>
          </w:p>
        </w:tc>
        <w:tc>
          <w:tcPr>
            <w:tcW w:w="400" w:type="dxa"/>
            <w:vAlign w:val="bottom"/>
            <w:vMerge w:val="restart"/>
          </w:tcPr>
          <w:p>
            <w:pPr>
              <w:jc w:val="right"/>
              <w:ind w:right="125"/>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483</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9"/>
                <w:szCs w:val="9"/>
                <w:color w:val="auto"/>
              </w:rPr>
            </w:pPr>
          </w:p>
        </w:tc>
        <w:tc>
          <w:tcPr>
            <w:tcW w:w="4760" w:type="dxa"/>
            <w:vAlign w:val="bottom"/>
          </w:tcPr>
          <w:p>
            <w:pPr>
              <w:ind w:left="20"/>
              <w:spacing w:after="0" w:line="93" w:lineRule="exact"/>
              <w:rPr>
                <w:sz w:val="20"/>
                <w:szCs w:val="20"/>
                <w:color w:val="auto"/>
              </w:rPr>
            </w:pPr>
            <w:r>
              <w:rPr>
                <w:rFonts w:ascii="Arial" w:cs="Arial" w:eastAsia="Arial" w:hAnsi="Arial"/>
                <w:sz w:val="10"/>
                <w:szCs w:val="10"/>
                <w:color w:val="auto"/>
              </w:rPr>
              <w:t>Equity securities</w:t>
            </w:r>
          </w:p>
        </w:tc>
        <w:tc>
          <w:tcPr>
            <w:tcW w:w="1020" w:type="dxa"/>
            <w:vAlign w:val="bottom"/>
            <w:tcBorders>
              <w:bottom w:val="single" w:sz="8" w:color="auto"/>
            </w:tcBorders>
            <w:vMerge w:val="continue"/>
          </w:tcPr>
          <w:p>
            <w:pPr>
              <w:spacing w:after="0"/>
              <w:rPr>
                <w:sz w:val="9"/>
                <w:szCs w:val="9"/>
                <w:color w:val="auto"/>
              </w:rPr>
            </w:pPr>
          </w:p>
        </w:tc>
        <w:tc>
          <w:tcPr>
            <w:tcW w:w="380" w:type="dxa"/>
            <w:vAlign w:val="bottom"/>
            <w:tcBorders>
              <w:bottom w:val="single" w:sz="8" w:color="auto"/>
            </w:tcBorders>
            <w:vMerge w:val="continue"/>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380" w:type="dxa"/>
            <w:vAlign w:val="bottom"/>
            <w:tcBorders>
              <w:bottom w:val="single" w:sz="8" w:color="auto"/>
            </w:tcBorders>
            <w:vMerge w:val="continue"/>
          </w:tcPr>
          <w:p>
            <w:pPr>
              <w:spacing w:after="0"/>
              <w:rPr>
                <w:sz w:val="9"/>
                <w:szCs w:val="9"/>
                <w:color w:val="auto"/>
              </w:rPr>
            </w:pPr>
          </w:p>
        </w:tc>
        <w:tc>
          <w:tcPr>
            <w:tcW w:w="38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22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400" w:type="dxa"/>
            <w:vAlign w:val="bottom"/>
            <w:tcBorders>
              <w:bottom w:val="single" w:sz="8" w:color="auto"/>
            </w:tcBorders>
            <w:vMerge w:val="continue"/>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80" w:type="dxa"/>
            <w:vAlign w:val="bottom"/>
          </w:tcPr>
          <w:p>
            <w:pPr>
              <w:spacing w:after="0"/>
              <w:rPr>
                <w:sz w:val="11"/>
                <w:szCs w:val="11"/>
                <w:color w:val="auto"/>
              </w:rPr>
            </w:pPr>
          </w:p>
        </w:tc>
        <w:tc>
          <w:tcPr>
            <w:tcW w:w="4760" w:type="dxa"/>
            <w:vAlign w:val="bottom"/>
          </w:tcPr>
          <w:p>
            <w:pPr>
              <w:ind w:left="20"/>
              <w:spacing w:after="0"/>
              <w:rPr>
                <w:sz w:val="20"/>
                <w:szCs w:val="20"/>
                <w:color w:val="auto"/>
              </w:rPr>
            </w:pPr>
            <w:r>
              <w:rPr>
                <w:rFonts w:ascii="Arial" w:cs="Arial" w:eastAsia="Arial" w:hAnsi="Arial"/>
                <w:sz w:val="11"/>
                <w:szCs w:val="11"/>
                <w:color w:val="auto"/>
              </w:rPr>
              <w:t>Debt securities:</w:t>
            </w: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4760" w:type="dxa"/>
            <w:vAlign w:val="bottom"/>
          </w:tcPr>
          <w:p>
            <w:pPr>
              <w:ind w:left="160"/>
              <w:spacing w:after="0" w:line="124" w:lineRule="exact"/>
              <w:rPr>
                <w:sz w:val="20"/>
                <w:szCs w:val="20"/>
                <w:color w:val="auto"/>
              </w:rPr>
            </w:pPr>
            <w:r>
              <w:rPr>
                <w:rFonts w:ascii="Arial" w:cs="Arial" w:eastAsia="Arial" w:hAnsi="Arial"/>
                <w:sz w:val="11"/>
                <w:szCs w:val="11"/>
                <w:color w:val="auto"/>
              </w:rPr>
              <w:t>Debt securities issued by the U.S. Treasury and other</w:t>
            </w: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4760" w:type="dxa"/>
            <w:vAlign w:val="bottom"/>
          </w:tcPr>
          <w:p>
            <w:pPr>
              <w:ind w:left="300"/>
              <w:spacing w:after="0" w:line="124" w:lineRule="exact"/>
              <w:rPr>
                <w:sz w:val="20"/>
                <w:szCs w:val="20"/>
                <w:color w:val="auto"/>
              </w:rPr>
            </w:pPr>
            <w:r>
              <w:rPr>
                <w:rFonts w:ascii="Arial" w:cs="Arial" w:eastAsia="Arial" w:hAnsi="Arial"/>
                <w:sz w:val="11"/>
                <w:szCs w:val="11"/>
                <w:color w:val="auto"/>
              </w:rPr>
              <w:t>U.S. government corporations and agencies</w:t>
            </w:r>
          </w:p>
        </w:tc>
        <w:tc>
          <w:tcPr>
            <w:tcW w:w="1020" w:type="dxa"/>
            <w:vAlign w:val="bottom"/>
          </w:tcPr>
          <w:p>
            <w:pPr>
              <w:spacing w:after="0"/>
              <w:rPr>
                <w:sz w:val="10"/>
                <w:szCs w:val="10"/>
                <w:color w:val="auto"/>
              </w:rPr>
            </w:pPr>
          </w:p>
        </w:tc>
        <w:tc>
          <w:tcPr>
            <w:tcW w:w="380" w:type="dxa"/>
            <w:vAlign w:val="bottom"/>
          </w:tcPr>
          <w:p>
            <w:pPr>
              <w:jc w:val="right"/>
              <w:ind w:right="125"/>
              <w:spacing w:after="0" w:line="124" w:lineRule="exact"/>
              <w:rPr>
                <w:sz w:val="20"/>
                <w:szCs w:val="20"/>
                <w:color w:val="auto"/>
              </w:rPr>
            </w:pPr>
            <w:r>
              <w:rPr>
                <w:rFonts w:ascii="Arial" w:cs="Arial" w:eastAsia="Arial" w:hAnsi="Arial"/>
                <w:sz w:val="11"/>
                <w:szCs w:val="11"/>
                <w:color w:val="auto"/>
                <w:w w:val="97"/>
              </w:rPr>
              <w:t>143</w:t>
            </w:r>
          </w:p>
        </w:tc>
        <w:tc>
          <w:tcPr>
            <w:tcW w:w="860" w:type="dxa"/>
            <w:vAlign w:val="bottom"/>
          </w:tcPr>
          <w:p>
            <w:pPr>
              <w:spacing w:after="0"/>
              <w:rPr>
                <w:sz w:val="10"/>
                <w:szCs w:val="10"/>
                <w:color w:val="auto"/>
              </w:rPr>
            </w:pPr>
          </w:p>
        </w:tc>
        <w:tc>
          <w:tcPr>
            <w:tcW w:w="380" w:type="dxa"/>
            <w:vAlign w:val="bottom"/>
          </w:tcPr>
          <w:p>
            <w:pPr>
              <w:jc w:val="right"/>
              <w:ind w:right="105"/>
              <w:spacing w:after="0" w:line="124" w:lineRule="exact"/>
              <w:rPr>
                <w:sz w:val="20"/>
                <w:szCs w:val="20"/>
                <w:color w:val="auto"/>
              </w:rPr>
            </w:pPr>
            <w:r>
              <w:rPr>
                <w:rFonts w:ascii="Arial" w:cs="Arial" w:eastAsia="Arial" w:hAnsi="Arial"/>
                <w:sz w:val="11"/>
                <w:szCs w:val="11"/>
                <w:color w:val="auto"/>
              </w:rPr>
              <w:t>28</w:t>
            </w:r>
          </w:p>
        </w:tc>
        <w:tc>
          <w:tcPr>
            <w:tcW w:w="380" w:type="dxa"/>
            <w:vAlign w:val="bottom"/>
          </w:tcPr>
          <w:p>
            <w:pPr>
              <w:spacing w:after="0"/>
              <w:rPr>
                <w:sz w:val="10"/>
                <w:szCs w:val="10"/>
                <w:color w:val="auto"/>
              </w:rPr>
            </w:pPr>
          </w:p>
        </w:tc>
        <w:tc>
          <w:tcPr>
            <w:tcW w:w="1040" w:type="dxa"/>
            <w:vAlign w:val="bottom"/>
          </w:tcPr>
          <w:p>
            <w:pPr>
              <w:jc w:val="right"/>
              <w:ind w:right="285"/>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020" w:type="dxa"/>
            <w:vAlign w:val="bottom"/>
          </w:tcPr>
          <w:p>
            <w:pPr>
              <w:ind w:left="720"/>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spacing w:after="0"/>
              <w:rPr>
                <w:sz w:val="10"/>
                <w:szCs w:val="10"/>
                <w:color w:val="auto"/>
              </w:rPr>
            </w:pPr>
          </w:p>
        </w:tc>
        <w:tc>
          <w:tcPr>
            <w:tcW w:w="720" w:type="dxa"/>
            <w:vAlign w:val="bottom"/>
          </w:tcPr>
          <w:p>
            <w:pPr>
              <w:jc w:val="right"/>
              <w:spacing w:after="0" w:line="124" w:lineRule="exact"/>
              <w:rPr>
                <w:sz w:val="20"/>
                <w:szCs w:val="20"/>
                <w:color w:val="auto"/>
              </w:rPr>
            </w:pPr>
            <w:r>
              <w:rPr>
                <w:rFonts w:ascii="Arial" w:cs="Arial" w:eastAsia="Arial" w:hAnsi="Arial"/>
                <w:sz w:val="11"/>
                <w:szCs w:val="11"/>
                <w:color w:val="auto"/>
              </w:rPr>
              <w:t>171</w:t>
            </w: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4760" w:type="dxa"/>
            <w:vAlign w:val="bottom"/>
          </w:tcPr>
          <w:p>
            <w:pPr>
              <w:ind w:left="160"/>
              <w:spacing w:after="0" w:line="124" w:lineRule="exact"/>
              <w:rPr>
                <w:sz w:val="20"/>
                <w:szCs w:val="20"/>
                <w:color w:val="auto"/>
              </w:rPr>
            </w:pPr>
            <w:r>
              <w:rPr>
                <w:rFonts w:ascii="Arial" w:cs="Arial" w:eastAsia="Arial" w:hAnsi="Arial"/>
                <w:sz w:val="11"/>
                <w:szCs w:val="11"/>
                <w:color w:val="auto"/>
              </w:rPr>
              <w:t>Municipal bonds</w:t>
            </w:r>
          </w:p>
        </w:tc>
        <w:tc>
          <w:tcPr>
            <w:tcW w:w="1020" w:type="dxa"/>
            <w:vAlign w:val="bottom"/>
          </w:tcPr>
          <w:p>
            <w:pPr>
              <w:spacing w:after="0"/>
              <w:rPr>
                <w:sz w:val="10"/>
                <w:szCs w:val="10"/>
                <w:color w:val="auto"/>
              </w:rPr>
            </w:pPr>
          </w:p>
        </w:tc>
        <w:tc>
          <w:tcPr>
            <w:tcW w:w="38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380" w:type="dxa"/>
            <w:vAlign w:val="bottom"/>
          </w:tcPr>
          <w:p>
            <w:pPr>
              <w:jc w:val="right"/>
              <w:ind w:right="105"/>
              <w:spacing w:after="0" w:line="124" w:lineRule="exact"/>
              <w:rPr>
                <w:sz w:val="20"/>
                <w:szCs w:val="20"/>
                <w:color w:val="auto"/>
              </w:rPr>
            </w:pPr>
            <w:r>
              <w:rPr>
                <w:rFonts w:ascii="Arial" w:cs="Arial" w:eastAsia="Arial" w:hAnsi="Arial"/>
                <w:sz w:val="11"/>
                <w:szCs w:val="11"/>
                <w:color w:val="auto"/>
              </w:rPr>
              <w:t>94</w:t>
            </w:r>
          </w:p>
        </w:tc>
        <w:tc>
          <w:tcPr>
            <w:tcW w:w="380" w:type="dxa"/>
            <w:vAlign w:val="bottom"/>
          </w:tcPr>
          <w:p>
            <w:pPr>
              <w:spacing w:after="0"/>
              <w:rPr>
                <w:sz w:val="10"/>
                <w:szCs w:val="10"/>
                <w:color w:val="auto"/>
              </w:rPr>
            </w:pPr>
          </w:p>
        </w:tc>
        <w:tc>
          <w:tcPr>
            <w:tcW w:w="1040" w:type="dxa"/>
            <w:vAlign w:val="bottom"/>
          </w:tcPr>
          <w:p>
            <w:pPr>
              <w:jc w:val="right"/>
              <w:ind w:right="285"/>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020" w:type="dxa"/>
            <w:vAlign w:val="bottom"/>
          </w:tcPr>
          <w:p>
            <w:pPr>
              <w:ind w:left="720"/>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spacing w:after="0"/>
              <w:rPr>
                <w:sz w:val="10"/>
                <w:szCs w:val="10"/>
                <w:color w:val="auto"/>
              </w:rPr>
            </w:pPr>
          </w:p>
        </w:tc>
        <w:tc>
          <w:tcPr>
            <w:tcW w:w="720" w:type="dxa"/>
            <w:vAlign w:val="bottom"/>
          </w:tcPr>
          <w:p>
            <w:pPr>
              <w:jc w:val="right"/>
              <w:spacing w:after="0" w:line="124" w:lineRule="exact"/>
              <w:rPr>
                <w:sz w:val="20"/>
                <w:szCs w:val="20"/>
                <w:color w:val="auto"/>
              </w:rPr>
            </w:pPr>
            <w:r>
              <w:rPr>
                <w:rFonts w:ascii="Arial" w:cs="Arial" w:eastAsia="Arial" w:hAnsi="Arial"/>
                <w:sz w:val="11"/>
                <w:szCs w:val="11"/>
                <w:color w:val="auto"/>
              </w:rPr>
              <w:t>94</w:t>
            </w: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4760" w:type="dxa"/>
            <w:vAlign w:val="bottom"/>
          </w:tcPr>
          <w:p>
            <w:pPr>
              <w:ind w:left="160"/>
              <w:spacing w:after="0" w:line="101" w:lineRule="exact"/>
              <w:rPr>
                <w:sz w:val="20"/>
                <w:szCs w:val="20"/>
                <w:color w:val="auto"/>
              </w:rPr>
            </w:pPr>
            <w:r>
              <w:rPr>
                <w:rFonts w:ascii="Arial" w:cs="Arial" w:eastAsia="Arial" w:hAnsi="Arial"/>
                <w:sz w:val="11"/>
                <w:szCs w:val="11"/>
                <w:color w:val="auto"/>
              </w:rPr>
              <w:t>Other securities</w:t>
            </w:r>
          </w:p>
        </w:tc>
        <w:tc>
          <w:tcPr>
            <w:tcW w:w="10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25"/>
              <w:spacing w:after="0" w:line="101" w:lineRule="exact"/>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05"/>
              <w:spacing w:after="0" w:line="101" w:lineRule="exact"/>
              <w:rPr>
                <w:sz w:val="20"/>
                <w:szCs w:val="20"/>
                <w:color w:val="auto"/>
              </w:rPr>
            </w:pPr>
            <w:r>
              <w:rPr>
                <w:rFonts w:ascii="Arial" w:cs="Arial" w:eastAsia="Arial" w:hAnsi="Arial"/>
                <w:sz w:val="11"/>
                <w:szCs w:val="11"/>
                <w:color w:val="auto"/>
              </w:rPr>
              <w:t>39</w:t>
            </w:r>
          </w:p>
        </w:tc>
        <w:tc>
          <w:tcPr>
            <w:tcW w:w="3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285"/>
              <w:spacing w:after="0" w:line="101" w:lineRule="exact"/>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ind w:left="720"/>
              <w:spacing w:after="0" w:line="101" w:lineRule="exact"/>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4760" w:type="dxa"/>
            <w:vAlign w:val="bottom"/>
          </w:tcPr>
          <w:p>
            <w:pPr>
              <w:ind w:left="20"/>
              <w:spacing w:after="0" w:line="104" w:lineRule="exact"/>
              <w:rPr>
                <w:sz w:val="20"/>
                <w:szCs w:val="20"/>
                <w:color w:val="auto"/>
              </w:rPr>
            </w:pPr>
            <w:r>
              <w:rPr>
                <w:rFonts w:ascii="Arial" w:cs="Arial" w:eastAsia="Arial" w:hAnsi="Arial"/>
                <w:sz w:val="11"/>
                <w:szCs w:val="11"/>
                <w:color w:val="auto"/>
              </w:rPr>
              <w:t>Total debt securities</w:t>
            </w:r>
          </w:p>
        </w:tc>
        <w:tc>
          <w:tcPr>
            <w:tcW w:w="10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25"/>
              <w:spacing w:after="0" w:line="104" w:lineRule="exact"/>
              <w:rPr>
                <w:sz w:val="20"/>
                <w:szCs w:val="20"/>
                <w:color w:val="auto"/>
              </w:rPr>
            </w:pPr>
            <w:r>
              <w:rPr>
                <w:rFonts w:ascii="Arial" w:cs="Arial" w:eastAsia="Arial" w:hAnsi="Arial"/>
                <w:sz w:val="11"/>
                <w:szCs w:val="11"/>
                <w:color w:val="auto"/>
                <w:w w:val="97"/>
              </w:rPr>
              <w:t>143</w:t>
            </w:r>
          </w:p>
        </w:tc>
        <w:tc>
          <w:tcPr>
            <w:tcW w:w="8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05"/>
              <w:spacing w:after="0" w:line="104" w:lineRule="exact"/>
              <w:rPr>
                <w:sz w:val="20"/>
                <w:szCs w:val="20"/>
                <w:color w:val="auto"/>
              </w:rPr>
            </w:pPr>
            <w:r>
              <w:rPr>
                <w:rFonts w:ascii="Arial" w:cs="Arial" w:eastAsia="Arial" w:hAnsi="Arial"/>
                <w:sz w:val="11"/>
                <w:szCs w:val="11"/>
                <w:color w:val="auto"/>
              </w:rPr>
              <w:t>161</w:t>
            </w:r>
          </w:p>
        </w:tc>
        <w:tc>
          <w:tcPr>
            <w:tcW w:w="3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285"/>
              <w:spacing w:after="0" w:line="104" w:lineRule="exact"/>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ind w:left="720"/>
              <w:spacing w:after="0" w:line="104" w:lineRule="exact"/>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04" w:lineRule="exact"/>
              <w:rPr>
                <w:sz w:val="20"/>
                <w:szCs w:val="20"/>
                <w:color w:val="auto"/>
              </w:rPr>
            </w:pPr>
            <w:r>
              <w:rPr>
                <w:rFonts w:ascii="Arial" w:cs="Arial" w:eastAsia="Arial" w:hAnsi="Arial"/>
                <w:sz w:val="11"/>
                <w:szCs w:val="11"/>
                <w:color w:val="auto"/>
              </w:rPr>
              <w:t>304</w:t>
            </w:r>
          </w:p>
        </w:tc>
        <w:tc>
          <w:tcPr>
            <w:tcW w:w="0" w:type="dxa"/>
            <w:vAlign w:val="bottom"/>
          </w:tcPr>
          <w:p>
            <w:pPr>
              <w:spacing w:after="0"/>
              <w:rPr>
                <w:sz w:val="1"/>
                <w:szCs w:val="1"/>
                <w:color w:val="auto"/>
              </w:rPr>
            </w:pPr>
          </w:p>
        </w:tc>
      </w:tr>
      <w:tr>
        <w:trPr>
          <w:trHeight w:val="125"/>
        </w:trPr>
        <w:tc>
          <w:tcPr>
            <w:tcW w:w="5040" w:type="dxa"/>
            <w:vAlign w:val="bottom"/>
            <w:gridSpan w:val="2"/>
          </w:tcPr>
          <w:p>
            <w:pPr>
              <w:ind w:left="120"/>
              <w:spacing w:after="0" w:line="104" w:lineRule="exact"/>
              <w:rPr>
                <w:sz w:val="20"/>
                <w:szCs w:val="20"/>
                <w:color w:val="auto"/>
              </w:rPr>
            </w:pPr>
            <w:r>
              <w:rPr>
                <w:rFonts w:ascii="Arial" w:cs="Arial" w:eastAsia="Arial" w:hAnsi="Arial"/>
                <w:sz w:val="11"/>
                <w:szCs w:val="11"/>
                <w:color w:val="auto"/>
              </w:rPr>
              <w:t>Total nuclear decommissioning trusts(1)</w:t>
            </w:r>
          </w:p>
        </w:tc>
        <w:tc>
          <w:tcPr>
            <w:tcW w:w="10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25"/>
              <w:spacing w:after="0" w:line="104" w:lineRule="exact"/>
              <w:rPr>
                <w:sz w:val="20"/>
                <w:szCs w:val="20"/>
                <w:color w:val="auto"/>
              </w:rPr>
            </w:pPr>
            <w:r>
              <w:rPr>
                <w:rFonts w:ascii="Arial" w:cs="Arial" w:eastAsia="Arial" w:hAnsi="Arial"/>
                <w:sz w:val="11"/>
                <w:szCs w:val="11"/>
                <w:color w:val="auto"/>
                <w:w w:val="97"/>
              </w:rPr>
              <w:t>626</w:t>
            </w:r>
          </w:p>
        </w:tc>
        <w:tc>
          <w:tcPr>
            <w:tcW w:w="8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05"/>
              <w:spacing w:after="0" w:line="104" w:lineRule="exact"/>
              <w:rPr>
                <w:sz w:val="20"/>
                <w:szCs w:val="20"/>
                <w:color w:val="auto"/>
              </w:rPr>
            </w:pPr>
            <w:r>
              <w:rPr>
                <w:rFonts w:ascii="Arial" w:cs="Arial" w:eastAsia="Arial" w:hAnsi="Arial"/>
                <w:sz w:val="11"/>
                <w:szCs w:val="11"/>
                <w:color w:val="auto"/>
              </w:rPr>
              <w:t>161</w:t>
            </w:r>
          </w:p>
        </w:tc>
        <w:tc>
          <w:tcPr>
            <w:tcW w:w="3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285"/>
              <w:spacing w:after="0" w:line="104" w:lineRule="exact"/>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ind w:left="720"/>
              <w:spacing w:after="0" w:line="104" w:lineRule="exact"/>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04" w:lineRule="exact"/>
              <w:rPr>
                <w:sz w:val="20"/>
                <w:szCs w:val="20"/>
                <w:color w:val="auto"/>
              </w:rPr>
            </w:pPr>
            <w:r>
              <w:rPr>
                <w:rFonts w:ascii="Arial" w:cs="Arial" w:eastAsia="Arial" w:hAnsi="Arial"/>
                <w:sz w:val="11"/>
                <w:szCs w:val="11"/>
                <w:color w:val="auto"/>
              </w:rPr>
              <w:t>787</w:t>
            </w:r>
          </w:p>
        </w:tc>
        <w:tc>
          <w:tcPr>
            <w:tcW w:w="0" w:type="dxa"/>
            <w:vAlign w:val="bottom"/>
          </w:tcPr>
          <w:p>
            <w:pPr>
              <w:spacing w:after="0"/>
              <w:rPr>
                <w:sz w:val="1"/>
                <w:szCs w:val="1"/>
                <w:color w:val="auto"/>
              </w:rPr>
            </w:pPr>
          </w:p>
        </w:tc>
      </w:tr>
      <w:tr>
        <w:trPr>
          <w:trHeight w:val="128"/>
        </w:trPr>
        <w:tc>
          <w:tcPr>
            <w:tcW w:w="5040" w:type="dxa"/>
            <w:vAlign w:val="bottom"/>
            <w:gridSpan w:val="2"/>
          </w:tcPr>
          <w:p>
            <w:pPr>
              <w:ind w:left="120"/>
              <w:spacing w:after="0"/>
              <w:rPr>
                <w:sz w:val="20"/>
                <w:szCs w:val="20"/>
                <w:color w:val="auto"/>
              </w:rPr>
            </w:pPr>
            <w:r>
              <w:rPr>
                <w:rFonts w:ascii="Arial" w:cs="Arial" w:eastAsia="Arial" w:hAnsi="Arial"/>
                <w:sz w:val="11"/>
                <w:szCs w:val="11"/>
                <w:color w:val="auto"/>
              </w:rPr>
              <w:t>Interest rate instruments</w:t>
            </w:r>
          </w:p>
        </w:tc>
        <w:tc>
          <w:tcPr>
            <w:tcW w:w="1020" w:type="dxa"/>
            <w:vAlign w:val="bottom"/>
          </w:tcPr>
          <w:p>
            <w:pPr>
              <w:spacing w:after="0"/>
              <w:rPr>
                <w:sz w:val="11"/>
                <w:szCs w:val="11"/>
                <w:color w:val="auto"/>
              </w:rPr>
            </w:pPr>
          </w:p>
        </w:tc>
        <w:tc>
          <w:tcPr>
            <w:tcW w:w="380" w:type="dxa"/>
            <w:vAlign w:val="bottom"/>
          </w:tcPr>
          <w:p>
            <w:pPr>
              <w:jc w:val="right"/>
              <w:ind w:right="125"/>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1"/>
                <w:szCs w:val="11"/>
                <w:color w:val="auto"/>
              </w:rPr>
            </w:pPr>
          </w:p>
        </w:tc>
        <w:tc>
          <w:tcPr>
            <w:tcW w:w="380" w:type="dxa"/>
            <w:vAlign w:val="bottom"/>
          </w:tcPr>
          <w:p>
            <w:pPr>
              <w:jc w:val="right"/>
              <w:ind w:right="105"/>
              <w:spacing w:after="0"/>
              <w:rPr>
                <w:sz w:val="20"/>
                <w:szCs w:val="20"/>
                <w:color w:val="auto"/>
              </w:rPr>
            </w:pPr>
            <w:r>
              <w:rPr>
                <w:rFonts w:ascii="Arial" w:cs="Arial" w:eastAsia="Arial" w:hAnsi="Arial"/>
                <w:sz w:val="11"/>
                <w:szCs w:val="11"/>
                <w:color w:val="auto"/>
              </w:rPr>
              <w:t>34</w:t>
            </w:r>
          </w:p>
        </w:tc>
        <w:tc>
          <w:tcPr>
            <w:tcW w:w="380" w:type="dxa"/>
            <w:vAlign w:val="bottom"/>
          </w:tcPr>
          <w:p>
            <w:pPr>
              <w:spacing w:after="0"/>
              <w:rPr>
                <w:sz w:val="11"/>
                <w:szCs w:val="11"/>
                <w:color w:val="auto"/>
              </w:rPr>
            </w:pPr>
          </w:p>
        </w:tc>
        <w:tc>
          <w:tcPr>
            <w:tcW w:w="1040" w:type="dxa"/>
            <w:vAlign w:val="bottom"/>
          </w:tcPr>
          <w:p>
            <w:pPr>
              <w:jc w:val="right"/>
              <w:ind w:right="28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20" w:type="dxa"/>
            <w:vAlign w:val="bottom"/>
          </w:tcPr>
          <w:p>
            <w:pPr>
              <w:ind w:left="7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24"/>
        </w:trPr>
        <w:tc>
          <w:tcPr>
            <w:tcW w:w="5040" w:type="dxa"/>
            <w:vAlign w:val="bottom"/>
            <w:gridSpan w:val="2"/>
          </w:tcPr>
          <w:p>
            <w:pPr>
              <w:ind w:left="120"/>
              <w:spacing w:after="0" w:line="124" w:lineRule="exact"/>
              <w:rPr>
                <w:sz w:val="20"/>
                <w:szCs w:val="20"/>
                <w:color w:val="auto"/>
              </w:rPr>
            </w:pPr>
            <w:r>
              <w:rPr>
                <w:rFonts w:ascii="Arial" w:cs="Arial" w:eastAsia="Arial" w:hAnsi="Arial"/>
                <w:sz w:val="11"/>
                <w:szCs w:val="11"/>
                <w:color w:val="auto"/>
              </w:rPr>
              <w:t>Commodity contracts subject to rate recovery</w:t>
            </w:r>
          </w:p>
        </w:tc>
        <w:tc>
          <w:tcPr>
            <w:tcW w:w="1020" w:type="dxa"/>
            <w:vAlign w:val="bottom"/>
          </w:tcPr>
          <w:p>
            <w:pPr>
              <w:spacing w:after="0"/>
              <w:rPr>
                <w:sz w:val="10"/>
                <w:szCs w:val="10"/>
                <w:color w:val="auto"/>
              </w:rPr>
            </w:pPr>
          </w:p>
        </w:tc>
        <w:tc>
          <w:tcPr>
            <w:tcW w:w="38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32</w:t>
            </w:r>
          </w:p>
        </w:tc>
        <w:tc>
          <w:tcPr>
            <w:tcW w:w="860" w:type="dxa"/>
            <w:vAlign w:val="bottom"/>
          </w:tcPr>
          <w:p>
            <w:pPr>
              <w:spacing w:after="0"/>
              <w:rPr>
                <w:sz w:val="10"/>
                <w:szCs w:val="10"/>
                <w:color w:val="auto"/>
              </w:rPr>
            </w:pPr>
          </w:p>
        </w:tc>
        <w:tc>
          <w:tcPr>
            <w:tcW w:w="380" w:type="dxa"/>
            <w:vAlign w:val="bottom"/>
          </w:tcPr>
          <w:p>
            <w:pPr>
              <w:jc w:val="right"/>
              <w:ind w:right="105"/>
              <w:spacing w:after="0" w:line="124" w:lineRule="exact"/>
              <w:rPr>
                <w:sz w:val="20"/>
                <w:szCs w:val="20"/>
                <w:color w:val="auto"/>
              </w:rPr>
            </w:pPr>
            <w:r>
              <w:rPr>
                <w:rFonts w:ascii="Arial" w:cs="Arial" w:eastAsia="Arial" w:hAnsi="Arial"/>
                <w:sz w:val="11"/>
                <w:szCs w:val="11"/>
                <w:color w:val="auto"/>
              </w:rPr>
              <w:t>1</w:t>
            </w:r>
          </w:p>
        </w:tc>
        <w:tc>
          <w:tcPr>
            <w:tcW w:w="380" w:type="dxa"/>
            <w:vAlign w:val="bottom"/>
          </w:tcPr>
          <w:p>
            <w:pPr>
              <w:spacing w:after="0"/>
              <w:rPr>
                <w:sz w:val="10"/>
                <w:szCs w:val="10"/>
                <w:color w:val="auto"/>
              </w:rPr>
            </w:pPr>
          </w:p>
        </w:tc>
        <w:tc>
          <w:tcPr>
            <w:tcW w:w="1040" w:type="dxa"/>
            <w:vAlign w:val="bottom"/>
          </w:tcPr>
          <w:p>
            <w:pPr>
              <w:jc w:val="right"/>
              <w:ind w:right="285"/>
              <w:spacing w:after="0" w:line="124" w:lineRule="exact"/>
              <w:rPr>
                <w:sz w:val="20"/>
                <w:szCs w:val="20"/>
                <w:color w:val="auto"/>
              </w:rPr>
            </w:pPr>
            <w:r>
              <w:rPr>
                <w:rFonts w:ascii="Arial" w:cs="Arial" w:eastAsia="Arial" w:hAnsi="Arial"/>
                <w:sz w:val="11"/>
                <w:szCs w:val="11"/>
                <w:color w:val="auto"/>
              </w:rPr>
              <w:t>3</w:t>
            </w:r>
          </w:p>
        </w:tc>
        <w:tc>
          <w:tcPr>
            <w:tcW w:w="220" w:type="dxa"/>
            <w:vAlign w:val="bottom"/>
          </w:tcPr>
          <w:p>
            <w:pPr>
              <w:spacing w:after="0"/>
              <w:rPr>
                <w:sz w:val="10"/>
                <w:szCs w:val="10"/>
                <w:color w:val="auto"/>
              </w:rPr>
            </w:pPr>
          </w:p>
        </w:tc>
        <w:tc>
          <w:tcPr>
            <w:tcW w:w="1020" w:type="dxa"/>
            <w:vAlign w:val="bottom"/>
          </w:tcPr>
          <w:p>
            <w:pPr>
              <w:ind w:left="720"/>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spacing w:after="0"/>
              <w:rPr>
                <w:sz w:val="10"/>
                <w:szCs w:val="10"/>
                <w:color w:val="auto"/>
              </w:rPr>
            </w:pPr>
          </w:p>
        </w:tc>
        <w:tc>
          <w:tcPr>
            <w:tcW w:w="720" w:type="dxa"/>
            <w:vAlign w:val="bottom"/>
          </w:tcPr>
          <w:p>
            <w:pPr>
              <w:jc w:val="right"/>
              <w:spacing w:after="0" w:line="124" w:lineRule="exact"/>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24"/>
        </w:trPr>
        <w:tc>
          <w:tcPr>
            <w:tcW w:w="5040" w:type="dxa"/>
            <w:vAlign w:val="bottom"/>
            <w:gridSpan w:val="2"/>
          </w:tcPr>
          <w:p>
            <w:pPr>
              <w:ind w:left="120"/>
              <w:spacing w:after="0" w:line="124" w:lineRule="exact"/>
              <w:rPr>
                <w:sz w:val="20"/>
                <w:szCs w:val="20"/>
                <w:color w:val="auto"/>
              </w:rPr>
            </w:pPr>
            <w:r>
              <w:rPr>
                <w:rFonts w:ascii="Arial" w:cs="Arial" w:eastAsia="Arial" w:hAnsi="Arial"/>
                <w:sz w:val="11"/>
                <w:szCs w:val="11"/>
                <w:color w:val="auto"/>
              </w:rPr>
              <w:t>Commodity contracts not subject to rate recovery</w:t>
            </w:r>
          </w:p>
        </w:tc>
        <w:tc>
          <w:tcPr>
            <w:tcW w:w="1020" w:type="dxa"/>
            <w:vAlign w:val="bottom"/>
          </w:tcPr>
          <w:p>
            <w:pPr>
              <w:spacing w:after="0"/>
              <w:rPr>
                <w:sz w:val="10"/>
                <w:szCs w:val="10"/>
                <w:color w:val="auto"/>
              </w:rPr>
            </w:pPr>
          </w:p>
        </w:tc>
        <w:tc>
          <w:tcPr>
            <w:tcW w:w="38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14</w:t>
            </w:r>
          </w:p>
        </w:tc>
        <w:tc>
          <w:tcPr>
            <w:tcW w:w="860" w:type="dxa"/>
            <w:vAlign w:val="bottom"/>
          </w:tcPr>
          <w:p>
            <w:pPr>
              <w:spacing w:after="0"/>
              <w:rPr>
                <w:sz w:val="10"/>
                <w:szCs w:val="10"/>
                <w:color w:val="auto"/>
              </w:rPr>
            </w:pPr>
          </w:p>
        </w:tc>
        <w:tc>
          <w:tcPr>
            <w:tcW w:w="380" w:type="dxa"/>
            <w:vAlign w:val="bottom"/>
          </w:tcPr>
          <w:p>
            <w:pPr>
              <w:jc w:val="right"/>
              <w:ind w:right="105"/>
              <w:spacing w:after="0" w:line="124" w:lineRule="exact"/>
              <w:rPr>
                <w:sz w:val="20"/>
                <w:szCs w:val="20"/>
                <w:color w:val="auto"/>
              </w:rPr>
            </w:pPr>
            <w:r>
              <w:rPr>
                <w:rFonts w:ascii="Arial" w:cs="Arial" w:eastAsia="Arial" w:hAnsi="Arial"/>
                <w:sz w:val="11"/>
                <w:szCs w:val="11"/>
                <w:color w:val="auto"/>
              </w:rPr>
              <w:t>56</w:t>
            </w:r>
          </w:p>
        </w:tc>
        <w:tc>
          <w:tcPr>
            <w:tcW w:w="380" w:type="dxa"/>
            <w:vAlign w:val="bottom"/>
          </w:tcPr>
          <w:p>
            <w:pPr>
              <w:spacing w:after="0"/>
              <w:rPr>
                <w:sz w:val="10"/>
                <w:szCs w:val="10"/>
                <w:color w:val="auto"/>
              </w:rPr>
            </w:pPr>
          </w:p>
        </w:tc>
        <w:tc>
          <w:tcPr>
            <w:tcW w:w="1040" w:type="dxa"/>
            <w:vAlign w:val="bottom"/>
          </w:tcPr>
          <w:p>
            <w:pPr>
              <w:jc w:val="right"/>
              <w:ind w:right="285"/>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020" w:type="dxa"/>
            <w:vAlign w:val="bottom"/>
          </w:tcPr>
          <w:p>
            <w:pPr>
              <w:ind w:left="720"/>
              <w:spacing w:after="0" w:line="124" w:lineRule="exact"/>
              <w:rPr>
                <w:sz w:val="20"/>
                <w:szCs w:val="20"/>
                <w:color w:val="auto"/>
              </w:rPr>
            </w:pPr>
            <w:r>
              <w:rPr>
                <w:rFonts w:ascii="Arial" w:cs="Arial" w:eastAsia="Arial" w:hAnsi="Arial"/>
                <w:sz w:val="11"/>
                <w:szCs w:val="11"/>
                <w:color w:val="auto"/>
              </w:rPr>
              <w:t>(9)</w:t>
            </w:r>
          </w:p>
        </w:tc>
        <w:tc>
          <w:tcPr>
            <w:tcW w:w="400" w:type="dxa"/>
            <w:vAlign w:val="bottom"/>
          </w:tcPr>
          <w:p>
            <w:pPr>
              <w:spacing w:after="0"/>
              <w:rPr>
                <w:sz w:val="10"/>
                <w:szCs w:val="10"/>
                <w:color w:val="auto"/>
              </w:rPr>
            </w:pPr>
          </w:p>
        </w:tc>
        <w:tc>
          <w:tcPr>
            <w:tcW w:w="720" w:type="dxa"/>
            <w:vAlign w:val="bottom"/>
          </w:tcPr>
          <w:p>
            <w:pPr>
              <w:jc w:val="right"/>
              <w:spacing w:after="0" w:line="124" w:lineRule="exact"/>
              <w:rPr>
                <w:sz w:val="20"/>
                <w:szCs w:val="20"/>
                <w:color w:val="auto"/>
              </w:rPr>
            </w:pPr>
            <w:r>
              <w:rPr>
                <w:rFonts w:ascii="Arial" w:cs="Arial" w:eastAsia="Arial" w:hAnsi="Arial"/>
                <w:sz w:val="11"/>
                <w:szCs w:val="11"/>
                <w:color w:val="auto"/>
              </w:rPr>
              <w:t>61</w:t>
            </w:r>
          </w:p>
        </w:tc>
        <w:tc>
          <w:tcPr>
            <w:tcW w:w="0" w:type="dxa"/>
            <w:vAlign w:val="bottom"/>
          </w:tcPr>
          <w:p>
            <w:pPr>
              <w:spacing w:after="0"/>
              <w:rPr>
                <w:sz w:val="1"/>
                <w:szCs w:val="1"/>
                <w:color w:val="auto"/>
              </w:rPr>
            </w:pPr>
          </w:p>
        </w:tc>
      </w:tr>
      <w:tr>
        <w:trPr>
          <w:trHeight w:val="121"/>
        </w:trPr>
        <w:tc>
          <w:tcPr>
            <w:tcW w:w="5040" w:type="dxa"/>
            <w:vAlign w:val="bottom"/>
            <w:gridSpan w:val="2"/>
          </w:tcPr>
          <w:p>
            <w:pPr>
              <w:ind w:left="120"/>
              <w:spacing w:after="0" w:line="101" w:lineRule="exact"/>
              <w:rPr>
                <w:sz w:val="20"/>
                <w:szCs w:val="20"/>
                <w:color w:val="auto"/>
              </w:rPr>
            </w:pPr>
            <w:r>
              <w:rPr>
                <w:rFonts w:ascii="Arial" w:cs="Arial" w:eastAsia="Arial" w:hAnsi="Arial"/>
                <w:sz w:val="11"/>
                <w:szCs w:val="11"/>
                <w:color w:val="auto"/>
              </w:rPr>
              <w:t>Investments</w:t>
            </w:r>
          </w:p>
        </w:tc>
        <w:tc>
          <w:tcPr>
            <w:tcW w:w="10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25"/>
              <w:spacing w:after="0" w:line="101" w:lineRule="exact"/>
              <w:rPr>
                <w:sz w:val="20"/>
                <w:szCs w:val="20"/>
                <w:color w:val="auto"/>
              </w:rPr>
            </w:pPr>
            <w:r>
              <w:rPr>
                <w:rFonts w:ascii="Arial" w:cs="Arial" w:eastAsia="Arial" w:hAnsi="Arial"/>
                <w:sz w:val="11"/>
                <w:szCs w:val="11"/>
                <w:color w:val="auto"/>
              </w:rPr>
              <w:t>14</w:t>
            </w:r>
          </w:p>
        </w:tc>
        <w:tc>
          <w:tcPr>
            <w:tcW w:w="8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05"/>
              <w:spacing w:after="0" w:line="101" w:lineRule="exact"/>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285"/>
              <w:spacing w:after="0" w:line="101" w:lineRule="exact"/>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ind w:left="720"/>
              <w:spacing w:after="0" w:line="101" w:lineRule="exact"/>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25"/>
        </w:trPr>
        <w:tc>
          <w:tcPr>
            <w:tcW w:w="280" w:type="dxa"/>
            <w:vAlign w:val="bottom"/>
          </w:tcPr>
          <w:p>
            <w:pPr>
              <w:spacing w:after="0" w:line="104" w:lineRule="exact"/>
              <w:rPr>
                <w:sz w:val="20"/>
                <w:szCs w:val="20"/>
                <w:color w:val="auto"/>
              </w:rPr>
            </w:pPr>
            <w:r>
              <w:rPr>
                <w:rFonts w:ascii="Arial" w:cs="Arial" w:eastAsia="Arial" w:hAnsi="Arial"/>
                <w:sz w:val="11"/>
                <w:szCs w:val="11"/>
                <w:color w:val="auto"/>
              </w:rPr>
              <w:t>Total</w:t>
            </w:r>
          </w:p>
        </w:tc>
        <w:tc>
          <w:tcPr>
            <w:tcW w:w="4760" w:type="dxa"/>
            <w:vAlign w:val="bottom"/>
          </w:tcPr>
          <w:p>
            <w:pPr>
              <w:spacing w:after="0"/>
              <w:rPr>
                <w:sz w:val="10"/>
                <w:szCs w:val="10"/>
                <w:color w:val="auto"/>
              </w:rPr>
            </w:pPr>
          </w:p>
        </w:tc>
        <w:tc>
          <w:tcPr>
            <w:tcW w:w="1020" w:type="dxa"/>
            <w:vAlign w:val="bottom"/>
            <w:tcBorders>
              <w:bottom w:val="single" w:sz="8" w:color="auto"/>
            </w:tcBorders>
          </w:tcPr>
          <w:p>
            <w:pPr>
              <w:jc w:val="right"/>
              <w:ind w:right="585"/>
              <w:spacing w:after="0" w:line="104" w:lineRule="exact"/>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tcPr>
          <w:p>
            <w:pPr>
              <w:jc w:val="right"/>
              <w:ind w:right="125"/>
              <w:spacing w:after="0" w:line="104" w:lineRule="exact"/>
              <w:rPr>
                <w:sz w:val="20"/>
                <w:szCs w:val="20"/>
                <w:color w:val="auto"/>
              </w:rPr>
            </w:pPr>
            <w:r>
              <w:rPr>
                <w:rFonts w:ascii="Arial" w:cs="Arial" w:eastAsia="Arial" w:hAnsi="Arial"/>
                <w:sz w:val="11"/>
                <w:szCs w:val="11"/>
                <w:color w:val="auto"/>
                <w:w w:val="97"/>
              </w:rPr>
              <w:t>686</w:t>
            </w:r>
          </w:p>
        </w:tc>
        <w:tc>
          <w:tcPr>
            <w:tcW w:w="860" w:type="dxa"/>
            <w:vAlign w:val="bottom"/>
            <w:tcBorders>
              <w:bottom w:val="single" w:sz="8" w:color="auto"/>
            </w:tcBorders>
          </w:tcPr>
          <w:p>
            <w:pPr>
              <w:jc w:val="right"/>
              <w:ind w:right="585"/>
              <w:spacing w:after="0" w:line="104" w:lineRule="exact"/>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tcPr>
          <w:p>
            <w:pPr>
              <w:jc w:val="right"/>
              <w:ind w:right="105"/>
              <w:spacing w:after="0" w:line="104" w:lineRule="exact"/>
              <w:rPr>
                <w:sz w:val="20"/>
                <w:szCs w:val="20"/>
                <w:color w:val="auto"/>
              </w:rPr>
            </w:pPr>
            <w:r>
              <w:rPr>
                <w:rFonts w:ascii="Arial" w:cs="Arial" w:eastAsia="Arial" w:hAnsi="Arial"/>
                <w:sz w:val="11"/>
                <w:szCs w:val="11"/>
                <w:color w:val="auto"/>
              </w:rPr>
              <w:t>252</w:t>
            </w:r>
          </w:p>
        </w:tc>
        <w:tc>
          <w:tcPr>
            <w:tcW w:w="380" w:type="dxa"/>
            <w:vAlign w:val="bottom"/>
            <w:tcBorders>
              <w:bottom w:val="single" w:sz="8" w:color="auto"/>
            </w:tcBorders>
          </w:tcPr>
          <w:p>
            <w:pPr>
              <w:jc w:val="right"/>
              <w:ind w:right="85"/>
              <w:spacing w:after="0" w:line="104" w:lineRule="exact"/>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tcPr>
          <w:p>
            <w:pPr>
              <w:jc w:val="right"/>
              <w:ind w:right="285"/>
              <w:spacing w:after="0" w:line="104" w:lineRule="exact"/>
              <w:rPr>
                <w:sz w:val="20"/>
                <w:szCs w:val="20"/>
                <w:color w:val="auto"/>
              </w:rPr>
            </w:pPr>
            <w:r>
              <w:rPr>
                <w:rFonts w:ascii="Arial" w:cs="Arial" w:eastAsia="Arial" w:hAnsi="Arial"/>
                <w:sz w:val="11"/>
                <w:szCs w:val="11"/>
                <w:color w:val="auto"/>
              </w:rPr>
              <w:t>3</w:t>
            </w:r>
          </w:p>
        </w:tc>
        <w:tc>
          <w:tcPr>
            <w:tcW w:w="220" w:type="dxa"/>
            <w:vAlign w:val="bottom"/>
            <w:tcBorders>
              <w:bottom w:val="single" w:sz="8" w:color="auto"/>
            </w:tcBorders>
          </w:tcPr>
          <w:p>
            <w:pPr>
              <w:jc w:val="right"/>
              <w:ind w:right="85"/>
              <w:spacing w:after="0" w:line="104" w:lineRule="exact"/>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ind w:left="720"/>
              <w:spacing w:after="0" w:line="104" w:lineRule="exact"/>
              <w:rPr>
                <w:sz w:val="20"/>
                <w:szCs w:val="20"/>
                <w:color w:val="auto"/>
              </w:rPr>
            </w:pPr>
            <w:r>
              <w:rPr>
                <w:rFonts w:ascii="Arial" w:cs="Arial" w:eastAsia="Arial" w:hAnsi="Arial"/>
                <w:sz w:val="11"/>
                <w:szCs w:val="11"/>
                <w:color w:val="auto"/>
              </w:rPr>
              <w:t>(9)</w:t>
            </w:r>
          </w:p>
        </w:tc>
        <w:tc>
          <w:tcPr>
            <w:tcW w:w="400" w:type="dxa"/>
            <w:vAlign w:val="bottom"/>
            <w:tcBorders>
              <w:bottom w:val="single" w:sz="8" w:color="auto"/>
            </w:tcBorders>
          </w:tcPr>
          <w:p>
            <w:pPr>
              <w:jc w:val="right"/>
              <w:ind w:right="125"/>
              <w:spacing w:after="0" w:line="104" w:lineRule="exact"/>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spacing w:after="0" w:line="104" w:lineRule="exact"/>
              <w:rPr>
                <w:sz w:val="20"/>
                <w:szCs w:val="20"/>
                <w:color w:val="auto"/>
              </w:rPr>
            </w:pPr>
            <w:r>
              <w:rPr>
                <w:rFonts w:ascii="Arial" w:cs="Arial" w:eastAsia="Arial" w:hAnsi="Arial"/>
                <w:sz w:val="11"/>
                <w:szCs w:val="11"/>
                <w:color w:val="auto"/>
              </w:rPr>
              <w:t>932</w:t>
            </w:r>
          </w:p>
        </w:tc>
        <w:tc>
          <w:tcPr>
            <w:tcW w:w="0" w:type="dxa"/>
            <w:vAlign w:val="bottom"/>
          </w:tcPr>
          <w:p>
            <w:pPr>
              <w:spacing w:after="0"/>
              <w:rPr>
                <w:sz w:val="1"/>
                <w:szCs w:val="1"/>
                <w:color w:val="auto"/>
              </w:rPr>
            </w:pPr>
          </w:p>
        </w:tc>
      </w:tr>
      <w:tr>
        <w:trPr>
          <w:trHeight w:val="128"/>
        </w:trPr>
        <w:tc>
          <w:tcPr>
            <w:tcW w:w="5040" w:type="dxa"/>
            <w:vAlign w:val="bottom"/>
            <w:gridSpan w:val="2"/>
          </w:tcPr>
          <w:p>
            <w:pPr>
              <w:spacing w:after="0"/>
              <w:rPr>
                <w:sz w:val="20"/>
                <w:szCs w:val="20"/>
                <w:color w:val="auto"/>
              </w:rPr>
            </w:pPr>
            <w:r>
              <w:rPr>
                <w:rFonts w:ascii="Arial" w:cs="Arial" w:eastAsia="Arial" w:hAnsi="Arial"/>
                <w:sz w:val="11"/>
                <w:szCs w:val="11"/>
                <w:color w:val="auto"/>
              </w:rPr>
              <w:t>Liabilities:</w:t>
            </w: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5040" w:type="dxa"/>
            <w:vAlign w:val="bottom"/>
            <w:gridSpan w:val="2"/>
          </w:tcPr>
          <w:p>
            <w:pPr>
              <w:ind w:left="120"/>
              <w:spacing w:after="0" w:line="124" w:lineRule="exact"/>
              <w:rPr>
                <w:sz w:val="20"/>
                <w:szCs w:val="20"/>
                <w:color w:val="auto"/>
              </w:rPr>
            </w:pPr>
            <w:r>
              <w:rPr>
                <w:rFonts w:ascii="Arial" w:cs="Arial" w:eastAsia="Arial" w:hAnsi="Arial"/>
                <w:sz w:val="11"/>
                <w:szCs w:val="11"/>
                <w:color w:val="auto"/>
              </w:rPr>
              <w:t>Interest rate instruments</w:t>
            </w:r>
          </w:p>
        </w:tc>
        <w:tc>
          <w:tcPr>
            <w:tcW w:w="1020" w:type="dxa"/>
            <w:vAlign w:val="bottom"/>
          </w:tcPr>
          <w:p>
            <w:pPr>
              <w:jc w:val="right"/>
              <w:ind w:right="585"/>
              <w:spacing w:after="0" w:line="124" w:lineRule="exact"/>
              <w:rPr>
                <w:sz w:val="20"/>
                <w:szCs w:val="20"/>
                <w:color w:val="auto"/>
              </w:rPr>
            </w:pPr>
            <w:r>
              <w:rPr>
                <w:rFonts w:ascii="Arial" w:cs="Arial" w:eastAsia="Arial" w:hAnsi="Arial"/>
                <w:sz w:val="11"/>
                <w:szCs w:val="11"/>
                <w:color w:val="auto"/>
              </w:rPr>
              <w:t>$</w:t>
            </w:r>
          </w:p>
        </w:tc>
        <w:tc>
          <w:tcPr>
            <w:tcW w:w="38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585"/>
              <w:spacing w:after="0" w:line="124" w:lineRule="exact"/>
              <w:rPr>
                <w:sz w:val="20"/>
                <w:szCs w:val="20"/>
                <w:color w:val="auto"/>
              </w:rPr>
            </w:pPr>
            <w:r>
              <w:rPr>
                <w:rFonts w:ascii="Arial" w:cs="Arial" w:eastAsia="Arial" w:hAnsi="Arial"/>
                <w:sz w:val="11"/>
                <w:szCs w:val="11"/>
                <w:color w:val="auto"/>
              </w:rPr>
              <w:t>$</w:t>
            </w:r>
          </w:p>
        </w:tc>
        <w:tc>
          <w:tcPr>
            <w:tcW w:w="380" w:type="dxa"/>
            <w:vAlign w:val="bottom"/>
          </w:tcPr>
          <w:p>
            <w:pPr>
              <w:jc w:val="right"/>
              <w:ind w:right="105"/>
              <w:spacing w:after="0" w:line="124" w:lineRule="exact"/>
              <w:rPr>
                <w:sz w:val="20"/>
                <w:szCs w:val="20"/>
                <w:color w:val="auto"/>
              </w:rPr>
            </w:pPr>
            <w:r>
              <w:rPr>
                <w:rFonts w:ascii="Arial" w:cs="Arial" w:eastAsia="Arial" w:hAnsi="Arial"/>
                <w:sz w:val="11"/>
                <w:szCs w:val="11"/>
                <w:color w:val="auto"/>
              </w:rPr>
              <w:t>83</w:t>
            </w:r>
          </w:p>
        </w:tc>
        <w:tc>
          <w:tcPr>
            <w:tcW w:w="380" w:type="dxa"/>
            <w:vAlign w:val="bottom"/>
          </w:tcPr>
          <w:p>
            <w:pPr>
              <w:jc w:val="right"/>
              <w:ind w:right="85"/>
              <w:spacing w:after="0" w:line="124"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285"/>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ind w:right="85"/>
              <w:spacing w:after="0" w:line="124" w:lineRule="exact"/>
              <w:rPr>
                <w:sz w:val="20"/>
                <w:szCs w:val="20"/>
                <w:color w:val="auto"/>
              </w:rPr>
            </w:pPr>
            <w:r>
              <w:rPr>
                <w:rFonts w:ascii="Arial" w:cs="Arial" w:eastAsia="Arial" w:hAnsi="Arial"/>
                <w:sz w:val="11"/>
                <w:szCs w:val="11"/>
                <w:color w:val="auto"/>
                <w:w w:val="97"/>
              </w:rPr>
              <w:t>$</w:t>
            </w:r>
          </w:p>
        </w:tc>
        <w:tc>
          <w:tcPr>
            <w:tcW w:w="1020" w:type="dxa"/>
            <w:vAlign w:val="bottom"/>
          </w:tcPr>
          <w:p>
            <w:pPr>
              <w:ind w:left="720"/>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4" w:lineRule="exact"/>
              <w:rPr>
                <w:sz w:val="20"/>
                <w:szCs w:val="20"/>
                <w:color w:val="auto"/>
              </w:rPr>
            </w:pPr>
            <w:r>
              <w:rPr>
                <w:rFonts w:ascii="Arial" w:cs="Arial" w:eastAsia="Arial" w:hAnsi="Arial"/>
                <w:sz w:val="11"/>
                <w:szCs w:val="11"/>
                <w:color w:val="auto"/>
              </w:rPr>
              <w:t>83</w:t>
            </w:r>
          </w:p>
        </w:tc>
        <w:tc>
          <w:tcPr>
            <w:tcW w:w="0" w:type="dxa"/>
            <w:vAlign w:val="bottom"/>
          </w:tcPr>
          <w:p>
            <w:pPr>
              <w:spacing w:after="0"/>
              <w:rPr>
                <w:sz w:val="1"/>
                <w:szCs w:val="1"/>
                <w:color w:val="auto"/>
              </w:rPr>
            </w:pPr>
          </w:p>
        </w:tc>
      </w:tr>
      <w:tr>
        <w:trPr>
          <w:trHeight w:val="124"/>
        </w:trPr>
        <w:tc>
          <w:tcPr>
            <w:tcW w:w="5040" w:type="dxa"/>
            <w:vAlign w:val="bottom"/>
            <w:gridSpan w:val="2"/>
          </w:tcPr>
          <w:p>
            <w:pPr>
              <w:ind w:left="120"/>
              <w:spacing w:after="0" w:line="124" w:lineRule="exact"/>
              <w:rPr>
                <w:sz w:val="20"/>
                <w:szCs w:val="20"/>
                <w:color w:val="auto"/>
              </w:rPr>
            </w:pPr>
            <w:r>
              <w:rPr>
                <w:rFonts w:ascii="Arial" w:cs="Arial" w:eastAsia="Arial" w:hAnsi="Arial"/>
                <w:sz w:val="11"/>
                <w:szCs w:val="11"/>
                <w:color w:val="auto"/>
              </w:rPr>
              <w:t>Commodity contracts subject to rate recovery</w:t>
            </w:r>
          </w:p>
        </w:tc>
        <w:tc>
          <w:tcPr>
            <w:tcW w:w="1020" w:type="dxa"/>
            <w:vAlign w:val="bottom"/>
          </w:tcPr>
          <w:p>
            <w:pPr>
              <w:spacing w:after="0"/>
              <w:rPr>
                <w:sz w:val="10"/>
                <w:szCs w:val="10"/>
                <w:color w:val="auto"/>
              </w:rPr>
            </w:pPr>
          </w:p>
        </w:tc>
        <w:tc>
          <w:tcPr>
            <w:tcW w:w="38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44</w:t>
            </w:r>
          </w:p>
        </w:tc>
        <w:tc>
          <w:tcPr>
            <w:tcW w:w="860" w:type="dxa"/>
            <w:vAlign w:val="bottom"/>
          </w:tcPr>
          <w:p>
            <w:pPr>
              <w:spacing w:after="0"/>
              <w:rPr>
                <w:sz w:val="10"/>
                <w:szCs w:val="10"/>
                <w:color w:val="auto"/>
              </w:rPr>
            </w:pPr>
          </w:p>
        </w:tc>
        <w:tc>
          <w:tcPr>
            <w:tcW w:w="380" w:type="dxa"/>
            <w:vAlign w:val="bottom"/>
          </w:tcPr>
          <w:p>
            <w:pPr>
              <w:jc w:val="right"/>
              <w:ind w:right="105"/>
              <w:spacing w:after="0" w:line="124" w:lineRule="exact"/>
              <w:rPr>
                <w:sz w:val="20"/>
                <w:szCs w:val="20"/>
                <w:color w:val="auto"/>
              </w:rPr>
            </w:pPr>
            <w:r>
              <w:rPr>
                <w:rFonts w:ascii="Arial" w:cs="Arial" w:eastAsia="Arial" w:hAnsi="Arial"/>
                <w:sz w:val="11"/>
                <w:szCs w:val="11"/>
                <w:color w:val="auto"/>
              </w:rPr>
              <w:t>5</w:t>
            </w:r>
          </w:p>
        </w:tc>
        <w:tc>
          <w:tcPr>
            <w:tcW w:w="380" w:type="dxa"/>
            <w:vAlign w:val="bottom"/>
          </w:tcPr>
          <w:p>
            <w:pPr>
              <w:spacing w:after="0"/>
              <w:rPr>
                <w:sz w:val="10"/>
                <w:szCs w:val="10"/>
                <w:color w:val="auto"/>
              </w:rPr>
            </w:pPr>
          </w:p>
        </w:tc>
        <w:tc>
          <w:tcPr>
            <w:tcW w:w="1040" w:type="dxa"/>
            <w:vAlign w:val="bottom"/>
          </w:tcPr>
          <w:p>
            <w:pPr>
              <w:jc w:val="right"/>
              <w:ind w:right="285"/>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020" w:type="dxa"/>
            <w:vAlign w:val="bottom"/>
          </w:tcPr>
          <w:p>
            <w:pPr>
              <w:ind w:left="660"/>
              <w:spacing w:after="0" w:line="124" w:lineRule="exact"/>
              <w:rPr>
                <w:sz w:val="20"/>
                <w:szCs w:val="20"/>
                <w:color w:val="auto"/>
              </w:rPr>
            </w:pPr>
            <w:r>
              <w:rPr>
                <w:rFonts w:ascii="Arial" w:cs="Arial" w:eastAsia="Arial" w:hAnsi="Arial"/>
                <w:sz w:val="11"/>
                <w:szCs w:val="11"/>
                <w:color w:val="auto"/>
              </w:rPr>
              <w:t>(44)</w:t>
            </w:r>
          </w:p>
        </w:tc>
        <w:tc>
          <w:tcPr>
            <w:tcW w:w="400" w:type="dxa"/>
            <w:vAlign w:val="bottom"/>
          </w:tcPr>
          <w:p>
            <w:pPr>
              <w:spacing w:after="0"/>
              <w:rPr>
                <w:sz w:val="10"/>
                <w:szCs w:val="10"/>
                <w:color w:val="auto"/>
              </w:rPr>
            </w:pPr>
          </w:p>
        </w:tc>
        <w:tc>
          <w:tcPr>
            <w:tcW w:w="720" w:type="dxa"/>
            <w:vAlign w:val="bottom"/>
          </w:tcPr>
          <w:p>
            <w:pPr>
              <w:jc w:val="right"/>
              <w:spacing w:after="0" w:line="124" w:lineRule="exact"/>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21"/>
        </w:trPr>
        <w:tc>
          <w:tcPr>
            <w:tcW w:w="5040" w:type="dxa"/>
            <w:vAlign w:val="bottom"/>
            <w:gridSpan w:val="2"/>
          </w:tcPr>
          <w:p>
            <w:pPr>
              <w:ind w:left="120"/>
              <w:spacing w:after="0" w:line="101" w:lineRule="exact"/>
              <w:rPr>
                <w:sz w:val="20"/>
                <w:szCs w:val="20"/>
                <w:color w:val="auto"/>
              </w:rPr>
            </w:pPr>
            <w:r>
              <w:rPr>
                <w:rFonts w:ascii="Arial" w:cs="Arial" w:eastAsia="Arial" w:hAnsi="Arial"/>
                <w:sz w:val="11"/>
                <w:szCs w:val="11"/>
                <w:color w:val="auto"/>
              </w:rPr>
              <w:t>Commodity contracts not subject to rate recovery</w:t>
            </w:r>
          </w:p>
        </w:tc>
        <w:tc>
          <w:tcPr>
            <w:tcW w:w="10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25"/>
              <w:spacing w:after="0" w:line="101" w:lineRule="exact"/>
              <w:rPr>
                <w:sz w:val="20"/>
                <w:szCs w:val="20"/>
                <w:color w:val="auto"/>
              </w:rPr>
            </w:pPr>
            <w:r>
              <w:rPr>
                <w:rFonts w:ascii="Arial" w:cs="Arial" w:eastAsia="Arial" w:hAnsi="Arial"/>
                <w:sz w:val="11"/>
                <w:szCs w:val="11"/>
                <w:color w:val="auto"/>
              </w:rPr>
              <w:t>1</w:t>
            </w:r>
          </w:p>
        </w:tc>
        <w:tc>
          <w:tcPr>
            <w:tcW w:w="8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05"/>
              <w:spacing w:after="0" w:line="101" w:lineRule="exact"/>
              <w:rPr>
                <w:sz w:val="20"/>
                <w:szCs w:val="20"/>
                <w:color w:val="auto"/>
              </w:rPr>
            </w:pPr>
            <w:r>
              <w:rPr>
                <w:rFonts w:ascii="Arial" w:cs="Arial" w:eastAsia="Arial" w:hAnsi="Arial"/>
                <w:sz w:val="11"/>
                <w:szCs w:val="11"/>
                <w:color w:val="auto"/>
              </w:rPr>
              <w:t>58</w:t>
            </w:r>
          </w:p>
        </w:tc>
        <w:tc>
          <w:tcPr>
            <w:tcW w:w="3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285"/>
              <w:spacing w:after="0" w:line="101" w:lineRule="exact"/>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ind w:left="720"/>
              <w:spacing w:after="0" w:line="101" w:lineRule="exact"/>
              <w:rPr>
                <w:sz w:val="20"/>
                <w:szCs w:val="20"/>
                <w:color w:val="auto"/>
              </w:rPr>
            </w:pPr>
            <w:r>
              <w:rPr>
                <w:rFonts w:ascii="Arial" w:cs="Arial" w:eastAsia="Arial" w:hAnsi="Arial"/>
                <w:sz w:val="11"/>
                <w:szCs w:val="11"/>
                <w:color w:val="auto"/>
              </w:rPr>
              <w:t>(1)</w:t>
            </w:r>
          </w:p>
        </w:tc>
        <w:tc>
          <w:tcPr>
            <w:tcW w:w="4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color w:val="auto"/>
              </w:rPr>
              <w:t>58</w:t>
            </w:r>
          </w:p>
        </w:tc>
        <w:tc>
          <w:tcPr>
            <w:tcW w:w="0" w:type="dxa"/>
            <w:vAlign w:val="bottom"/>
          </w:tcPr>
          <w:p>
            <w:pPr>
              <w:spacing w:after="0"/>
              <w:rPr>
                <w:sz w:val="1"/>
                <w:szCs w:val="1"/>
                <w:color w:val="auto"/>
              </w:rPr>
            </w:pPr>
          </w:p>
        </w:tc>
      </w:tr>
      <w:tr>
        <w:trPr>
          <w:trHeight w:val="125"/>
        </w:trPr>
        <w:tc>
          <w:tcPr>
            <w:tcW w:w="280" w:type="dxa"/>
            <w:vAlign w:val="bottom"/>
            <w:tcBorders>
              <w:bottom w:val="single" w:sz="8" w:color="auto"/>
            </w:tcBorders>
          </w:tcPr>
          <w:p>
            <w:pPr>
              <w:spacing w:after="0" w:line="124" w:lineRule="exact"/>
              <w:rPr>
                <w:sz w:val="20"/>
                <w:szCs w:val="20"/>
                <w:color w:val="auto"/>
              </w:rPr>
            </w:pPr>
            <w:r>
              <w:rPr>
                <w:rFonts w:ascii="Arial" w:cs="Arial" w:eastAsia="Arial" w:hAnsi="Arial"/>
                <w:sz w:val="11"/>
                <w:szCs w:val="11"/>
                <w:color w:val="auto"/>
              </w:rPr>
              <w:t>Total</w:t>
            </w:r>
          </w:p>
        </w:tc>
        <w:tc>
          <w:tcPr>
            <w:tcW w:w="47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85"/>
              <w:spacing w:after="0" w:line="124" w:lineRule="exact"/>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tcPr>
          <w:p>
            <w:pPr>
              <w:jc w:val="right"/>
              <w:ind w:right="125"/>
              <w:spacing w:after="0" w:line="124" w:lineRule="exact"/>
              <w:rPr>
                <w:sz w:val="20"/>
                <w:szCs w:val="20"/>
                <w:color w:val="auto"/>
              </w:rPr>
            </w:pPr>
            <w:r>
              <w:rPr>
                <w:rFonts w:ascii="Arial" w:cs="Arial" w:eastAsia="Arial" w:hAnsi="Arial"/>
                <w:sz w:val="11"/>
                <w:szCs w:val="11"/>
                <w:color w:val="auto"/>
              </w:rPr>
              <w:t>45</w:t>
            </w:r>
          </w:p>
        </w:tc>
        <w:tc>
          <w:tcPr>
            <w:tcW w:w="860" w:type="dxa"/>
            <w:vAlign w:val="bottom"/>
            <w:tcBorders>
              <w:bottom w:val="single" w:sz="8" w:color="auto"/>
            </w:tcBorders>
          </w:tcPr>
          <w:p>
            <w:pPr>
              <w:jc w:val="right"/>
              <w:ind w:right="585"/>
              <w:spacing w:after="0" w:line="124" w:lineRule="exact"/>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tcPr>
          <w:p>
            <w:pPr>
              <w:jc w:val="right"/>
              <w:ind w:right="105"/>
              <w:spacing w:after="0" w:line="124" w:lineRule="exact"/>
              <w:rPr>
                <w:sz w:val="20"/>
                <w:szCs w:val="20"/>
                <w:color w:val="auto"/>
              </w:rPr>
            </w:pPr>
            <w:r>
              <w:rPr>
                <w:rFonts w:ascii="Arial" w:cs="Arial" w:eastAsia="Arial" w:hAnsi="Arial"/>
                <w:sz w:val="11"/>
                <w:szCs w:val="11"/>
                <w:color w:val="auto"/>
              </w:rPr>
              <w:t>146</w:t>
            </w:r>
          </w:p>
        </w:tc>
        <w:tc>
          <w:tcPr>
            <w:tcW w:w="380" w:type="dxa"/>
            <w:vAlign w:val="bottom"/>
            <w:tcBorders>
              <w:bottom w:val="single" w:sz="8" w:color="auto"/>
            </w:tcBorders>
          </w:tcPr>
          <w:p>
            <w:pPr>
              <w:jc w:val="right"/>
              <w:ind w:right="85"/>
              <w:spacing w:after="0" w:line="124" w:lineRule="exact"/>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tcPr>
          <w:p>
            <w:pPr>
              <w:jc w:val="right"/>
              <w:ind w:right="285"/>
              <w:spacing w:after="0" w:line="124" w:lineRule="exact"/>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jc w:val="right"/>
              <w:ind w:right="85"/>
              <w:spacing w:after="0" w:line="124" w:lineRule="exact"/>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ind w:left="660"/>
              <w:spacing w:after="0" w:line="124" w:lineRule="exact"/>
              <w:rPr>
                <w:sz w:val="20"/>
                <w:szCs w:val="20"/>
                <w:color w:val="auto"/>
              </w:rPr>
            </w:pPr>
            <w:r>
              <w:rPr>
                <w:rFonts w:ascii="Arial" w:cs="Arial" w:eastAsia="Arial" w:hAnsi="Arial"/>
                <w:sz w:val="11"/>
                <w:szCs w:val="11"/>
                <w:color w:val="auto"/>
              </w:rPr>
              <w:t>(45)</w:t>
            </w:r>
          </w:p>
        </w:tc>
        <w:tc>
          <w:tcPr>
            <w:tcW w:w="400" w:type="dxa"/>
            <w:vAlign w:val="bottom"/>
            <w:tcBorders>
              <w:bottom w:val="single" w:sz="8" w:color="auto"/>
            </w:tcBorders>
          </w:tcPr>
          <w:p>
            <w:pPr>
              <w:jc w:val="right"/>
              <w:ind w:right="125"/>
              <w:spacing w:after="0" w:line="124" w:lineRule="exact"/>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146</w:t>
            </w:r>
          </w:p>
        </w:tc>
        <w:tc>
          <w:tcPr>
            <w:tcW w:w="0" w:type="dxa"/>
            <w:vAlign w:val="bottom"/>
          </w:tcPr>
          <w:p>
            <w:pPr>
              <w:spacing w:after="0"/>
              <w:rPr>
                <w:sz w:val="1"/>
                <w:szCs w:val="1"/>
                <w:color w:val="auto"/>
              </w:rPr>
            </w:pPr>
          </w:p>
        </w:tc>
      </w:tr>
      <w:tr>
        <w:trPr>
          <w:trHeight w:val="259"/>
        </w:trPr>
        <w:tc>
          <w:tcPr>
            <w:tcW w:w="28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1"/>
                <w:szCs w:val="11"/>
                <w:color w:val="auto"/>
              </w:rPr>
              <w:t>At fair value as of December 31, 2010</w:t>
            </w:r>
          </w:p>
        </w:tc>
        <w:tc>
          <w:tcPr>
            <w:tcW w:w="10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8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ind w:right="265"/>
              <w:spacing w:after="0"/>
              <w:rPr>
                <w:sz w:val="20"/>
                <w:szCs w:val="20"/>
                <w:color w:val="auto"/>
              </w:rPr>
            </w:pPr>
            <w:r>
              <w:rPr>
                <w:rFonts w:ascii="Arial" w:cs="Arial" w:eastAsia="Arial" w:hAnsi="Arial"/>
                <w:sz w:val="11"/>
                <w:szCs w:val="11"/>
                <w:color w:val="auto"/>
                <w:w w:val="98"/>
              </w:rPr>
              <w:t>Collateral</w:t>
            </w: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02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Level 1</w:t>
            </w:r>
          </w:p>
        </w:tc>
        <w:tc>
          <w:tcPr>
            <w:tcW w:w="3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Level 2</w:t>
            </w:r>
          </w:p>
        </w:tc>
        <w:tc>
          <w:tcPr>
            <w:tcW w:w="3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05"/>
              <w:spacing w:after="0" w:line="121" w:lineRule="exact"/>
              <w:rPr>
                <w:sz w:val="20"/>
                <w:szCs w:val="20"/>
                <w:color w:val="auto"/>
              </w:rPr>
            </w:pPr>
            <w:r>
              <w:rPr>
                <w:rFonts w:ascii="Arial" w:cs="Arial" w:eastAsia="Arial" w:hAnsi="Arial"/>
                <w:sz w:val="11"/>
                <w:szCs w:val="11"/>
                <w:color w:val="auto"/>
              </w:rPr>
              <w:t>Level 3</w:t>
            </w: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right="245"/>
              <w:spacing w:after="0" w:line="121" w:lineRule="exact"/>
              <w:rPr>
                <w:sz w:val="20"/>
                <w:szCs w:val="20"/>
                <w:color w:val="auto"/>
              </w:rPr>
            </w:pPr>
            <w:r>
              <w:rPr>
                <w:rFonts w:ascii="Arial" w:cs="Arial" w:eastAsia="Arial" w:hAnsi="Arial"/>
                <w:sz w:val="11"/>
                <w:szCs w:val="11"/>
                <w:color w:val="auto"/>
              </w:rPr>
              <w:t>netted</w:t>
            </w:r>
          </w:p>
        </w:tc>
        <w:tc>
          <w:tcPr>
            <w:tcW w:w="4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65"/>
              <w:spacing w:after="0" w:line="121" w:lineRule="exact"/>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28"/>
        </w:trPr>
        <w:tc>
          <w:tcPr>
            <w:tcW w:w="5040" w:type="dxa"/>
            <w:vAlign w:val="bottom"/>
            <w:gridSpan w:val="2"/>
          </w:tcPr>
          <w:p>
            <w:pPr>
              <w:spacing w:after="0"/>
              <w:rPr>
                <w:sz w:val="20"/>
                <w:szCs w:val="20"/>
                <w:color w:val="auto"/>
              </w:rPr>
            </w:pPr>
            <w:r>
              <w:rPr>
                <w:rFonts w:ascii="Arial" w:cs="Arial" w:eastAsia="Arial" w:hAnsi="Arial"/>
                <w:sz w:val="11"/>
                <w:szCs w:val="11"/>
                <w:color w:val="auto"/>
              </w:rPr>
              <w:t>Assets:</w:t>
            </w: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040" w:type="dxa"/>
            <w:vAlign w:val="bottom"/>
            <w:gridSpan w:val="2"/>
          </w:tcPr>
          <w:p>
            <w:pPr>
              <w:ind w:left="120"/>
              <w:spacing w:after="0"/>
              <w:rPr>
                <w:sz w:val="20"/>
                <w:szCs w:val="20"/>
                <w:color w:val="auto"/>
              </w:rPr>
            </w:pPr>
            <w:r>
              <w:rPr>
                <w:rFonts w:ascii="Arial" w:cs="Arial" w:eastAsia="Arial" w:hAnsi="Arial"/>
                <w:sz w:val="11"/>
                <w:szCs w:val="11"/>
                <w:color w:val="auto"/>
              </w:rPr>
              <w:t>Nuclear decommissioning trusts</w:t>
            </w:r>
          </w:p>
        </w:tc>
        <w:tc>
          <w:tcPr>
            <w:tcW w:w="1020" w:type="dxa"/>
            <w:vAlign w:val="bottom"/>
            <w:vMerge w:val="restart"/>
          </w:tcPr>
          <w:p>
            <w:pPr>
              <w:jc w:val="right"/>
              <w:ind w:right="585"/>
              <w:spacing w:after="0"/>
              <w:rPr>
                <w:sz w:val="20"/>
                <w:szCs w:val="20"/>
                <w:color w:val="auto"/>
              </w:rPr>
            </w:pPr>
            <w:r>
              <w:rPr>
                <w:rFonts w:ascii="Arial" w:cs="Arial" w:eastAsia="Arial" w:hAnsi="Arial"/>
                <w:sz w:val="11"/>
                <w:szCs w:val="11"/>
                <w:color w:val="auto"/>
              </w:rPr>
              <w:t>$</w:t>
            </w:r>
          </w:p>
        </w:tc>
        <w:tc>
          <w:tcPr>
            <w:tcW w:w="380" w:type="dxa"/>
            <w:vAlign w:val="bottom"/>
            <w:vMerge w:val="restart"/>
          </w:tcPr>
          <w:p>
            <w:pPr>
              <w:jc w:val="right"/>
              <w:ind w:right="125"/>
              <w:spacing w:after="0"/>
              <w:rPr>
                <w:sz w:val="20"/>
                <w:szCs w:val="20"/>
                <w:color w:val="auto"/>
              </w:rPr>
            </w:pPr>
            <w:r>
              <w:rPr>
                <w:rFonts w:ascii="Arial" w:cs="Arial" w:eastAsia="Arial" w:hAnsi="Arial"/>
                <w:sz w:val="11"/>
                <w:szCs w:val="11"/>
                <w:color w:val="auto"/>
                <w:w w:val="97"/>
              </w:rPr>
              <w:t>460</w:t>
            </w:r>
          </w:p>
        </w:tc>
        <w:tc>
          <w:tcPr>
            <w:tcW w:w="860" w:type="dxa"/>
            <w:vAlign w:val="bottom"/>
            <w:vMerge w:val="restart"/>
          </w:tcPr>
          <w:p>
            <w:pPr>
              <w:jc w:val="right"/>
              <w:ind w:right="585"/>
              <w:spacing w:after="0"/>
              <w:rPr>
                <w:sz w:val="20"/>
                <w:szCs w:val="20"/>
                <w:color w:val="auto"/>
              </w:rPr>
            </w:pPr>
            <w:r>
              <w:rPr>
                <w:rFonts w:ascii="Arial" w:cs="Arial" w:eastAsia="Arial" w:hAnsi="Arial"/>
                <w:sz w:val="11"/>
                <w:szCs w:val="11"/>
                <w:color w:val="auto"/>
              </w:rPr>
              <w:t>$</w:t>
            </w:r>
          </w:p>
        </w:tc>
        <w:tc>
          <w:tcPr>
            <w:tcW w:w="380" w:type="dxa"/>
            <w:vAlign w:val="bottom"/>
            <w:vMerge w:val="restart"/>
          </w:tcPr>
          <w:p>
            <w:pPr>
              <w:jc w:val="right"/>
              <w:ind w:right="105"/>
              <w:spacing w:after="0"/>
              <w:rPr>
                <w:sz w:val="20"/>
                <w:szCs w:val="20"/>
                <w:color w:val="auto"/>
              </w:rPr>
            </w:pPr>
            <w:r>
              <w:rPr>
                <w:rFonts w:ascii="Arial" w:cs="Arial" w:eastAsia="Arial" w:hAnsi="Arial"/>
                <w:sz w:val="11"/>
                <w:szCs w:val="11"/>
                <w:color w:val="auto"/>
              </w:rPr>
              <w:t>―</w:t>
            </w:r>
          </w:p>
        </w:tc>
        <w:tc>
          <w:tcPr>
            <w:tcW w:w="380" w:type="dxa"/>
            <w:vAlign w:val="bottom"/>
            <w:vMerge w:val="restart"/>
          </w:tcPr>
          <w:p>
            <w:pPr>
              <w:jc w:val="right"/>
              <w:ind w:right="85"/>
              <w:spacing w:after="0"/>
              <w:rPr>
                <w:sz w:val="20"/>
                <w:szCs w:val="20"/>
                <w:color w:val="auto"/>
              </w:rPr>
            </w:pPr>
            <w:r>
              <w:rPr>
                <w:rFonts w:ascii="Arial" w:cs="Arial" w:eastAsia="Arial" w:hAnsi="Arial"/>
                <w:sz w:val="11"/>
                <w:szCs w:val="11"/>
                <w:color w:val="auto"/>
              </w:rPr>
              <w:t>$</w:t>
            </w:r>
          </w:p>
        </w:tc>
        <w:tc>
          <w:tcPr>
            <w:tcW w:w="1040" w:type="dxa"/>
            <w:vAlign w:val="bottom"/>
            <w:vMerge w:val="restart"/>
          </w:tcPr>
          <w:p>
            <w:pPr>
              <w:jc w:val="right"/>
              <w:ind w:right="285"/>
              <w:spacing w:after="0"/>
              <w:rPr>
                <w:sz w:val="20"/>
                <w:szCs w:val="20"/>
                <w:color w:val="auto"/>
              </w:rPr>
            </w:pPr>
            <w:r>
              <w:rPr>
                <w:rFonts w:ascii="Arial" w:cs="Arial" w:eastAsia="Arial" w:hAnsi="Arial"/>
                <w:sz w:val="11"/>
                <w:szCs w:val="11"/>
                <w:color w:val="auto"/>
              </w:rPr>
              <w:t>―</w:t>
            </w:r>
          </w:p>
        </w:tc>
        <w:tc>
          <w:tcPr>
            <w:tcW w:w="220" w:type="dxa"/>
            <w:vAlign w:val="bottom"/>
            <w:vMerge w:val="restart"/>
          </w:tcPr>
          <w:p>
            <w:pPr>
              <w:jc w:val="right"/>
              <w:ind w:right="85"/>
              <w:spacing w:after="0"/>
              <w:rPr>
                <w:sz w:val="20"/>
                <w:szCs w:val="20"/>
                <w:color w:val="auto"/>
              </w:rPr>
            </w:pPr>
            <w:r>
              <w:rPr>
                <w:rFonts w:ascii="Arial" w:cs="Arial" w:eastAsia="Arial" w:hAnsi="Arial"/>
                <w:sz w:val="11"/>
                <w:szCs w:val="11"/>
                <w:color w:val="auto"/>
                <w:w w:val="97"/>
              </w:rPr>
              <w:t>$</w:t>
            </w:r>
          </w:p>
        </w:tc>
        <w:tc>
          <w:tcPr>
            <w:tcW w:w="1020" w:type="dxa"/>
            <w:vAlign w:val="bottom"/>
            <w:vMerge w:val="restart"/>
          </w:tcPr>
          <w:p>
            <w:pPr>
              <w:ind w:left="720"/>
              <w:spacing w:after="0"/>
              <w:rPr>
                <w:sz w:val="20"/>
                <w:szCs w:val="20"/>
                <w:color w:val="auto"/>
              </w:rPr>
            </w:pPr>
            <w:r>
              <w:rPr>
                <w:rFonts w:ascii="Arial" w:cs="Arial" w:eastAsia="Arial" w:hAnsi="Arial"/>
                <w:sz w:val="11"/>
                <w:szCs w:val="11"/>
                <w:color w:val="auto"/>
              </w:rPr>
              <w:t>―</w:t>
            </w:r>
          </w:p>
        </w:tc>
        <w:tc>
          <w:tcPr>
            <w:tcW w:w="400" w:type="dxa"/>
            <w:vAlign w:val="bottom"/>
            <w:vMerge w:val="restart"/>
          </w:tcPr>
          <w:p>
            <w:pPr>
              <w:jc w:val="right"/>
              <w:ind w:right="125"/>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460</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9"/>
                <w:szCs w:val="9"/>
                <w:color w:val="auto"/>
              </w:rPr>
            </w:pPr>
          </w:p>
        </w:tc>
        <w:tc>
          <w:tcPr>
            <w:tcW w:w="4760" w:type="dxa"/>
            <w:vAlign w:val="bottom"/>
          </w:tcPr>
          <w:p>
            <w:pPr>
              <w:ind w:left="20"/>
              <w:spacing w:after="0" w:line="93" w:lineRule="exact"/>
              <w:rPr>
                <w:sz w:val="20"/>
                <w:szCs w:val="20"/>
                <w:color w:val="auto"/>
              </w:rPr>
            </w:pPr>
            <w:r>
              <w:rPr>
                <w:rFonts w:ascii="Arial" w:cs="Arial" w:eastAsia="Arial" w:hAnsi="Arial"/>
                <w:sz w:val="10"/>
                <w:szCs w:val="10"/>
                <w:color w:val="auto"/>
              </w:rPr>
              <w:t>Equity securities</w:t>
            </w:r>
          </w:p>
        </w:tc>
        <w:tc>
          <w:tcPr>
            <w:tcW w:w="1020" w:type="dxa"/>
            <w:vAlign w:val="bottom"/>
            <w:tcBorders>
              <w:bottom w:val="single" w:sz="8" w:color="auto"/>
            </w:tcBorders>
            <w:vMerge w:val="continue"/>
          </w:tcPr>
          <w:p>
            <w:pPr>
              <w:spacing w:after="0"/>
              <w:rPr>
                <w:sz w:val="9"/>
                <w:szCs w:val="9"/>
                <w:color w:val="auto"/>
              </w:rPr>
            </w:pPr>
          </w:p>
        </w:tc>
        <w:tc>
          <w:tcPr>
            <w:tcW w:w="380" w:type="dxa"/>
            <w:vAlign w:val="bottom"/>
            <w:tcBorders>
              <w:bottom w:val="single" w:sz="8" w:color="auto"/>
            </w:tcBorders>
            <w:vMerge w:val="continue"/>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380" w:type="dxa"/>
            <w:vAlign w:val="bottom"/>
            <w:tcBorders>
              <w:bottom w:val="single" w:sz="8" w:color="auto"/>
            </w:tcBorders>
            <w:vMerge w:val="continue"/>
          </w:tcPr>
          <w:p>
            <w:pPr>
              <w:spacing w:after="0"/>
              <w:rPr>
                <w:sz w:val="9"/>
                <w:szCs w:val="9"/>
                <w:color w:val="auto"/>
              </w:rPr>
            </w:pPr>
          </w:p>
        </w:tc>
        <w:tc>
          <w:tcPr>
            <w:tcW w:w="380" w:type="dxa"/>
            <w:vAlign w:val="bottom"/>
            <w:tcBorders>
              <w:bottom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220" w:type="dxa"/>
            <w:vAlign w:val="bottom"/>
            <w:tcBorders>
              <w:bottom w:val="single" w:sz="8" w:color="auto"/>
            </w:tcBorders>
            <w:vMerge w:val="continue"/>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400" w:type="dxa"/>
            <w:vAlign w:val="bottom"/>
            <w:tcBorders>
              <w:bottom w:val="single" w:sz="8" w:color="auto"/>
            </w:tcBorders>
            <w:vMerge w:val="continue"/>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80" w:type="dxa"/>
            <w:vAlign w:val="bottom"/>
          </w:tcPr>
          <w:p>
            <w:pPr>
              <w:spacing w:after="0"/>
              <w:rPr>
                <w:sz w:val="11"/>
                <w:szCs w:val="11"/>
                <w:color w:val="auto"/>
              </w:rPr>
            </w:pPr>
          </w:p>
        </w:tc>
        <w:tc>
          <w:tcPr>
            <w:tcW w:w="4760" w:type="dxa"/>
            <w:vAlign w:val="bottom"/>
          </w:tcPr>
          <w:p>
            <w:pPr>
              <w:ind w:left="20"/>
              <w:spacing w:after="0"/>
              <w:rPr>
                <w:sz w:val="20"/>
                <w:szCs w:val="20"/>
                <w:color w:val="auto"/>
              </w:rPr>
            </w:pPr>
            <w:r>
              <w:rPr>
                <w:rFonts w:ascii="Arial" w:cs="Arial" w:eastAsia="Arial" w:hAnsi="Arial"/>
                <w:sz w:val="11"/>
                <w:szCs w:val="11"/>
                <w:color w:val="auto"/>
              </w:rPr>
              <w:t>Debt securities:</w:t>
            </w: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4760" w:type="dxa"/>
            <w:vAlign w:val="bottom"/>
          </w:tcPr>
          <w:p>
            <w:pPr>
              <w:ind w:left="160"/>
              <w:spacing w:after="0" w:line="124" w:lineRule="exact"/>
              <w:rPr>
                <w:sz w:val="20"/>
                <w:szCs w:val="20"/>
                <w:color w:val="auto"/>
              </w:rPr>
            </w:pPr>
            <w:r>
              <w:rPr>
                <w:rFonts w:ascii="Arial" w:cs="Arial" w:eastAsia="Arial" w:hAnsi="Arial"/>
                <w:sz w:val="11"/>
                <w:szCs w:val="11"/>
                <w:color w:val="auto"/>
              </w:rPr>
              <w:t>Debt securities issued by the U.S. Treasury and other</w:t>
            </w: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4760" w:type="dxa"/>
            <w:vAlign w:val="bottom"/>
          </w:tcPr>
          <w:p>
            <w:pPr>
              <w:ind w:left="300"/>
              <w:spacing w:after="0" w:line="124" w:lineRule="exact"/>
              <w:rPr>
                <w:sz w:val="20"/>
                <w:szCs w:val="20"/>
                <w:color w:val="auto"/>
              </w:rPr>
            </w:pPr>
            <w:r>
              <w:rPr>
                <w:rFonts w:ascii="Arial" w:cs="Arial" w:eastAsia="Arial" w:hAnsi="Arial"/>
                <w:sz w:val="11"/>
                <w:szCs w:val="11"/>
                <w:color w:val="auto"/>
              </w:rPr>
              <w:t>U.S. government corporations and agencies</w:t>
            </w:r>
          </w:p>
        </w:tc>
        <w:tc>
          <w:tcPr>
            <w:tcW w:w="1020" w:type="dxa"/>
            <w:vAlign w:val="bottom"/>
          </w:tcPr>
          <w:p>
            <w:pPr>
              <w:spacing w:after="0"/>
              <w:rPr>
                <w:sz w:val="10"/>
                <w:szCs w:val="10"/>
                <w:color w:val="auto"/>
              </w:rPr>
            </w:pPr>
          </w:p>
        </w:tc>
        <w:tc>
          <w:tcPr>
            <w:tcW w:w="380" w:type="dxa"/>
            <w:vAlign w:val="bottom"/>
          </w:tcPr>
          <w:p>
            <w:pPr>
              <w:jc w:val="right"/>
              <w:ind w:right="125"/>
              <w:spacing w:after="0" w:line="124" w:lineRule="exact"/>
              <w:rPr>
                <w:sz w:val="20"/>
                <w:szCs w:val="20"/>
                <w:color w:val="auto"/>
              </w:rPr>
            </w:pPr>
            <w:r>
              <w:rPr>
                <w:rFonts w:ascii="Arial" w:cs="Arial" w:eastAsia="Arial" w:hAnsi="Arial"/>
                <w:sz w:val="11"/>
                <w:szCs w:val="11"/>
                <w:color w:val="auto"/>
                <w:w w:val="97"/>
              </w:rPr>
              <w:t>144</w:t>
            </w:r>
          </w:p>
        </w:tc>
        <w:tc>
          <w:tcPr>
            <w:tcW w:w="860" w:type="dxa"/>
            <w:vAlign w:val="bottom"/>
          </w:tcPr>
          <w:p>
            <w:pPr>
              <w:spacing w:after="0"/>
              <w:rPr>
                <w:sz w:val="10"/>
                <w:szCs w:val="10"/>
                <w:color w:val="auto"/>
              </w:rPr>
            </w:pPr>
          </w:p>
        </w:tc>
        <w:tc>
          <w:tcPr>
            <w:tcW w:w="380" w:type="dxa"/>
            <w:vAlign w:val="bottom"/>
          </w:tcPr>
          <w:p>
            <w:pPr>
              <w:jc w:val="right"/>
              <w:ind w:right="105"/>
              <w:spacing w:after="0" w:line="124" w:lineRule="exact"/>
              <w:rPr>
                <w:sz w:val="20"/>
                <w:szCs w:val="20"/>
                <w:color w:val="auto"/>
              </w:rPr>
            </w:pPr>
            <w:r>
              <w:rPr>
                <w:rFonts w:ascii="Arial" w:cs="Arial" w:eastAsia="Arial" w:hAnsi="Arial"/>
                <w:sz w:val="11"/>
                <w:szCs w:val="11"/>
                <w:color w:val="auto"/>
              </w:rPr>
              <w:t>30</w:t>
            </w:r>
          </w:p>
        </w:tc>
        <w:tc>
          <w:tcPr>
            <w:tcW w:w="380" w:type="dxa"/>
            <w:vAlign w:val="bottom"/>
          </w:tcPr>
          <w:p>
            <w:pPr>
              <w:spacing w:after="0"/>
              <w:rPr>
                <w:sz w:val="10"/>
                <w:szCs w:val="10"/>
                <w:color w:val="auto"/>
              </w:rPr>
            </w:pPr>
          </w:p>
        </w:tc>
        <w:tc>
          <w:tcPr>
            <w:tcW w:w="1040" w:type="dxa"/>
            <w:vAlign w:val="bottom"/>
          </w:tcPr>
          <w:p>
            <w:pPr>
              <w:jc w:val="right"/>
              <w:ind w:right="285"/>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020" w:type="dxa"/>
            <w:vAlign w:val="bottom"/>
          </w:tcPr>
          <w:p>
            <w:pPr>
              <w:ind w:left="720"/>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spacing w:after="0"/>
              <w:rPr>
                <w:sz w:val="10"/>
                <w:szCs w:val="10"/>
                <w:color w:val="auto"/>
              </w:rPr>
            </w:pPr>
          </w:p>
        </w:tc>
        <w:tc>
          <w:tcPr>
            <w:tcW w:w="720" w:type="dxa"/>
            <w:vAlign w:val="bottom"/>
          </w:tcPr>
          <w:p>
            <w:pPr>
              <w:jc w:val="right"/>
              <w:spacing w:after="0" w:line="124" w:lineRule="exact"/>
              <w:rPr>
                <w:sz w:val="20"/>
                <w:szCs w:val="20"/>
                <w:color w:val="auto"/>
              </w:rPr>
            </w:pPr>
            <w:r>
              <w:rPr>
                <w:rFonts w:ascii="Arial" w:cs="Arial" w:eastAsia="Arial" w:hAnsi="Arial"/>
                <w:sz w:val="11"/>
                <w:szCs w:val="11"/>
                <w:color w:val="auto"/>
              </w:rPr>
              <w:t>174</w:t>
            </w: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4760" w:type="dxa"/>
            <w:vAlign w:val="bottom"/>
          </w:tcPr>
          <w:p>
            <w:pPr>
              <w:ind w:left="160"/>
              <w:spacing w:after="0" w:line="124" w:lineRule="exact"/>
              <w:rPr>
                <w:sz w:val="20"/>
                <w:szCs w:val="20"/>
                <w:color w:val="auto"/>
              </w:rPr>
            </w:pPr>
            <w:r>
              <w:rPr>
                <w:rFonts w:ascii="Arial" w:cs="Arial" w:eastAsia="Arial" w:hAnsi="Arial"/>
                <w:sz w:val="11"/>
                <w:szCs w:val="11"/>
                <w:color w:val="auto"/>
              </w:rPr>
              <w:t>Municipal bonds</w:t>
            </w:r>
          </w:p>
        </w:tc>
        <w:tc>
          <w:tcPr>
            <w:tcW w:w="1020" w:type="dxa"/>
            <w:vAlign w:val="bottom"/>
          </w:tcPr>
          <w:p>
            <w:pPr>
              <w:spacing w:after="0"/>
              <w:rPr>
                <w:sz w:val="10"/>
                <w:szCs w:val="10"/>
                <w:color w:val="auto"/>
              </w:rPr>
            </w:pPr>
          </w:p>
        </w:tc>
        <w:tc>
          <w:tcPr>
            <w:tcW w:w="38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w:t>
            </w:r>
          </w:p>
        </w:tc>
        <w:tc>
          <w:tcPr>
            <w:tcW w:w="860" w:type="dxa"/>
            <w:vAlign w:val="bottom"/>
          </w:tcPr>
          <w:p>
            <w:pPr>
              <w:spacing w:after="0"/>
              <w:rPr>
                <w:sz w:val="10"/>
                <w:szCs w:val="10"/>
                <w:color w:val="auto"/>
              </w:rPr>
            </w:pPr>
          </w:p>
        </w:tc>
        <w:tc>
          <w:tcPr>
            <w:tcW w:w="380" w:type="dxa"/>
            <w:vAlign w:val="bottom"/>
          </w:tcPr>
          <w:p>
            <w:pPr>
              <w:jc w:val="right"/>
              <w:ind w:right="105"/>
              <w:spacing w:after="0" w:line="124" w:lineRule="exact"/>
              <w:rPr>
                <w:sz w:val="20"/>
                <w:szCs w:val="20"/>
                <w:color w:val="auto"/>
              </w:rPr>
            </w:pPr>
            <w:r>
              <w:rPr>
                <w:rFonts w:ascii="Arial" w:cs="Arial" w:eastAsia="Arial" w:hAnsi="Arial"/>
                <w:sz w:val="11"/>
                <w:szCs w:val="11"/>
                <w:color w:val="auto"/>
              </w:rPr>
              <w:t>100</w:t>
            </w:r>
          </w:p>
        </w:tc>
        <w:tc>
          <w:tcPr>
            <w:tcW w:w="380" w:type="dxa"/>
            <w:vAlign w:val="bottom"/>
          </w:tcPr>
          <w:p>
            <w:pPr>
              <w:spacing w:after="0"/>
              <w:rPr>
                <w:sz w:val="10"/>
                <w:szCs w:val="10"/>
                <w:color w:val="auto"/>
              </w:rPr>
            </w:pPr>
          </w:p>
        </w:tc>
        <w:tc>
          <w:tcPr>
            <w:tcW w:w="1040" w:type="dxa"/>
            <w:vAlign w:val="bottom"/>
          </w:tcPr>
          <w:p>
            <w:pPr>
              <w:jc w:val="right"/>
              <w:ind w:right="285"/>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020" w:type="dxa"/>
            <w:vAlign w:val="bottom"/>
          </w:tcPr>
          <w:p>
            <w:pPr>
              <w:ind w:left="720"/>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spacing w:after="0"/>
              <w:rPr>
                <w:sz w:val="10"/>
                <w:szCs w:val="10"/>
                <w:color w:val="auto"/>
              </w:rPr>
            </w:pPr>
          </w:p>
        </w:tc>
        <w:tc>
          <w:tcPr>
            <w:tcW w:w="720" w:type="dxa"/>
            <w:vAlign w:val="bottom"/>
          </w:tcPr>
          <w:p>
            <w:pPr>
              <w:jc w:val="right"/>
              <w:spacing w:after="0" w:line="124" w:lineRule="exact"/>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4760" w:type="dxa"/>
            <w:vAlign w:val="bottom"/>
          </w:tcPr>
          <w:p>
            <w:pPr>
              <w:ind w:left="160"/>
              <w:spacing w:after="0" w:line="101" w:lineRule="exact"/>
              <w:rPr>
                <w:sz w:val="20"/>
                <w:szCs w:val="20"/>
                <w:color w:val="auto"/>
              </w:rPr>
            </w:pPr>
            <w:r>
              <w:rPr>
                <w:rFonts w:ascii="Arial" w:cs="Arial" w:eastAsia="Arial" w:hAnsi="Arial"/>
                <w:sz w:val="11"/>
                <w:szCs w:val="11"/>
                <w:color w:val="auto"/>
              </w:rPr>
              <w:t>Other securities</w:t>
            </w:r>
          </w:p>
        </w:tc>
        <w:tc>
          <w:tcPr>
            <w:tcW w:w="10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25"/>
              <w:spacing w:after="0" w:line="101" w:lineRule="exact"/>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05"/>
              <w:spacing w:after="0" w:line="101" w:lineRule="exact"/>
              <w:rPr>
                <w:sz w:val="20"/>
                <w:szCs w:val="20"/>
                <w:color w:val="auto"/>
              </w:rPr>
            </w:pPr>
            <w:r>
              <w:rPr>
                <w:rFonts w:ascii="Arial" w:cs="Arial" w:eastAsia="Arial" w:hAnsi="Arial"/>
                <w:sz w:val="11"/>
                <w:szCs w:val="11"/>
                <w:color w:val="auto"/>
              </w:rPr>
              <w:t>25</w:t>
            </w:r>
          </w:p>
        </w:tc>
        <w:tc>
          <w:tcPr>
            <w:tcW w:w="3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285"/>
              <w:spacing w:after="0" w:line="101" w:lineRule="exact"/>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ind w:left="720"/>
              <w:spacing w:after="0" w:line="101" w:lineRule="exact"/>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4760" w:type="dxa"/>
            <w:vAlign w:val="bottom"/>
          </w:tcPr>
          <w:p>
            <w:pPr>
              <w:ind w:left="20"/>
              <w:spacing w:after="0" w:line="104" w:lineRule="exact"/>
              <w:rPr>
                <w:sz w:val="20"/>
                <w:szCs w:val="20"/>
                <w:color w:val="auto"/>
              </w:rPr>
            </w:pPr>
            <w:r>
              <w:rPr>
                <w:rFonts w:ascii="Arial" w:cs="Arial" w:eastAsia="Arial" w:hAnsi="Arial"/>
                <w:sz w:val="11"/>
                <w:szCs w:val="11"/>
                <w:color w:val="auto"/>
              </w:rPr>
              <w:t>Total debt securities</w:t>
            </w:r>
          </w:p>
        </w:tc>
        <w:tc>
          <w:tcPr>
            <w:tcW w:w="10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25"/>
              <w:spacing w:after="0" w:line="104" w:lineRule="exact"/>
              <w:rPr>
                <w:sz w:val="20"/>
                <w:szCs w:val="20"/>
                <w:color w:val="auto"/>
              </w:rPr>
            </w:pPr>
            <w:r>
              <w:rPr>
                <w:rFonts w:ascii="Arial" w:cs="Arial" w:eastAsia="Arial" w:hAnsi="Arial"/>
                <w:sz w:val="11"/>
                <w:szCs w:val="11"/>
                <w:color w:val="auto"/>
                <w:w w:val="97"/>
              </w:rPr>
              <w:t>144</w:t>
            </w:r>
          </w:p>
        </w:tc>
        <w:tc>
          <w:tcPr>
            <w:tcW w:w="8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05"/>
              <w:spacing w:after="0" w:line="104" w:lineRule="exact"/>
              <w:rPr>
                <w:sz w:val="20"/>
                <w:szCs w:val="20"/>
                <w:color w:val="auto"/>
              </w:rPr>
            </w:pPr>
            <w:r>
              <w:rPr>
                <w:rFonts w:ascii="Arial" w:cs="Arial" w:eastAsia="Arial" w:hAnsi="Arial"/>
                <w:sz w:val="11"/>
                <w:szCs w:val="11"/>
                <w:color w:val="auto"/>
              </w:rPr>
              <w:t>155</w:t>
            </w:r>
          </w:p>
        </w:tc>
        <w:tc>
          <w:tcPr>
            <w:tcW w:w="3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285"/>
              <w:spacing w:after="0" w:line="104" w:lineRule="exact"/>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ind w:left="720"/>
              <w:spacing w:after="0" w:line="104" w:lineRule="exact"/>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04" w:lineRule="exact"/>
              <w:rPr>
                <w:sz w:val="20"/>
                <w:szCs w:val="20"/>
                <w:color w:val="auto"/>
              </w:rPr>
            </w:pPr>
            <w:r>
              <w:rPr>
                <w:rFonts w:ascii="Arial" w:cs="Arial" w:eastAsia="Arial" w:hAnsi="Arial"/>
                <w:sz w:val="11"/>
                <w:szCs w:val="11"/>
                <w:color w:val="auto"/>
              </w:rPr>
              <w:t>299</w:t>
            </w:r>
          </w:p>
        </w:tc>
        <w:tc>
          <w:tcPr>
            <w:tcW w:w="0" w:type="dxa"/>
            <w:vAlign w:val="bottom"/>
          </w:tcPr>
          <w:p>
            <w:pPr>
              <w:spacing w:after="0"/>
              <w:rPr>
                <w:sz w:val="1"/>
                <w:szCs w:val="1"/>
                <w:color w:val="auto"/>
              </w:rPr>
            </w:pPr>
          </w:p>
        </w:tc>
      </w:tr>
      <w:tr>
        <w:trPr>
          <w:trHeight w:val="125"/>
        </w:trPr>
        <w:tc>
          <w:tcPr>
            <w:tcW w:w="5040" w:type="dxa"/>
            <w:vAlign w:val="bottom"/>
            <w:gridSpan w:val="2"/>
          </w:tcPr>
          <w:p>
            <w:pPr>
              <w:ind w:left="120"/>
              <w:spacing w:after="0" w:line="104" w:lineRule="exact"/>
              <w:rPr>
                <w:sz w:val="20"/>
                <w:szCs w:val="20"/>
                <w:color w:val="auto"/>
              </w:rPr>
            </w:pPr>
            <w:r>
              <w:rPr>
                <w:rFonts w:ascii="Arial" w:cs="Arial" w:eastAsia="Arial" w:hAnsi="Arial"/>
                <w:sz w:val="11"/>
                <w:szCs w:val="11"/>
                <w:color w:val="auto"/>
              </w:rPr>
              <w:t>Total nuclear decommissioning trusts(1)</w:t>
            </w:r>
          </w:p>
        </w:tc>
        <w:tc>
          <w:tcPr>
            <w:tcW w:w="10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25"/>
              <w:spacing w:after="0" w:line="104" w:lineRule="exact"/>
              <w:rPr>
                <w:sz w:val="20"/>
                <w:szCs w:val="20"/>
                <w:color w:val="auto"/>
              </w:rPr>
            </w:pPr>
            <w:r>
              <w:rPr>
                <w:rFonts w:ascii="Arial" w:cs="Arial" w:eastAsia="Arial" w:hAnsi="Arial"/>
                <w:sz w:val="11"/>
                <w:szCs w:val="11"/>
                <w:color w:val="auto"/>
                <w:w w:val="97"/>
              </w:rPr>
              <w:t>604</w:t>
            </w:r>
          </w:p>
        </w:tc>
        <w:tc>
          <w:tcPr>
            <w:tcW w:w="8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05"/>
              <w:spacing w:after="0" w:line="104" w:lineRule="exact"/>
              <w:rPr>
                <w:sz w:val="20"/>
                <w:szCs w:val="20"/>
                <w:color w:val="auto"/>
              </w:rPr>
            </w:pPr>
            <w:r>
              <w:rPr>
                <w:rFonts w:ascii="Arial" w:cs="Arial" w:eastAsia="Arial" w:hAnsi="Arial"/>
                <w:sz w:val="11"/>
                <w:szCs w:val="11"/>
                <w:color w:val="auto"/>
              </w:rPr>
              <w:t>155</w:t>
            </w:r>
          </w:p>
        </w:tc>
        <w:tc>
          <w:tcPr>
            <w:tcW w:w="3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285"/>
              <w:spacing w:after="0" w:line="104" w:lineRule="exact"/>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ind w:left="720"/>
              <w:spacing w:after="0" w:line="104" w:lineRule="exact"/>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04" w:lineRule="exact"/>
              <w:rPr>
                <w:sz w:val="20"/>
                <w:szCs w:val="20"/>
                <w:color w:val="auto"/>
              </w:rPr>
            </w:pPr>
            <w:r>
              <w:rPr>
                <w:rFonts w:ascii="Arial" w:cs="Arial" w:eastAsia="Arial" w:hAnsi="Arial"/>
                <w:sz w:val="11"/>
                <w:szCs w:val="11"/>
                <w:color w:val="auto"/>
              </w:rPr>
              <w:t>759</w:t>
            </w:r>
          </w:p>
        </w:tc>
        <w:tc>
          <w:tcPr>
            <w:tcW w:w="0" w:type="dxa"/>
            <w:vAlign w:val="bottom"/>
          </w:tcPr>
          <w:p>
            <w:pPr>
              <w:spacing w:after="0"/>
              <w:rPr>
                <w:sz w:val="1"/>
                <w:szCs w:val="1"/>
                <w:color w:val="auto"/>
              </w:rPr>
            </w:pPr>
          </w:p>
        </w:tc>
      </w:tr>
      <w:tr>
        <w:trPr>
          <w:trHeight w:val="128"/>
        </w:trPr>
        <w:tc>
          <w:tcPr>
            <w:tcW w:w="5040" w:type="dxa"/>
            <w:vAlign w:val="bottom"/>
            <w:gridSpan w:val="2"/>
          </w:tcPr>
          <w:p>
            <w:pPr>
              <w:ind w:left="120"/>
              <w:spacing w:after="0"/>
              <w:rPr>
                <w:sz w:val="20"/>
                <w:szCs w:val="20"/>
                <w:color w:val="auto"/>
              </w:rPr>
            </w:pPr>
            <w:r>
              <w:rPr>
                <w:rFonts w:ascii="Arial" w:cs="Arial" w:eastAsia="Arial" w:hAnsi="Arial"/>
                <w:sz w:val="11"/>
                <w:szCs w:val="11"/>
                <w:color w:val="auto"/>
              </w:rPr>
              <w:t>Interest rate instruments</w:t>
            </w:r>
          </w:p>
        </w:tc>
        <w:tc>
          <w:tcPr>
            <w:tcW w:w="1020" w:type="dxa"/>
            <w:vAlign w:val="bottom"/>
          </w:tcPr>
          <w:p>
            <w:pPr>
              <w:spacing w:after="0"/>
              <w:rPr>
                <w:sz w:val="11"/>
                <w:szCs w:val="11"/>
                <w:color w:val="auto"/>
              </w:rPr>
            </w:pPr>
          </w:p>
        </w:tc>
        <w:tc>
          <w:tcPr>
            <w:tcW w:w="380" w:type="dxa"/>
            <w:vAlign w:val="bottom"/>
          </w:tcPr>
          <w:p>
            <w:pPr>
              <w:jc w:val="right"/>
              <w:ind w:right="125"/>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1"/>
                <w:szCs w:val="11"/>
                <w:color w:val="auto"/>
              </w:rPr>
            </w:pPr>
          </w:p>
        </w:tc>
        <w:tc>
          <w:tcPr>
            <w:tcW w:w="380" w:type="dxa"/>
            <w:vAlign w:val="bottom"/>
          </w:tcPr>
          <w:p>
            <w:pPr>
              <w:jc w:val="right"/>
              <w:ind w:right="105"/>
              <w:spacing w:after="0"/>
              <w:rPr>
                <w:sz w:val="20"/>
                <w:szCs w:val="20"/>
                <w:color w:val="auto"/>
              </w:rPr>
            </w:pPr>
            <w:r>
              <w:rPr>
                <w:rFonts w:ascii="Arial" w:cs="Arial" w:eastAsia="Arial" w:hAnsi="Arial"/>
                <w:sz w:val="11"/>
                <w:szCs w:val="11"/>
                <w:color w:val="auto"/>
              </w:rPr>
              <w:t>34</w:t>
            </w:r>
          </w:p>
        </w:tc>
        <w:tc>
          <w:tcPr>
            <w:tcW w:w="380" w:type="dxa"/>
            <w:vAlign w:val="bottom"/>
          </w:tcPr>
          <w:p>
            <w:pPr>
              <w:spacing w:after="0"/>
              <w:rPr>
                <w:sz w:val="11"/>
                <w:szCs w:val="11"/>
                <w:color w:val="auto"/>
              </w:rPr>
            </w:pPr>
          </w:p>
        </w:tc>
        <w:tc>
          <w:tcPr>
            <w:tcW w:w="1040" w:type="dxa"/>
            <w:vAlign w:val="bottom"/>
          </w:tcPr>
          <w:p>
            <w:pPr>
              <w:jc w:val="right"/>
              <w:ind w:right="28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20" w:type="dxa"/>
            <w:vAlign w:val="bottom"/>
          </w:tcPr>
          <w:p>
            <w:pPr>
              <w:ind w:left="7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24"/>
        </w:trPr>
        <w:tc>
          <w:tcPr>
            <w:tcW w:w="5040" w:type="dxa"/>
            <w:vAlign w:val="bottom"/>
            <w:gridSpan w:val="2"/>
          </w:tcPr>
          <w:p>
            <w:pPr>
              <w:ind w:left="120"/>
              <w:spacing w:after="0" w:line="124" w:lineRule="exact"/>
              <w:rPr>
                <w:sz w:val="20"/>
                <w:szCs w:val="20"/>
                <w:color w:val="auto"/>
              </w:rPr>
            </w:pPr>
            <w:r>
              <w:rPr>
                <w:rFonts w:ascii="Arial" w:cs="Arial" w:eastAsia="Arial" w:hAnsi="Arial"/>
                <w:sz w:val="11"/>
                <w:szCs w:val="11"/>
                <w:color w:val="auto"/>
              </w:rPr>
              <w:t>Commodity contracts subject to rate recovery</w:t>
            </w:r>
          </w:p>
        </w:tc>
        <w:tc>
          <w:tcPr>
            <w:tcW w:w="1020" w:type="dxa"/>
            <w:vAlign w:val="bottom"/>
          </w:tcPr>
          <w:p>
            <w:pPr>
              <w:spacing w:after="0"/>
              <w:rPr>
                <w:sz w:val="10"/>
                <w:szCs w:val="10"/>
                <w:color w:val="auto"/>
              </w:rPr>
            </w:pPr>
          </w:p>
        </w:tc>
        <w:tc>
          <w:tcPr>
            <w:tcW w:w="38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25</w:t>
            </w:r>
          </w:p>
        </w:tc>
        <w:tc>
          <w:tcPr>
            <w:tcW w:w="860" w:type="dxa"/>
            <w:vAlign w:val="bottom"/>
          </w:tcPr>
          <w:p>
            <w:pPr>
              <w:spacing w:after="0"/>
              <w:rPr>
                <w:sz w:val="10"/>
                <w:szCs w:val="10"/>
                <w:color w:val="auto"/>
              </w:rPr>
            </w:pPr>
          </w:p>
        </w:tc>
        <w:tc>
          <w:tcPr>
            <w:tcW w:w="380" w:type="dxa"/>
            <w:vAlign w:val="bottom"/>
          </w:tcPr>
          <w:p>
            <w:pPr>
              <w:jc w:val="right"/>
              <w:ind w:right="105"/>
              <w:spacing w:after="0" w:line="124" w:lineRule="exact"/>
              <w:rPr>
                <w:sz w:val="20"/>
                <w:szCs w:val="20"/>
                <w:color w:val="auto"/>
              </w:rPr>
            </w:pPr>
            <w:r>
              <w:rPr>
                <w:rFonts w:ascii="Arial" w:cs="Arial" w:eastAsia="Arial" w:hAnsi="Arial"/>
                <w:sz w:val="11"/>
                <w:szCs w:val="11"/>
                <w:color w:val="auto"/>
              </w:rPr>
              <w:t>1</w:t>
            </w:r>
          </w:p>
        </w:tc>
        <w:tc>
          <w:tcPr>
            <w:tcW w:w="380" w:type="dxa"/>
            <w:vAlign w:val="bottom"/>
          </w:tcPr>
          <w:p>
            <w:pPr>
              <w:spacing w:after="0"/>
              <w:rPr>
                <w:sz w:val="10"/>
                <w:szCs w:val="10"/>
                <w:color w:val="auto"/>
              </w:rPr>
            </w:pPr>
          </w:p>
        </w:tc>
        <w:tc>
          <w:tcPr>
            <w:tcW w:w="1040" w:type="dxa"/>
            <w:vAlign w:val="bottom"/>
          </w:tcPr>
          <w:p>
            <w:pPr>
              <w:jc w:val="right"/>
              <w:ind w:right="285"/>
              <w:spacing w:after="0" w:line="124" w:lineRule="exact"/>
              <w:rPr>
                <w:sz w:val="20"/>
                <w:szCs w:val="20"/>
                <w:color w:val="auto"/>
              </w:rPr>
            </w:pPr>
            <w:r>
              <w:rPr>
                <w:rFonts w:ascii="Arial" w:cs="Arial" w:eastAsia="Arial" w:hAnsi="Arial"/>
                <w:sz w:val="11"/>
                <w:szCs w:val="11"/>
                <w:color w:val="auto"/>
              </w:rPr>
              <w:t>2</w:t>
            </w:r>
          </w:p>
        </w:tc>
        <w:tc>
          <w:tcPr>
            <w:tcW w:w="220" w:type="dxa"/>
            <w:vAlign w:val="bottom"/>
          </w:tcPr>
          <w:p>
            <w:pPr>
              <w:spacing w:after="0"/>
              <w:rPr>
                <w:sz w:val="10"/>
                <w:szCs w:val="10"/>
                <w:color w:val="auto"/>
              </w:rPr>
            </w:pPr>
          </w:p>
        </w:tc>
        <w:tc>
          <w:tcPr>
            <w:tcW w:w="1020" w:type="dxa"/>
            <w:vAlign w:val="bottom"/>
          </w:tcPr>
          <w:p>
            <w:pPr>
              <w:ind w:left="720"/>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spacing w:after="0"/>
              <w:rPr>
                <w:sz w:val="10"/>
                <w:szCs w:val="10"/>
                <w:color w:val="auto"/>
              </w:rPr>
            </w:pPr>
          </w:p>
        </w:tc>
        <w:tc>
          <w:tcPr>
            <w:tcW w:w="720" w:type="dxa"/>
            <w:vAlign w:val="bottom"/>
          </w:tcPr>
          <w:p>
            <w:pPr>
              <w:jc w:val="right"/>
              <w:spacing w:after="0" w:line="124" w:lineRule="exact"/>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24"/>
        </w:trPr>
        <w:tc>
          <w:tcPr>
            <w:tcW w:w="5040" w:type="dxa"/>
            <w:vAlign w:val="bottom"/>
            <w:gridSpan w:val="2"/>
          </w:tcPr>
          <w:p>
            <w:pPr>
              <w:ind w:left="120"/>
              <w:spacing w:after="0" w:line="124" w:lineRule="exact"/>
              <w:rPr>
                <w:sz w:val="20"/>
                <w:szCs w:val="20"/>
                <w:color w:val="auto"/>
              </w:rPr>
            </w:pPr>
            <w:r>
              <w:rPr>
                <w:rFonts w:ascii="Arial" w:cs="Arial" w:eastAsia="Arial" w:hAnsi="Arial"/>
                <w:sz w:val="11"/>
                <w:szCs w:val="11"/>
                <w:color w:val="auto"/>
              </w:rPr>
              <w:t>Commodity contracts not subject to rate recovery</w:t>
            </w:r>
          </w:p>
        </w:tc>
        <w:tc>
          <w:tcPr>
            <w:tcW w:w="1020" w:type="dxa"/>
            <w:vAlign w:val="bottom"/>
          </w:tcPr>
          <w:p>
            <w:pPr>
              <w:spacing w:after="0"/>
              <w:rPr>
                <w:sz w:val="10"/>
                <w:szCs w:val="10"/>
                <w:color w:val="auto"/>
              </w:rPr>
            </w:pPr>
          </w:p>
        </w:tc>
        <w:tc>
          <w:tcPr>
            <w:tcW w:w="38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9</w:t>
            </w:r>
          </w:p>
        </w:tc>
        <w:tc>
          <w:tcPr>
            <w:tcW w:w="860" w:type="dxa"/>
            <w:vAlign w:val="bottom"/>
          </w:tcPr>
          <w:p>
            <w:pPr>
              <w:spacing w:after="0"/>
              <w:rPr>
                <w:sz w:val="10"/>
                <w:szCs w:val="10"/>
                <w:color w:val="auto"/>
              </w:rPr>
            </w:pPr>
          </w:p>
        </w:tc>
        <w:tc>
          <w:tcPr>
            <w:tcW w:w="380" w:type="dxa"/>
            <w:vAlign w:val="bottom"/>
          </w:tcPr>
          <w:p>
            <w:pPr>
              <w:jc w:val="right"/>
              <w:ind w:right="105"/>
              <w:spacing w:after="0" w:line="124" w:lineRule="exact"/>
              <w:rPr>
                <w:sz w:val="20"/>
                <w:szCs w:val="20"/>
                <w:color w:val="auto"/>
              </w:rPr>
            </w:pPr>
            <w:r>
              <w:rPr>
                <w:rFonts w:ascii="Arial" w:cs="Arial" w:eastAsia="Arial" w:hAnsi="Arial"/>
                <w:sz w:val="11"/>
                <w:szCs w:val="11"/>
                <w:color w:val="auto"/>
              </w:rPr>
              <w:t>66</w:t>
            </w:r>
          </w:p>
        </w:tc>
        <w:tc>
          <w:tcPr>
            <w:tcW w:w="380" w:type="dxa"/>
            <w:vAlign w:val="bottom"/>
          </w:tcPr>
          <w:p>
            <w:pPr>
              <w:spacing w:after="0"/>
              <w:rPr>
                <w:sz w:val="10"/>
                <w:szCs w:val="10"/>
                <w:color w:val="auto"/>
              </w:rPr>
            </w:pPr>
          </w:p>
        </w:tc>
        <w:tc>
          <w:tcPr>
            <w:tcW w:w="1040" w:type="dxa"/>
            <w:vAlign w:val="bottom"/>
          </w:tcPr>
          <w:p>
            <w:pPr>
              <w:jc w:val="right"/>
              <w:ind w:right="285"/>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020" w:type="dxa"/>
            <w:vAlign w:val="bottom"/>
          </w:tcPr>
          <w:p>
            <w:pPr>
              <w:ind w:left="660"/>
              <w:spacing w:after="0" w:line="124" w:lineRule="exact"/>
              <w:rPr>
                <w:sz w:val="20"/>
                <w:szCs w:val="20"/>
                <w:color w:val="auto"/>
              </w:rPr>
            </w:pPr>
            <w:r>
              <w:rPr>
                <w:rFonts w:ascii="Arial" w:cs="Arial" w:eastAsia="Arial" w:hAnsi="Arial"/>
                <w:sz w:val="11"/>
                <w:szCs w:val="11"/>
                <w:color w:val="auto"/>
              </w:rPr>
              <w:t>(22)</w:t>
            </w:r>
          </w:p>
        </w:tc>
        <w:tc>
          <w:tcPr>
            <w:tcW w:w="400" w:type="dxa"/>
            <w:vAlign w:val="bottom"/>
          </w:tcPr>
          <w:p>
            <w:pPr>
              <w:spacing w:after="0"/>
              <w:rPr>
                <w:sz w:val="10"/>
                <w:szCs w:val="10"/>
                <w:color w:val="auto"/>
              </w:rPr>
            </w:pPr>
          </w:p>
        </w:tc>
        <w:tc>
          <w:tcPr>
            <w:tcW w:w="720" w:type="dxa"/>
            <w:vAlign w:val="bottom"/>
          </w:tcPr>
          <w:p>
            <w:pPr>
              <w:jc w:val="right"/>
              <w:spacing w:after="0" w:line="124" w:lineRule="exact"/>
              <w:rPr>
                <w:sz w:val="20"/>
                <w:szCs w:val="20"/>
                <w:color w:val="auto"/>
              </w:rPr>
            </w:pPr>
            <w:r>
              <w:rPr>
                <w:rFonts w:ascii="Arial" w:cs="Arial" w:eastAsia="Arial" w:hAnsi="Arial"/>
                <w:sz w:val="11"/>
                <w:szCs w:val="11"/>
                <w:color w:val="auto"/>
              </w:rPr>
              <w:t>53</w:t>
            </w:r>
          </w:p>
        </w:tc>
        <w:tc>
          <w:tcPr>
            <w:tcW w:w="0" w:type="dxa"/>
            <w:vAlign w:val="bottom"/>
          </w:tcPr>
          <w:p>
            <w:pPr>
              <w:spacing w:after="0"/>
              <w:rPr>
                <w:sz w:val="1"/>
                <w:szCs w:val="1"/>
                <w:color w:val="auto"/>
              </w:rPr>
            </w:pPr>
          </w:p>
        </w:tc>
      </w:tr>
      <w:tr>
        <w:trPr>
          <w:trHeight w:val="121"/>
        </w:trPr>
        <w:tc>
          <w:tcPr>
            <w:tcW w:w="5040" w:type="dxa"/>
            <w:vAlign w:val="bottom"/>
            <w:gridSpan w:val="2"/>
          </w:tcPr>
          <w:p>
            <w:pPr>
              <w:ind w:left="120"/>
              <w:spacing w:after="0" w:line="101" w:lineRule="exact"/>
              <w:rPr>
                <w:sz w:val="20"/>
                <w:szCs w:val="20"/>
                <w:color w:val="auto"/>
              </w:rPr>
            </w:pPr>
            <w:r>
              <w:rPr>
                <w:rFonts w:ascii="Arial" w:cs="Arial" w:eastAsia="Arial" w:hAnsi="Arial"/>
                <w:sz w:val="11"/>
                <w:szCs w:val="11"/>
                <w:color w:val="auto"/>
              </w:rPr>
              <w:t>Investments</w:t>
            </w:r>
          </w:p>
        </w:tc>
        <w:tc>
          <w:tcPr>
            <w:tcW w:w="10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25"/>
              <w:spacing w:after="0" w:line="101" w:lineRule="exact"/>
              <w:rPr>
                <w:sz w:val="20"/>
                <w:szCs w:val="20"/>
                <w:color w:val="auto"/>
              </w:rPr>
            </w:pPr>
            <w:r>
              <w:rPr>
                <w:rFonts w:ascii="Arial" w:cs="Arial" w:eastAsia="Arial" w:hAnsi="Arial"/>
                <w:sz w:val="11"/>
                <w:szCs w:val="11"/>
                <w:color w:val="auto"/>
              </w:rPr>
              <w:t>1</w:t>
            </w:r>
          </w:p>
        </w:tc>
        <w:tc>
          <w:tcPr>
            <w:tcW w:w="8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05"/>
              <w:spacing w:after="0" w:line="101" w:lineRule="exact"/>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285"/>
              <w:spacing w:after="0" w:line="101" w:lineRule="exact"/>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ind w:left="720"/>
              <w:spacing w:after="0" w:line="101" w:lineRule="exact"/>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25"/>
        </w:trPr>
        <w:tc>
          <w:tcPr>
            <w:tcW w:w="280" w:type="dxa"/>
            <w:vAlign w:val="bottom"/>
          </w:tcPr>
          <w:p>
            <w:pPr>
              <w:spacing w:after="0" w:line="104" w:lineRule="exact"/>
              <w:rPr>
                <w:sz w:val="20"/>
                <w:szCs w:val="20"/>
                <w:color w:val="auto"/>
              </w:rPr>
            </w:pPr>
            <w:r>
              <w:rPr>
                <w:rFonts w:ascii="Arial" w:cs="Arial" w:eastAsia="Arial" w:hAnsi="Arial"/>
                <w:sz w:val="11"/>
                <w:szCs w:val="11"/>
                <w:color w:val="auto"/>
              </w:rPr>
              <w:t>Total</w:t>
            </w:r>
          </w:p>
        </w:tc>
        <w:tc>
          <w:tcPr>
            <w:tcW w:w="4760" w:type="dxa"/>
            <w:vAlign w:val="bottom"/>
          </w:tcPr>
          <w:p>
            <w:pPr>
              <w:spacing w:after="0"/>
              <w:rPr>
                <w:sz w:val="10"/>
                <w:szCs w:val="10"/>
                <w:color w:val="auto"/>
              </w:rPr>
            </w:pPr>
          </w:p>
        </w:tc>
        <w:tc>
          <w:tcPr>
            <w:tcW w:w="1020" w:type="dxa"/>
            <w:vAlign w:val="bottom"/>
            <w:tcBorders>
              <w:bottom w:val="single" w:sz="8" w:color="auto"/>
            </w:tcBorders>
          </w:tcPr>
          <w:p>
            <w:pPr>
              <w:jc w:val="right"/>
              <w:ind w:right="585"/>
              <w:spacing w:after="0" w:line="104" w:lineRule="exact"/>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tcPr>
          <w:p>
            <w:pPr>
              <w:jc w:val="right"/>
              <w:ind w:right="125"/>
              <w:spacing w:after="0" w:line="104" w:lineRule="exact"/>
              <w:rPr>
                <w:sz w:val="20"/>
                <w:szCs w:val="20"/>
                <w:color w:val="auto"/>
              </w:rPr>
            </w:pPr>
            <w:r>
              <w:rPr>
                <w:rFonts w:ascii="Arial" w:cs="Arial" w:eastAsia="Arial" w:hAnsi="Arial"/>
                <w:sz w:val="11"/>
                <w:szCs w:val="11"/>
                <w:color w:val="auto"/>
                <w:w w:val="97"/>
              </w:rPr>
              <w:t>639</w:t>
            </w:r>
          </w:p>
        </w:tc>
        <w:tc>
          <w:tcPr>
            <w:tcW w:w="860" w:type="dxa"/>
            <w:vAlign w:val="bottom"/>
            <w:tcBorders>
              <w:bottom w:val="single" w:sz="8" w:color="auto"/>
            </w:tcBorders>
          </w:tcPr>
          <w:p>
            <w:pPr>
              <w:jc w:val="right"/>
              <w:ind w:right="585"/>
              <w:spacing w:after="0" w:line="104" w:lineRule="exact"/>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tcPr>
          <w:p>
            <w:pPr>
              <w:jc w:val="right"/>
              <w:ind w:right="105"/>
              <w:spacing w:after="0" w:line="104" w:lineRule="exact"/>
              <w:rPr>
                <w:sz w:val="20"/>
                <w:szCs w:val="20"/>
                <w:color w:val="auto"/>
              </w:rPr>
            </w:pPr>
            <w:r>
              <w:rPr>
                <w:rFonts w:ascii="Arial" w:cs="Arial" w:eastAsia="Arial" w:hAnsi="Arial"/>
                <w:sz w:val="11"/>
                <w:szCs w:val="11"/>
                <w:color w:val="auto"/>
              </w:rPr>
              <w:t>256</w:t>
            </w:r>
          </w:p>
        </w:tc>
        <w:tc>
          <w:tcPr>
            <w:tcW w:w="380" w:type="dxa"/>
            <w:vAlign w:val="bottom"/>
            <w:tcBorders>
              <w:bottom w:val="single" w:sz="8" w:color="auto"/>
            </w:tcBorders>
          </w:tcPr>
          <w:p>
            <w:pPr>
              <w:jc w:val="right"/>
              <w:ind w:right="85"/>
              <w:spacing w:after="0" w:line="104" w:lineRule="exact"/>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tcPr>
          <w:p>
            <w:pPr>
              <w:jc w:val="right"/>
              <w:ind w:right="285"/>
              <w:spacing w:after="0" w:line="104" w:lineRule="exact"/>
              <w:rPr>
                <w:sz w:val="20"/>
                <w:szCs w:val="20"/>
                <w:color w:val="auto"/>
              </w:rPr>
            </w:pPr>
            <w:r>
              <w:rPr>
                <w:rFonts w:ascii="Arial" w:cs="Arial" w:eastAsia="Arial" w:hAnsi="Arial"/>
                <w:sz w:val="11"/>
                <w:szCs w:val="11"/>
                <w:color w:val="auto"/>
              </w:rPr>
              <w:t>2</w:t>
            </w:r>
          </w:p>
        </w:tc>
        <w:tc>
          <w:tcPr>
            <w:tcW w:w="220" w:type="dxa"/>
            <w:vAlign w:val="bottom"/>
            <w:tcBorders>
              <w:bottom w:val="single" w:sz="8" w:color="auto"/>
            </w:tcBorders>
          </w:tcPr>
          <w:p>
            <w:pPr>
              <w:jc w:val="right"/>
              <w:ind w:right="85"/>
              <w:spacing w:after="0" w:line="104" w:lineRule="exact"/>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ind w:left="660"/>
              <w:spacing w:after="0" w:line="104" w:lineRule="exact"/>
              <w:rPr>
                <w:sz w:val="20"/>
                <w:szCs w:val="20"/>
                <w:color w:val="auto"/>
              </w:rPr>
            </w:pPr>
            <w:r>
              <w:rPr>
                <w:rFonts w:ascii="Arial" w:cs="Arial" w:eastAsia="Arial" w:hAnsi="Arial"/>
                <w:sz w:val="11"/>
                <w:szCs w:val="11"/>
                <w:color w:val="auto"/>
              </w:rPr>
              <w:t>(22)</w:t>
            </w:r>
          </w:p>
        </w:tc>
        <w:tc>
          <w:tcPr>
            <w:tcW w:w="400" w:type="dxa"/>
            <w:vAlign w:val="bottom"/>
            <w:tcBorders>
              <w:bottom w:val="single" w:sz="8" w:color="auto"/>
            </w:tcBorders>
          </w:tcPr>
          <w:p>
            <w:pPr>
              <w:jc w:val="right"/>
              <w:ind w:right="125"/>
              <w:spacing w:after="0" w:line="104" w:lineRule="exact"/>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spacing w:after="0" w:line="104" w:lineRule="exact"/>
              <w:rPr>
                <w:sz w:val="20"/>
                <w:szCs w:val="20"/>
                <w:color w:val="auto"/>
              </w:rPr>
            </w:pPr>
            <w:r>
              <w:rPr>
                <w:rFonts w:ascii="Arial" w:cs="Arial" w:eastAsia="Arial" w:hAnsi="Arial"/>
                <w:sz w:val="11"/>
                <w:szCs w:val="11"/>
                <w:color w:val="auto"/>
              </w:rPr>
              <w:t>875</w:t>
            </w:r>
          </w:p>
        </w:tc>
        <w:tc>
          <w:tcPr>
            <w:tcW w:w="0" w:type="dxa"/>
            <w:vAlign w:val="bottom"/>
          </w:tcPr>
          <w:p>
            <w:pPr>
              <w:spacing w:after="0"/>
              <w:rPr>
                <w:sz w:val="1"/>
                <w:szCs w:val="1"/>
                <w:color w:val="auto"/>
              </w:rPr>
            </w:pPr>
          </w:p>
        </w:tc>
      </w:tr>
      <w:tr>
        <w:trPr>
          <w:trHeight w:val="128"/>
        </w:trPr>
        <w:tc>
          <w:tcPr>
            <w:tcW w:w="5040" w:type="dxa"/>
            <w:vAlign w:val="bottom"/>
            <w:gridSpan w:val="2"/>
          </w:tcPr>
          <w:p>
            <w:pPr>
              <w:spacing w:after="0"/>
              <w:rPr>
                <w:sz w:val="20"/>
                <w:szCs w:val="20"/>
                <w:color w:val="auto"/>
              </w:rPr>
            </w:pPr>
            <w:r>
              <w:rPr>
                <w:rFonts w:ascii="Arial" w:cs="Arial" w:eastAsia="Arial" w:hAnsi="Arial"/>
                <w:sz w:val="11"/>
                <w:szCs w:val="11"/>
                <w:color w:val="auto"/>
              </w:rPr>
              <w:t>Liabilities:</w:t>
            </w: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5040" w:type="dxa"/>
            <w:vAlign w:val="bottom"/>
            <w:gridSpan w:val="2"/>
          </w:tcPr>
          <w:p>
            <w:pPr>
              <w:ind w:left="120"/>
              <w:spacing w:after="0" w:line="124" w:lineRule="exact"/>
              <w:rPr>
                <w:sz w:val="20"/>
                <w:szCs w:val="20"/>
                <w:color w:val="auto"/>
              </w:rPr>
            </w:pPr>
            <w:r>
              <w:rPr>
                <w:rFonts w:ascii="Arial" w:cs="Arial" w:eastAsia="Arial" w:hAnsi="Arial"/>
                <w:sz w:val="11"/>
                <w:szCs w:val="11"/>
                <w:color w:val="auto"/>
              </w:rPr>
              <w:t>Interest rate instruments</w:t>
            </w:r>
          </w:p>
        </w:tc>
        <w:tc>
          <w:tcPr>
            <w:tcW w:w="1020" w:type="dxa"/>
            <w:vAlign w:val="bottom"/>
          </w:tcPr>
          <w:p>
            <w:pPr>
              <w:jc w:val="right"/>
              <w:ind w:right="585"/>
              <w:spacing w:after="0" w:line="124" w:lineRule="exact"/>
              <w:rPr>
                <w:sz w:val="20"/>
                <w:szCs w:val="20"/>
                <w:color w:val="auto"/>
              </w:rPr>
            </w:pPr>
            <w:r>
              <w:rPr>
                <w:rFonts w:ascii="Arial" w:cs="Arial" w:eastAsia="Arial" w:hAnsi="Arial"/>
                <w:sz w:val="11"/>
                <w:szCs w:val="11"/>
                <w:color w:val="auto"/>
              </w:rPr>
              <w:t>$</w:t>
            </w:r>
          </w:p>
        </w:tc>
        <w:tc>
          <w:tcPr>
            <w:tcW w:w="38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585"/>
              <w:spacing w:after="0" w:line="124" w:lineRule="exact"/>
              <w:rPr>
                <w:sz w:val="20"/>
                <w:szCs w:val="20"/>
                <w:color w:val="auto"/>
              </w:rPr>
            </w:pPr>
            <w:r>
              <w:rPr>
                <w:rFonts w:ascii="Arial" w:cs="Arial" w:eastAsia="Arial" w:hAnsi="Arial"/>
                <w:sz w:val="11"/>
                <w:szCs w:val="11"/>
                <w:color w:val="auto"/>
              </w:rPr>
              <w:t>$</w:t>
            </w:r>
          </w:p>
        </w:tc>
        <w:tc>
          <w:tcPr>
            <w:tcW w:w="380" w:type="dxa"/>
            <w:vAlign w:val="bottom"/>
          </w:tcPr>
          <w:p>
            <w:pPr>
              <w:jc w:val="right"/>
              <w:ind w:right="105"/>
              <w:spacing w:after="0" w:line="124" w:lineRule="exact"/>
              <w:rPr>
                <w:sz w:val="20"/>
                <w:szCs w:val="20"/>
                <w:color w:val="auto"/>
              </w:rPr>
            </w:pPr>
            <w:r>
              <w:rPr>
                <w:rFonts w:ascii="Arial" w:cs="Arial" w:eastAsia="Arial" w:hAnsi="Arial"/>
                <w:sz w:val="11"/>
                <w:szCs w:val="11"/>
                <w:color w:val="auto"/>
              </w:rPr>
              <w:t>82</w:t>
            </w:r>
          </w:p>
        </w:tc>
        <w:tc>
          <w:tcPr>
            <w:tcW w:w="380" w:type="dxa"/>
            <w:vAlign w:val="bottom"/>
          </w:tcPr>
          <w:p>
            <w:pPr>
              <w:jc w:val="right"/>
              <w:ind w:right="85"/>
              <w:spacing w:after="0" w:line="124" w:lineRule="exact"/>
              <w:rPr>
                <w:sz w:val="20"/>
                <w:szCs w:val="20"/>
                <w:color w:val="auto"/>
              </w:rPr>
            </w:pPr>
            <w:r>
              <w:rPr>
                <w:rFonts w:ascii="Arial" w:cs="Arial" w:eastAsia="Arial" w:hAnsi="Arial"/>
                <w:sz w:val="11"/>
                <w:szCs w:val="11"/>
                <w:color w:val="auto"/>
              </w:rPr>
              <w:t>$</w:t>
            </w:r>
          </w:p>
        </w:tc>
        <w:tc>
          <w:tcPr>
            <w:tcW w:w="1040" w:type="dxa"/>
            <w:vAlign w:val="bottom"/>
          </w:tcPr>
          <w:p>
            <w:pPr>
              <w:jc w:val="right"/>
              <w:ind w:right="285"/>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ind w:right="85"/>
              <w:spacing w:after="0" w:line="124" w:lineRule="exact"/>
              <w:rPr>
                <w:sz w:val="20"/>
                <w:szCs w:val="20"/>
                <w:color w:val="auto"/>
              </w:rPr>
            </w:pPr>
            <w:r>
              <w:rPr>
                <w:rFonts w:ascii="Arial" w:cs="Arial" w:eastAsia="Arial" w:hAnsi="Arial"/>
                <w:sz w:val="11"/>
                <w:szCs w:val="11"/>
                <w:color w:val="auto"/>
                <w:w w:val="97"/>
              </w:rPr>
              <w:t>$</w:t>
            </w:r>
          </w:p>
        </w:tc>
        <w:tc>
          <w:tcPr>
            <w:tcW w:w="1020" w:type="dxa"/>
            <w:vAlign w:val="bottom"/>
          </w:tcPr>
          <w:p>
            <w:pPr>
              <w:ind w:left="720"/>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4" w:lineRule="exact"/>
              <w:rPr>
                <w:sz w:val="20"/>
                <w:szCs w:val="20"/>
                <w:color w:val="auto"/>
              </w:rPr>
            </w:pPr>
            <w:r>
              <w:rPr>
                <w:rFonts w:ascii="Arial" w:cs="Arial" w:eastAsia="Arial" w:hAnsi="Arial"/>
                <w:sz w:val="11"/>
                <w:szCs w:val="11"/>
                <w:color w:val="auto"/>
              </w:rPr>
              <w:t>82</w:t>
            </w:r>
          </w:p>
        </w:tc>
        <w:tc>
          <w:tcPr>
            <w:tcW w:w="0" w:type="dxa"/>
            <w:vAlign w:val="bottom"/>
          </w:tcPr>
          <w:p>
            <w:pPr>
              <w:spacing w:after="0"/>
              <w:rPr>
                <w:sz w:val="1"/>
                <w:szCs w:val="1"/>
                <w:color w:val="auto"/>
              </w:rPr>
            </w:pPr>
          </w:p>
        </w:tc>
      </w:tr>
      <w:tr>
        <w:trPr>
          <w:trHeight w:val="124"/>
        </w:trPr>
        <w:tc>
          <w:tcPr>
            <w:tcW w:w="5040" w:type="dxa"/>
            <w:vAlign w:val="bottom"/>
            <w:gridSpan w:val="2"/>
          </w:tcPr>
          <w:p>
            <w:pPr>
              <w:ind w:left="120"/>
              <w:spacing w:after="0" w:line="124" w:lineRule="exact"/>
              <w:rPr>
                <w:sz w:val="20"/>
                <w:szCs w:val="20"/>
                <w:color w:val="auto"/>
              </w:rPr>
            </w:pPr>
            <w:r>
              <w:rPr>
                <w:rFonts w:ascii="Arial" w:cs="Arial" w:eastAsia="Arial" w:hAnsi="Arial"/>
                <w:sz w:val="11"/>
                <w:szCs w:val="11"/>
                <w:color w:val="auto"/>
              </w:rPr>
              <w:t>Commodity contracts subject to rate recovery</w:t>
            </w:r>
          </w:p>
        </w:tc>
        <w:tc>
          <w:tcPr>
            <w:tcW w:w="1020" w:type="dxa"/>
            <w:vAlign w:val="bottom"/>
          </w:tcPr>
          <w:p>
            <w:pPr>
              <w:spacing w:after="0"/>
              <w:rPr>
                <w:sz w:val="10"/>
                <w:szCs w:val="10"/>
                <w:color w:val="auto"/>
              </w:rPr>
            </w:pPr>
          </w:p>
        </w:tc>
        <w:tc>
          <w:tcPr>
            <w:tcW w:w="38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60</w:t>
            </w:r>
          </w:p>
        </w:tc>
        <w:tc>
          <w:tcPr>
            <w:tcW w:w="860" w:type="dxa"/>
            <w:vAlign w:val="bottom"/>
          </w:tcPr>
          <w:p>
            <w:pPr>
              <w:spacing w:after="0"/>
              <w:rPr>
                <w:sz w:val="10"/>
                <w:szCs w:val="10"/>
                <w:color w:val="auto"/>
              </w:rPr>
            </w:pPr>
          </w:p>
        </w:tc>
        <w:tc>
          <w:tcPr>
            <w:tcW w:w="380" w:type="dxa"/>
            <w:vAlign w:val="bottom"/>
          </w:tcPr>
          <w:p>
            <w:pPr>
              <w:jc w:val="right"/>
              <w:ind w:right="105"/>
              <w:spacing w:after="0" w:line="124" w:lineRule="exact"/>
              <w:rPr>
                <w:sz w:val="20"/>
                <w:szCs w:val="20"/>
                <w:color w:val="auto"/>
              </w:rPr>
            </w:pPr>
            <w:r>
              <w:rPr>
                <w:rFonts w:ascii="Arial" w:cs="Arial" w:eastAsia="Arial" w:hAnsi="Arial"/>
                <w:sz w:val="11"/>
                <w:szCs w:val="11"/>
                <w:color w:val="auto"/>
              </w:rPr>
              <w:t>8</w:t>
            </w:r>
          </w:p>
        </w:tc>
        <w:tc>
          <w:tcPr>
            <w:tcW w:w="380" w:type="dxa"/>
            <w:vAlign w:val="bottom"/>
          </w:tcPr>
          <w:p>
            <w:pPr>
              <w:spacing w:after="0"/>
              <w:rPr>
                <w:sz w:val="10"/>
                <w:szCs w:val="10"/>
                <w:color w:val="auto"/>
              </w:rPr>
            </w:pPr>
          </w:p>
        </w:tc>
        <w:tc>
          <w:tcPr>
            <w:tcW w:w="1040" w:type="dxa"/>
            <w:vAlign w:val="bottom"/>
          </w:tcPr>
          <w:p>
            <w:pPr>
              <w:jc w:val="right"/>
              <w:ind w:right="285"/>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020" w:type="dxa"/>
            <w:vAlign w:val="bottom"/>
          </w:tcPr>
          <w:p>
            <w:pPr>
              <w:ind w:left="660"/>
              <w:spacing w:after="0" w:line="124" w:lineRule="exact"/>
              <w:rPr>
                <w:sz w:val="20"/>
                <w:szCs w:val="20"/>
                <w:color w:val="auto"/>
              </w:rPr>
            </w:pPr>
            <w:r>
              <w:rPr>
                <w:rFonts w:ascii="Arial" w:cs="Arial" w:eastAsia="Arial" w:hAnsi="Arial"/>
                <w:sz w:val="11"/>
                <w:szCs w:val="11"/>
                <w:color w:val="auto"/>
              </w:rPr>
              <w:t>(60)</w:t>
            </w:r>
          </w:p>
        </w:tc>
        <w:tc>
          <w:tcPr>
            <w:tcW w:w="400" w:type="dxa"/>
            <w:vAlign w:val="bottom"/>
          </w:tcPr>
          <w:p>
            <w:pPr>
              <w:spacing w:after="0"/>
              <w:rPr>
                <w:sz w:val="10"/>
                <w:szCs w:val="10"/>
                <w:color w:val="auto"/>
              </w:rPr>
            </w:pPr>
          </w:p>
        </w:tc>
        <w:tc>
          <w:tcPr>
            <w:tcW w:w="720" w:type="dxa"/>
            <w:vAlign w:val="bottom"/>
          </w:tcPr>
          <w:p>
            <w:pPr>
              <w:jc w:val="right"/>
              <w:spacing w:after="0" w:line="124" w:lineRule="exact"/>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21"/>
        </w:trPr>
        <w:tc>
          <w:tcPr>
            <w:tcW w:w="5040" w:type="dxa"/>
            <w:vAlign w:val="bottom"/>
            <w:gridSpan w:val="2"/>
          </w:tcPr>
          <w:p>
            <w:pPr>
              <w:ind w:left="120"/>
              <w:spacing w:after="0" w:line="101" w:lineRule="exact"/>
              <w:rPr>
                <w:sz w:val="20"/>
                <w:szCs w:val="20"/>
                <w:color w:val="auto"/>
              </w:rPr>
            </w:pPr>
            <w:r>
              <w:rPr>
                <w:rFonts w:ascii="Arial" w:cs="Arial" w:eastAsia="Arial" w:hAnsi="Arial"/>
                <w:sz w:val="11"/>
                <w:szCs w:val="11"/>
                <w:color w:val="auto"/>
              </w:rPr>
              <w:t>Commodity contracts not subject to rate recovery</w:t>
            </w:r>
          </w:p>
        </w:tc>
        <w:tc>
          <w:tcPr>
            <w:tcW w:w="10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25"/>
              <w:spacing w:after="0" w:line="101" w:lineRule="exact"/>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05"/>
              <w:spacing w:after="0" w:line="101" w:lineRule="exact"/>
              <w:rPr>
                <w:sz w:val="20"/>
                <w:szCs w:val="20"/>
                <w:color w:val="auto"/>
              </w:rPr>
            </w:pPr>
            <w:r>
              <w:rPr>
                <w:rFonts w:ascii="Arial" w:cs="Arial" w:eastAsia="Arial" w:hAnsi="Arial"/>
                <w:sz w:val="11"/>
                <w:szCs w:val="11"/>
                <w:color w:val="auto"/>
              </w:rPr>
              <w:t>67</w:t>
            </w:r>
          </w:p>
        </w:tc>
        <w:tc>
          <w:tcPr>
            <w:tcW w:w="3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285"/>
              <w:spacing w:after="0" w:line="101" w:lineRule="exact"/>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ind w:left="720"/>
              <w:spacing w:after="0" w:line="101" w:lineRule="exact"/>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color w:val="auto"/>
              </w:rPr>
              <w:t>67</w:t>
            </w:r>
          </w:p>
        </w:tc>
        <w:tc>
          <w:tcPr>
            <w:tcW w:w="0" w:type="dxa"/>
            <w:vAlign w:val="bottom"/>
          </w:tcPr>
          <w:p>
            <w:pPr>
              <w:spacing w:after="0"/>
              <w:rPr>
                <w:sz w:val="1"/>
                <w:szCs w:val="1"/>
                <w:color w:val="auto"/>
              </w:rPr>
            </w:pPr>
          </w:p>
        </w:tc>
      </w:tr>
      <w:tr>
        <w:trPr>
          <w:trHeight w:val="125"/>
        </w:trPr>
        <w:tc>
          <w:tcPr>
            <w:tcW w:w="280" w:type="dxa"/>
            <w:vAlign w:val="bottom"/>
            <w:tcBorders>
              <w:bottom w:val="single" w:sz="8" w:color="auto"/>
            </w:tcBorders>
          </w:tcPr>
          <w:p>
            <w:pPr>
              <w:spacing w:after="0" w:line="124" w:lineRule="exact"/>
              <w:rPr>
                <w:sz w:val="20"/>
                <w:szCs w:val="20"/>
                <w:color w:val="auto"/>
              </w:rPr>
            </w:pPr>
            <w:r>
              <w:rPr>
                <w:rFonts w:ascii="Arial" w:cs="Arial" w:eastAsia="Arial" w:hAnsi="Arial"/>
                <w:sz w:val="11"/>
                <w:szCs w:val="11"/>
                <w:color w:val="auto"/>
              </w:rPr>
              <w:t>Total</w:t>
            </w:r>
          </w:p>
        </w:tc>
        <w:tc>
          <w:tcPr>
            <w:tcW w:w="47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85"/>
              <w:spacing w:after="0" w:line="124" w:lineRule="exact"/>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tcPr>
          <w:p>
            <w:pPr>
              <w:jc w:val="right"/>
              <w:ind w:right="125"/>
              <w:spacing w:after="0" w:line="124" w:lineRule="exact"/>
              <w:rPr>
                <w:sz w:val="20"/>
                <w:szCs w:val="20"/>
                <w:color w:val="auto"/>
              </w:rPr>
            </w:pPr>
            <w:r>
              <w:rPr>
                <w:rFonts w:ascii="Arial" w:cs="Arial" w:eastAsia="Arial" w:hAnsi="Arial"/>
                <w:sz w:val="11"/>
                <w:szCs w:val="11"/>
                <w:color w:val="auto"/>
              </w:rPr>
              <w:t>60</w:t>
            </w:r>
          </w:p>
        </w:tc>
        <w:tc>
          <w:tcPr>
            <w:tcW w:w="860" w:type="dxa"/>
            <w:vAlign w:val="bottom"/>
            <w:tcBorders>
              <w:bottom w:val="single" w:sz="8" w:color="auto"/>
            </w:tcBorders>
          </w:tcPr>
          <w:p>
            <w:pPr>
              <w:jc w:val="right"/>
              <w:ind w:right="585"/>
              <w:spacing w:after="0" w:line="124" w:lineRule="exact"/>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tcPr>
          <w:p>
            <w:pPr>
              <w:jc w:val="right"/>
              <w:ind w:right="105"/>
              <w:spacing w:after="0" w:line="124" w:lineRule="exact"/>
              <w:rPr>
                <w:sz w:val="20"/>
                <w:szCs w:val="20"/>
                <w:color w:val="auto"/>
              </w:rPr>
            </w:pPr>
            <w:r>
              <w:rPr>
                <w:rFonts w:ascii="Arial" w:cs="Arial" w:eastAsia="Arial" w:hAnsi="Arial"/>
                <w:sz w:val="11"/>
                <w:szCs w:val="11"/>
                <w:color w:val="auto"/>
              </w:rPr>
              <w:t>157</w:t>
            </w:r>
          </w:p>
        </w:tc>
        <w:tc>
          <w:tcPr>
            <w:tcW w:w="380" w:type="dxa"/>
            <w:vAlign w:val="bottom"/>
            <w:tcBorders>
              <w:bottom w:val="single" w:sz="8" w:color="auto"/>
            </w:tcBorders>
          </w:tcPr>
          <w:p>
            <w:pPr>
              <w:jc w:val="right"/>
              <w:ind w:right="85"/>
              <w:spacing w:after="0" w:line="124" w:lineRule="exact"/>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tcPr>
          <w:p>
            <w:pPr>
              <w:jc w:val="right"/>
              <w:ind w:right="285"/>
              <w:spacing w:after="0" w:line="124" w:lineRule="exact"/>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jc w:val="right"/>
              <w:ind w:right="85"/>
              <w:spacing w:after="0" w:line="124" w:lineRule="exact"/>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ind w:left="660"/>
              <w:spacing w:after="0" w:line="124" w:lineRule="exact"/>
              <w:rPr>
                <w:sz w:val="20"/>
                <w:szCs w:val="20"/>
                <w:color w:val="auto"/>
              </w:rPr>
            </w:pPr>
            <w:r>
              <w:rPr>
                <w:rFonts w:ascii="Arial" w:cs="Arial" w:eastAsia="Arial" w:hAnsi="Arial"/>
                <w:sz w:val="11"/>
                <w:szCs w:val="11"/>
                <w:color w:val="auto"/>
              </w:rPr>
              <w:t>(60)</w:t>
            </w:r>
          </w:p>
        </w:tc>
        <w:tc>
          <w:tcPr>
            <w:tcW w:w="400" w:type="dxa"/>
            <w:vAlign w:val="bottom"/>
            <w:tcBorders>
              <w:bottom w:val="single" w:sz="8" w:color="auto"/>
            </w:tcBorders>
          </w:tcPr>
          <w:p>
            <w:pPr>
              <w:jc w:val="right"/>
              <w:ind w:right="125"/>
              <w:spacing w:after="0" w:line="124" w:lineRule="exact"/>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157</w:t>
            </w:r>
          </w:p>
        </w:tc>
        <w:tc>
          <w:tcPr>
            <w:tcW w:w="0" w:type="dxa"/>
            <w:vAlign w:val="bottom"/>
          </w:tcPr>
          <w:p>
            <w:pPr>
              <w:spacing w:after="0"/>
              <w:rPr>
                <w:sz w:val="1"/>
                <w:szCs w:val="1"/>
                <w:color w:val="auto"/>
              </w:rPr>
            </w:pPr>
          </w:p>
        </w:tc>
      </w:tr>
      <w:tr>
        <w:trPr>
          <w:trHeight w:val="166"/>
        </w:trPr>
        <w:tc>
          <w:tcPr>
            <w:tcW w:w="280" w:type="dxa"/>
            <w:vAlign w:val="bottom"/>
          </w:tcPr>
          <w:p>
            <w:pPr>
              <w:spacing w:after="0"/>
              <w:rPr>
                <w:sz w:val="20"/>
                <w:szCs w:val="20"/>
                <w:color w:val="auto"/>
              </w:rPr>
            </w:pPr>
            <w:r>
              <w:rPr>
                <w:rFonts w:ascii="Arial" w:cs="Arial" w:eastAsia="Arial" w:hAnsi="Arial"/>
                <w:sz w:val="11"/>
                <w:szCs w:val="11"/>
                <w:i w:val="1"/>
                <w:iCs w:val="1"/>
                <w:color w:val="auto"/>
              </w:rPr>
              <w:t>(1)</w:t>
            </w:r>
          </w:p>
        </w:tc>
        <w:tc>
          <w:tcPr>
            <w:tcW w:w="4760" w:type="dxa"/>
            <w:vAlign w:val="bottom"/>
          </w:tcPr>
          <w:p>
            <w:pPr>
              <w:ind w:left="220"/>
              <w:spacing w:after="0"/>
              <w:rPr>
                <w:sz w:val="20"/>
                <w:szCs w:val="20"/>
                <w:color w:val="auto"/>
              </w:rPr>
            </w:pPr>
            <w:r>
              <w:rPr>
                <w:rFonts w:ascii="Arial" w:cs="Arial" w:eastAsia="Arial" w:hAnsi="Arial"/>
                <w:sz w:val="11"/>
                <w:szCs w:val="11"/>
                <w:i w:val="1"/>
                <w:iCs w:val="1"/>
                <w:color w:val="auto"/>
              </w:rPr>
              <w:t>Excludes cash balances and cash equivalents.</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RECURRING FAIR VALUE MEASURES -- 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(Dollars in millions)</w:t>
      </w:r>
    </w:p>
    <w:tbl>
      <w:tblPr>
        <w:tblLayout w:type="fixed"/>
        <w:tblInd w:w="0" w:type="dxa"/>
        <w:tblCellMar>
          <w:top w:w="0" w:type="dxa"/>
          <w:left w:w="0" w:type="dxa"/>
          <w:bottom w:w="0" w:type="dxa"/>
          <w:right w:w="0" w:type="dxa"/>
        </w:tblCellMar>
      </w:tblPr>
      <w:tr>
        <w:trPr>
          <w:trHeight w:val="121"/>
        </w:trPr>
        <w:tc>
          <w:tcPr>
            <w:tcW w:w="28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gridSpan w:val="4"/>
          </w:tcPr>
          <w:p>
            <w:pPr>
              <w:jc w:val="right"/>
              <w:ind w:right="105"/>
              <w:spacing w:after="0" w:line="121" w:lineRule="exact"/>
              <w:rPr>
                <w:sz w:val="20"/>
                <w:szCs w:val="20"/>
                <w:color w:val="auto"/>
              </w:rPr>
            </w:pPr>
            <w:r>
              <w:rPr>
                <w:rFonts w:ascii="Arial" w:cs="Arial" w:eastAsia="Arial" w:hAnsi="Arial"/>
                <w:sz w:val="11"/>
                <w:szCs w:val="11"/>
                <w:color w:val="auto"/>
              </w:rPr>
              <w:t>At fair value as of March 31, 2011</w:t>
            </w:r>
          </w:p>
        </w:tc>
        <w:tc>
          <w:tcPr>
            <w:tcW w:w="9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jc w:val="center"/>
              <w:ind w:right="325"/>
              <w:spacing w:after="0"/>
              <w:rPr>
                <w:sz w:val="20"/>
                <w:szCs w:val="20"/>
                <w:color w:val="auto"/>
              </w:rPr>
            </w:pPr>
            <w:r>
              <w:rPr>
                <w:rFonts w:ascii="Arial" w:cs="Arial" w:eastAsia="Arial" w:hAnsi="Arial"/>
                <w:sz w:val="11"/>
                <w:szCs w:val="11"/>
                <w:color w:val="auto"/>
                <w:w w:val="98"/>
              </w:rPr>
              <w:t>Collateral</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5"/>
              <w:spacing w:after="0" w:line="121" w:lineRule="exact"/>
              <w:rPr>
                <w:sz w:val="20"/>
                <w:szCs w:val="20"/>
                <w:color w:val="auto"/>
              </w:rPr>
            </w:pPr>
            <w:r>
              <w:rPr>
                <w:rFonts w:ascii="Arial" w:cs="Arial" w:eastAsia="Arial" w:hAnsi="Arial"/>
                <w:sz w:val="11"/>
                <w:szCs w:val="11"/>
                <w:color w:val="auto"/>
              </w:rPr>
              <w:t>Level 1</w:t>
            </w: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05"/>
              <w:spacing w:after="0" w:line="121" w:lineRule="exact"/>
              <w:rPr>
                <w:sz w:val="20"/>
                <w:szCs w:val="20"/>
                <w:color w:val="auto"/>
              </w:rPr>
            </w:pPr>
            <w:r>
              <w:rPr>
                <w:rFonts w:ascii="Arial" w:cs="Arial" w:eastAsia="Arial" w:hAnsi="Arial"/>
                <w:sz w:val="11"/>
                <w:szCs w:val="11"/>
                <w:color w:val="auto"/>
              </w:rPr>
              <w:t>Level 2</w:t>
            </w: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05"/>
              <w:spacing w:after="0" w:line="121" w:lineRule="exact"/>
              <w:rPr>
                <w:sz w:val="20"/>
                <w:szCs w:val="20"/>
                <w:color w:val="auto"/>
              </w:rPr>
            </w:pPr>
            <w:r>
              <w:rPr>
                <w:rFonts w:ascii="Arial" w:cs="Arial" w:eastAsia="Arial" w:hAnsi="Arial"/>
                <w:sz w:val="11"/>
                <w:szCs w:val="11"/>
                <w:color w:val="auto"/>
              </w:rPr>
              <w:t>Level 3</w:t>
            </w:r>
          </w:p>
        </w:tc>
        <w:tc>
          <w:tcPr>
            <w:tcW w:w="4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325"/>
              <w:spacing w:after="0" w:line="121" w:lineRule="exact"/>
              <w:rPr>
                <w:sz w:val="20"/>
                <w:szCs w:val="20"/>
                <w:color w:val="auto"/>
              </w:rPr>
            </w:pPr>
            <w:r>
              <w:rPr>
                <w:rFonts w:ascii="Arial" w:cs="Arial" w:eastAsia="Arial" w:hAnsi="Arial"/>
                <w:sz w:val="11"/>
                <w:szCs w:val="11"/>
                <w:color w:val="auto"/>
                <w:w w:val="97"/>
              </w:rPr>
              <w:t>netted</w:t>
            </w:r>
          </w:p>
        </w:tc>
        <w:tc>
          <w:tcPr>
            <w:tcW w:w="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5"/>
              <w:spacing w:after="0" w:line="121" w:lineRule="exact"/>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28"/>
        </w:trPr>
        <w:tc>
          <w:tcPr>
            <w:tcW w:w="5300" w:type="dxa"/>
            <w:vAlign w:val="bottom"/>
            <w:gridSpan w:val="2"/>
          </w:tcPr>
          <w:p>
            <w:pPr>
              <w:spacing w:after="0"/>
              <w:rPr>
                <w:sz w:val="20"/>
                <w:szCs w:val="20"/>
                <w:color w:val="auto"/>
              </w:rPr>
            </w:pPr>
            <w:r>
              <w:rPr>
                <w:rFonts w:ascii="Arial" w:cs="Arial" w:eastAsia="Arial" w:hAnsi="Arial"/>
                <w:sz w:val="11"/>
                <w:szCs w:val="11"/>
                <w:color w:val="auto"/>
              </w:rPr>
              <w:t>Assets:</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300" w:type="dxa"/>
            <w:vAlign w:val="bottom"/>
            <w:gridSpan w:val="2"/>
          </w:tcPr>
          <w:p>
            <w:pPr>
              <w:ind w:left="120"/>
              <w:spacing w:after="0"/>
              <w:rPr>
                <w:sz w:val="20"/>
                <w:szCs w:val="20"/>
                <w:color w:val="auto"/>
              </w:rPr>
            </w:pPr>
            <w:r>
              <w:rPr>
                <w:rFonts w:ascii="Arial" w:cs="Arial" w:eastAsia="Arial" w:hAnsi="Arial"/>
                <w:sz w:val="11"/>
                <w:szCs w:val="11"/>
                <w:color w:val="auto"/>
              </w:rPr>
              <w:t>Nuclear decommissioning trusts</w:t>
            </w:r>
          </w:p>
        </w:tc>
        <w:tc>
          <w:tcPr>
            <w:tcW w:w="480" w:type="dxa"/>
            <w:vAlign w:val="bottom"/>
            <w:vMerge w:val="restart"/>
          </w:tcPr>
          <w:p>
            <w:pPr>
              <w:jc w:val="right"/>
              <w:ind w:right="45"/>
              <w:spacing w:after="0"/>
              <w:rPr>
                <w:sz w:val="20"/>
                <w:szCs w:val="20"/>
                <w:color w:val="auto"/>
              </w:rPr>
            </w:pPr>
            <w:r>
              <w:rPr>
                <w:rFonts w:ascii="Arial" w:cs="Arial" w:eastAsia="Arial" w:hAnsi="Arial"/>
                <w:sz w:val="11"/>
                <w:szCs w:val="11"/>
                <w:color w:val="auto"/>
              </w:rPr>
              <w:t>$</w:t>
            </w:r>
          </w:p>
        </w:tc>
        <w:tc>
          <w:tcPr>
            <w:tcW w:w="800" w:type="dxa"/>
            <w:vAlign w:val="bottom"/>
            <w:vMerge w:val="restart"/>
          </w:tcPr>
          <w:p>
            <w:pPr>
              <w:jc w:val="right"/>
              <w:ind w:right="105"/>
              <w:spacing w:after="0"/>
              <w:rPr>
                <w:sz w:val="20"/>
                <w:szCs w:val="20"/>
                <w:color w:val="auto"/>
              </w:rPr>
            </w:pPr>
            <w:r>
              <w:rPr>
                <w:rFonts w:ascii="Arial" w:cs="Arial" w:eastAsia="Arial" w:hAnsi="Arial"/>
                <w:sz w:val="11"/>
                <w:szCs w:val="11"/>
                <w:color w:val="auto"/>
              </w:rPr>
              <w:t>483</w:t>
            </w:r>
          </w:p>
        </w:tc>
        <w:tc>
          <w:tcPr>
            <w:tcW w:w="340" w:type="dxa"/>
            <w:vAlign w:val="bottom"/>
            <w:vMerge w:val="restart"/>
          </w:tcPr>
          <w:p>
            <w:pPr>
              <w:jc w:val="right"/>
              <w:ind w:right="45"/>
              <w:spacing w:after="0"/>
              <w:rPr>
                <w:sz w:val="20"/>
                <w:szCs w:val="20"/>
                <w:color w:val="auto"/>
              </w:rPr>
            </w:pPr>
            <w:r>
              <w:rPr>
                <w:rFonts w:ascii="Arial" w:cs="Arial" w:eastAsia="Arial" w:hAnsi="Arial"/>
                <w:sz w:val="11"/>
                <w:szCs w:val="11"/>
                <w:color w:val="auto"/>
              </w:rPr>
              <w:t>$</w:t>
            </w:r>
          </w:p>
        </w:tc>
        <w:tc>
          <w:tcPr>
            <w:tcW w:w="820" w:type="dxa"/>
            <w:vAlign w:val="bottom"/>
            <w:vMerge w:val="restart"/>
          </w:tcPr>
          <w:p>
            <w:pPr>
              <w:jc w:val="right"/>
              <w:ind w:right="125"/>
              <w:spacing w:after="0"/>
              <w:rPr>
                <w:sz w:val="20"/>
                <w:szCs w:val="20"/>
                <w:color w:val="auto"/>
              </w:rPr>
            </w:pPr>
            <w:r>
              <w:rPr>
                <w:rFonts w:ascii="Arial" w:cs="Arial" w:eastAsia="Arial" w:hAnsi="Arial"/>
                <w:sz w:val="11"/>
                <w:szCs w:val="11"/>
                <w:color w:val="auto"/>
              </w:rPr>
              <w:t>―</w:t>
            </w:r>
          </w:p>
        </w:tc>
        <w:tc>
          <w:tcPr>
            <w:tcW w:w="340" w:type="dxa"/>
            <w:vAlign w:val="bottom"/>
            <w:vMerge w:val="restart"/>
          </w:tcPr>
          <w:p>
            <w:pPr>
              <w:jc w:val="right"/>
              <w:ind w:right="45"/>
              <w:spacing w:after="0"/>
              <w:rPr>
                <w:sz w:val="20"/>
                <w:szCs w:val="20"/>
                <w:color w:val="auto"/>
              </w:rPr>
            </w:pPr>
            <w:r>
              <w:rPr>
                <w:rFonts w:ascii="Arial" w:cs="Arial" w:eastAsia="Arial" w:hAnsi="Arial"/>
                <w:sz w:val="11"/>
                <w:szCs w:val="11"/>
                <w:color w:val="auto"/>
              </w:rPr>
              <w:t>$</w:t>
            </w:r>
          </w:p>
        </w:tc>
        <w:tc>
          <w:tcPr>
            <w:tcW w:w="820" w:type="dxa"/>
            <w:vAlign w:val="bottom"/>
            <w:vMerge w:val="restart"/>
          </w:tcPr>
          <w:p>
            <w:pPr>
              <w:jc w:val="right"/>
              <w:ind w:right="125"/>
              <w:spacing w:after="0"/>
              <w:rPr>
                <w:sz w:val="20"/>
                <w:szCs w:val="20"/>
                <w:color w:val="auto"/>
              </w:rPr>
            </w:pPr>
            <w:r>
              <w:rPr>
                <w:rFonts w:ascii="Arial" w:cs="Arial" w:eastAsia="Arial" w:hAnsi="Arial"/>
                <w:sz w:val="11"/>
                <w:szCs w:val="11"/>
                <w:color w:val="auto"/>
              </w:rPr>
              <w:t>―</w:t>
            </w:r>
          </w:p>
        </w:tc>
        <w:tc>
          <w:tcPr>
            <w:tcW w:w="460" w:type="dxa"/>
            <w:vAlign w:val="bottom"/>
            <w:vMerge w:val="restart"/>
          </w:tcPr>
          <w:p>
            <w:pPr>
              <w:jc w:val="right"/>
              <w:ind w:right="185"/>
              <w:spacing w:after="0"/>
              <w:rPr>
                <w:sz w:val="20"/>
                <w:szCs w:val="20"/>
                <w:color w:val="auto"/>
              </w:rPr>
            </w:pPr>
            <w:r>
              <w:rPr>
                <w:rFonts w:ascii="Arial" w:cs="Arial" w:eastAsia="Arial" w:hAnsi="Arial"/>
                <w:sz w:val="11"/>
                <w:szCs w:val="11"/>
                <w:color w:val="auto"/>
              </w:rPr>
              <w:t>$</w:t>
            </w:r>
          </w:p>
        </w:tc>
        <w:tc>
          <w:tcPr>
            <w:tcW w:w="960" w:type="dxa"/>
            <w:vAlign w:val="bottom"/>
            <w:vMerge w:val="restart"/>
          </w:tcPr>
          <w:p>
            <w:pPr>
              <w:jc w:val="center"/>
              <w:ind w:left="425"/>
              <w:spacing w:after="0"/>
              <w:rPr>
                <w:sz w:val="20"/>
                <w:szCs w:val="20"/>
                <w:color w:val="auto"/>
              </w:rPr>
            </w:pPr>
            <w:r>
              <w:rPr>
                <w:rFonts w:ascii="Arial" w:cs="Arial" w:eastAsia="Arial" w:hAnsi="Arial"/>
                <w:sz w:val="11"/>
                <w:szCs w:val="11"/>
                <w:color w:val="auto"/>
              </w:rPr>
              <w:t>―</w:t>
            </w:r>
          </w:p>
        </w:tc>
        <w:tc>
          <w:tcPr>
            <w:tcW w:w="400" w:type="dxa"/>
            <w:vAlign w:val="bottom"/>
            <w:vMerge w:val="restart"/>
          </w:tcPr>
          <w:p>
            <w:pPr>
              <w:jc w:val="right"/>
              <w:ind w:right="125"/>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483</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9"/>
                <w:szCs w:val="9"/>
                <w:color w:val="auto"/>
              </w:rPr>
            </w:pPr>
          </w:p>
        </w:tc>
        <w:tc>
          <w:tcPr>
            <w:tcW w:w="5020" w:type="dxa"/>
            <w:vAlign w:val="bottom"/>
          </w:tcPr>
          <w:p>
            <w:pPr>
              <w:ind w:left="20"/>
              <w:spacing w:after="0" w:line="93" w:lineRule="exact"/>
              <w:rPr>
                <w:sz w:val="20"/>
                <w:szCs w:val="20"/>
                <w:color w:val="auto"/>
              </w:rPr>
            </w:pPr>
            <w:r>
              <w:rPr>
                <w:rFonts w:ascii="Arial" w:cs="Arial" w:eastAsia="Arial" w:hAnsi="Arial"/>
                <w:sz w:val="10"/>
                <w:szCs w:val="10"/>
                <w:color w:val="auto"/>
              </w:rPr>
              <w:t>Equity securities</w:t>
            </w:r>
          </w:p>
        </w:tc>
        <w:tc>
          <w:tcPr>
            <w:tcW w:w="480" w:type="dxa"/>
            <w:vAlign w:val="bottom"/>
            <w:tcBorders>
              <w:bottom w:val="single" w:sz="8" w:color="auto"/>
            </w:tcBorders>
            <w:vMerge w:val="continue"/>
          </w:tcPr>
          <w:p>
            <w:pPr>
              <w:spacing w:after="0"/>
              <w:rPr>
                <w:sz w:val="9"/>
                <w:szCs w:val="9"/>
                <w:color w:val="auto"/>
              </w:rPr>
            </w:pPr>
          </w:p>
        </w:tc>
        <w:tc>
          <w:tcPr>
            <w:tcW w:w="800" w:type="dxa"/>
            <w:vAlign w:val="bottom"/>
            <w:tcBorders>
              <w:bottom w:val="single" w:sz="8" w:color="auto"/>
            </w:tcBorders>
            <w:vMerge w:val="continue"/>
          </w:tcPr>
          <w:p>
            <w:pPr>
              <w:spacing w:after="0"/>
              <w:rPr>
                <w:sz w:val="9"/>
                <w:szCs w:val="9"/>
                <w:color w:val="auto"/>
              </w:rPr>
            </w:pPr>
          </w:p>
        </w:tc>
        <w:tc>
          <w:tcPr>
            <w:tcW w:w="340" w:type="dxa"/>
            <w:vAlign w:val="bottom"/>
            <w:tcBorders>
              <w:bottom w:val="single" w:sz="8" w:color="auto"/>
            </w:tcBorders>
            <w:vMerge w:val="continue"/>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340" w:type="dxa"/>
            <w:vAlign w:val="bottom"/>
            <w:tcBorders>
              <w:bottom w:val="single" w:sz="8" w:color="auto"/>
            </w:tcBorders>
            <w:vMerge w:val="continue"/>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460" w:type="dxa"/>
            <w:vAlign w:val="bottom"/>
            <w:tcBorders>
              <w:bottom w:val="single" w:sz="8" w:color="auto"/>
            </w:tcBorders>
            <w:vMerge w:val="continue"/>
          </w:tcPr>
          <w:p>
            <w:pPr>
              <w:spacing w:after="0"/>
              <w:rPr>
                <w:sz w:val="9"/>
                <w:szCs w:val="9"/>
                <w:color w:val="auto"/>
              </w:rPr>
            </w:pPr>
          </w:p>
        </w:tc>
        <w:tc>
          <w:tcPr>
            <w:tcW w:w="960" w:type="dxa"/>
            <w:vAlign w:val="bottom"/>
            <w:tcBorders>
              <w:bottom w:val="single" w:sz="8" w:color="auto"/>
            </w:tcBorders>
            <w:vMerge w:val="continue"/>
          </w:tcPr>
          <w:p>
            <w:pPr>
              <w:spacing w:after="0"/>
              <w:rPr>
                <w:sz w:val="9"/>
                <w:szCs w:val="9"/>
                <w:color w:val="auto"/>
              </w:rPr>
            </w:pPr>
          </w:p>
        </w:tc>
        <w:tc>
          <w:tcPr>
            <w:tcW w:w="400" w:type="dxa"/>
            <w:vAlign w:val="bottom"/>
            <w:tcBorders>
              <w:bottom w:val="single" w:sz="8" w:color="auto"/>
            </w:tcBorders>
            <w:vMerge w:val="continue"/>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80" w:type="dxa"/>
            <w:vAlign w:val="bottom"/>
          </w:tcPr>
          <w:p>
            <w:pPr>
              <w:spacing w:after="0"/>
              <w:rPr>
                <w:sz w:val="11"/>
                <w:szCs w:val="11"/>
                <w:color w:val="auto"/>
              </w:rPr>
            </w:pPr>
          </w:p>
        </w:tc>
        <w:tc>
          <w:tcPr>
            <w:tcW w:w="5020" w:type="dxa"/>
            <w:vAlign w:val="bottom"/>
          </w:tcPr>
          <w:p>
            <w:pPr>
              <w:ind w:left="20"/>
              <w:spacing w:after="0"/>
              <w:rPr>
                <w:sz w:val="20"/>
                <w:szCs w:val="20"/>
                <w:color w:val="auto"/>
              </w:rPr>
            </w:pPr>
            <w:r>
              <w:rPr>
                <w:rFonts w:ascii="Arial" w:cs="Arial" w:eastAsia="Arial" w:hAnsi="Arial"/>
                <w:sz w:val="11"/>
                <w:szCs w:val="11"/>
                <w:color w:val="auto"/>
              </w:rPr>
              <w:t>Debt securities:</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5020" w:type="dxa"/>
            <w:vAlign w:val="bottom"/>
          </w:tcPr>
          <w:p>
            <w:pPr>
              <w:ind w:left="160"/>
              <w:spacing w:after="0" w:line="124" w:lineRule="exact"/>
              <w:rPr>
                <w:sz w:val="20"/>
                <w:szCs w:val="20"/>
                <w:color w:val="auto"/>
              </w:rPr>
            </w:pPr>
            <w:r>
              <w:rPr>
                <w:rFonts w:ascii="Arial" w:cs="Arial" w:eastAsia="Arial" w:hAnsi="Arial"/>
                <w:sz w:val="11"/>
                <w:szCs w:val="11"/>
                <w:color w:val="auto"/>
              </w:rPr>
              <w:t>Debt securities issued by the U.S. Treasury and other</w:t>
            </w: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5020" w:type="dxa"/>
            <w:vAlign w:val="bottom"/>
          </w:tcPr>
          <w:p>
            <w:pPr>
              <w:ind w:left="300"/>
              <w:spacing w:after="0" w:line="124" w:lineRule="exact"/>
              <w:rPr>
                <w:sz w:val="20"/>
                <w:szCs w:val="20"/>
                <w:color w:val="auto"/>
              </w:rPr>
            </w:pPr>
            <w:r>
              <w:rPr>
                <w:rFonts w:ascii="Arial" w:cs="Arial" w:eastAsia="Arial" w:hAnsi="Arial"/>
                <w:sz w:val="11"/>
                <w:szCs w:val="11"/>
                <w:color w:val="auto"/>
              </w:rPr>
              <w:t>U.S. government corporations and agencies</w:t>
            </w:r>
          </w:p>
        </w:tc>
        <w:tc>
          <w:tcPr>
            <w:tcW w:w="480" w:type="dxa"/>
            <w:vAlign w:val="bottom"/>
          </w:tcPr>
          <w:p>
            <w:pPr>
              <w:spacing w:after="0"/>
              <w:rPr>
                <w:sz w:val="10"/>
                <w:szCs w:val="10"/>
                <w:color w:val="auto"/>
              </w:rPr>
            </w:pPr>
          </w:p>
        </w:tc>
        <w:tc>
          <w:tcPr>
            <w:tcW w:w="800" w:type="dxa"/>
            <w:vAlign w:val="bottom"/>
          </w:tcPr>
          <w:p>
            <w:pPr>
              <w:jc w:val="right"/>
              <w:ind w:right="105"/>
              <w:spacing w:after="0" w:line="124" w:lineRule="exact"/>
              <w:rPr>
                <w:sz w:val="20"/>
                <w:szCs w:val="20"/>
                <w:color w:val="auto"/>
              </w:rPr>
            </w:pPr>
            <w:r>
              <w:rPr>
                <w:rFonts w:ascii="Arial" w:cs="Arial" w:eastAsia="Arial" w:hAnsi="Arial"/>
                <w:sz w:val="11"/>
                <w:szCs w:val="11"/>
                <w:color w:val="auto"/>
              </w:rPr>
              <w:t>143</w:t>
            </w:r>
          </w:p>
        </w:tc>
        <w:tc>
          <w:tcPr>
            <w:tcW w:w="340" w:type="dxa"/>
            <w:vAlign w:val="bottom"/>
          </w:tcPr>
          <w:p>
            <w:pPr>
              <w:spacing w:after="0"/>
              <w:rPr>
                <w:sz w:val="10"/>
                <w:szCs w:val="10"/>
                <w:color w:val="auto"/>
              </w:rPr>
            </w:pPr>
          </w:p>
        </w:tc>
        <w:tc>
          <w:tcPr>
            <w:tcW w:w="82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28</w:t>
            </w:r>
          </w:p>
        </w:tc>
        <w:tc>
          <w:tcPr>
            <w:tcW w:w="340" w:type="dxa"/>
            <w:vAlign w:val="bottom"/>
          </w:tcPr>
          <w:p>
            <w:pPr>
              <w:spacing w:after="0"/>
              <w:rPr>
                <w:sz w:val="10"/>
                <w:szCs w:val="10"/>
                <w:color w:val="auto"/>
              </w:rPr>
            </w:pPr>
          </w:p>
        </w:tc>
        <w:tc>
          <w:tcPr>
            <w:tcW w:w="82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w:t>
            </w:r>
          </w:p>
        </w:tc>
        <w:tc>
          <w:tcPr>
            <w:tcW w:w="460" w:type="dxa"/>
            <w:vAlign w:val="bottom"/>
          </w:tcPr>
          <w:p>
            <w:pPr>
              <w:spacing w:after="0"/>
              <w:rPr>
                <w:sz w:val="10"/>
                <w:szCs w:val="10"/>
                <w:color w:val="auto"/>
              </w:rPr>
            </w:pPr>
          </w:p>
        </w:tc>
        <w:tc>
          <w:tcPr>
            <w:tcW w:w="960" w:type="dxa"/>
            <w:vAlign w:val="bottom"/>
          </w:tcPr>
          <w:p>
            <w:pPr>
              <w:jc w:val="center"/>
              <w:ind w:left="425"/>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171</w:t>
            </w: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5020" w:type="dxa"/>
            <w:vAlign w:val="bottom"/>
          </w:tcPr>
          <w:p>
            <w:pPr>
              <w:ind w:left="160"/>
              <w:spacing w:after="0" w:line="124" w:lineRule="exact"/>
              <w:rPr>
                <w:sz w:val="20"/>
                <w:szCs w:val="20"/>
                <w:color w:val="auto"/>
              </w:rPr>
            </w:pPr>
            <w:r>
              <w:rPr>
                <w:rFonts w:ascii="Arial" w:cs="Arial" w:eastAsia="Arial" w:hAnsi="Arial"/>
                <w:sz w:val="11"/>
                <w:szCs w:val="11"/>
                <w:color w:val="auto"/>
              </w:rPr>
              <w:t>Municipal bonds</w:t>
            </w:r>
          </w:p>
        </w:tc>
        <w:tc>
          <w:tcPr>
            <w:tcW w:w="480" w:type="dxa"/>
            <w:vAlign w:val="bottom"/>
          </w:tcPr>
          <w:p>
            <w:pPr>
              <w:spacing w:after="0"/>
              <w:rPr>
                <w:sz w:val="10"/>
                <w:szCs w:val="10"/>
                <w:color w:val="auto"/>
              </w:rPr>
            </w:pPr>
          </w:p>
        </w:tc>
        <w:tc>
          <w:tcPr>
            <w:tcW w:w="800" w:type="dxa"/>
            <w:vAlign w:val="bottom"/>
          </w:tcPr>
          <w:p>
            <w:pPr>
              <w:jc w:val="right"/>
              <w:ind w:right="105"/>
              <w:spacing w:after="0" w:line="124" w:lineRule="exact"/>
              <w:rPr>
                <w:sz w:val="20"/>
                <w:szCs w:val="20"/>
                <w:color w:val="auto"/>
              </w:rPr>
            </w:pPr>
            <w:r>
              <w:rPr>
                <w:rFonts w:ascii="Arial" w:cs="Arial" w:eastAsia="Arial" w:hAnsi="Arial"/>
                <w:sz w:val="11"/>
                <w:szCs w:val="11"/>
                <w:color w:val="auto"/>
              </w:rPr>
              <w:t>―</w:t>
            </w:r>
          </w:p>
        </w:tc>
        <w:tc>
          <w:tcPr>
            <w:tcW w:w="340" w:type="dxa"/>
            <w:vAlign w:val="bottom"/>
          </w:tcPr>
          <w:p>
            <w:pPr>
              <w:spacing w:after="0"/>
              <w:rPr>
                <w:sz w:val="10"/>
                <w:szCs w:val="10"/>
                <w:color w:val="auto"/>
              </w:rPr>
            </w:pPr>
          </w:p>
        </w:tc>
        <w:tc>
          <w:tcPr>
            <w:tcW w:w="82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94</w:t>
            </w:r>
          </w:p>
        </w:tc>
        <w:tc>
          <w:tcPr>
            <w:tcW w:w="340" w:type="dxa"/>
            <w:vAlign w:val="bottom"/>
          </w:tcPr>
          <w:p>
            <w:pPr>
              <w:spacing w:after="0"/>
              <w:rPr>
                <w:sz w:val="10"/>
                <w:szCs w:val="10"/>
                <w:color w:val="auto"/>
              </w:rPr>
            </w:pPr>
          </w:p>
        </w:tc>
        <w:tc>
          <w:tcPr>
            <w:tcW w:w="82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w:t>
            </w:r>
          </w:p>
        </w:tc>
        <w:tc>
          <w:tcPr>
            <w:tcW w:w="460" w:type="dxa"/>
            <w:vAlign w:val="bottom"/>
          </w:tcPr>
          <w:p>
            <w:pPr>
              <w:spacing w:after="0"/>
              <w:rPr>
                <w:sz w:val="10"/>
                <w:szCs w:val="10"/>
                <w:color w:val="auto"/>
              </w:rPr>
            </w:pPr>
          </w:p>
        </w:tc>
        <w:tc>
          <w:tcPr>
            <w:tcW w:w="960" w:type="dxa"/>
            <w:vAlign w:val="bottom"/>
          </w:tcPr>
          <w:p>
            <w:pPr>
              <w:jc w:val="center"/>
              <w:ind w:left="425"/>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94</w:t>
            </w: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5020" w:type="dxa"/>
            <w:vAlign w:val="bottom"/>
          </w:tcPr>
          <w:p>
            <w:pPr>
              <w:ind w:left="160"/>
              <w:spacing w:after="0" w:line="101" w:lineRule="exact"/>
              <w:rPr>
                <w:sz w:val="20"/>
                <w:szCs w:val="20"/>
                <w:color w:val="auto"/>
              </w:rPr>
            </w:pPr>
            <w:r>
              <w:rPr>
                <w:rFonts w:ascii="Arial" w:cs="Arial" w:eastAsia="Arial" w:hAnsi="Arial"/>
                <w:sz w:val="11"/>
                <w:szCs w:val="11"/>
                <w:color w:val="auto"/>
              </w:rPr>
              <w:t>Other securities</w:t>
            </w:r>
          </w:p>
        </w:tc>
        <w:tc>
          <w:tcPr>
            <w:tcW w:w="4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105"/>
              <w:spacing w:after="0" w:line="101" w:lineRule="exact"/>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25"/>
              <w:spacing w:after="0" w:line="101" w:lineRule="exact"/>
              <w:rPr>
                <w:sz w:val="20"/>
                <w:szCs w:val="20"/>
                <w:color w:val="auto"/>
              </w:rPr>
            </w:pPr>
            <w:r>
              <w:rPr>
                <w:rFonts w:ascii="Arial" w:cs="Arial" w:eastAsia="Arial" w:hAnsi="Arial"/>
                <w:sz w:val="11"/>
                <w:szCs w:val="11"/>
                <w:color w:val="auto"/>
              </w:rPr>
              <w:t>39</w:t>
            </w: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25"/>
              <w:spacing w:after="0" w:line="101" w:lineRule="exact"/>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left="425"/>
              <w:spacing w:after="0" w:line="101" w:lineRule="exact"/>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5020" w:type="dxa"/>
            <w:vAlign w:val="bottom"/>
          </w:tcPr>
          <w:p>
            <w:pPr>
              <w:ind w:left="20"/>
              <w:spacing w:after="0" w:line="104" w:lineRule="exact"/>
              <w:rPr>
                <w:sz w:val="20"/>
                <w:szCs w:val="20"/>
                <w:color w:val="auto"/>
              </w:rPr>
            </w:pPr>
            <w:r>
              <w:rPr>
                <w:rFonts w:ascii="Arial" w:cs="Arial" w:eastAsia="Arial" w:hAnsi="Arial"/>
                <w:sz w:val="11"/>
                <w:szCs w:val="11"/>
                <w:color w:val="auto"/>
              </w:rPr>
              <w:t>Total debt securities</w:t>
            </w:r>
          </w:p>
        </w:tc>
        <w:tc>
          <w:tcPr>
            <w:tcW w:w="4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105"/>
              <w:spacing w:after="0" w:line="104" w:lineRule="exact"/>
              <w:rPr>
                <w:sz w:val="20"/>
                <w:szCs w:val="20"/>
                <w:color w:val="auto"/>
              </w:rPr>
            </w:pPr>
            <w:r>
              <w:rPr>
                <w:rFonts w:ascii="Arial" w:cs="Arial" w:eastAsia="Arial" w:hAnsi="Arial"/>
                <w:sz w:val="11"/>
                <w:szCs w:val="11"/>
                <w:color w:val="auto"/>
              </w:rPr>
              <w:t>143</w:t>
            </w: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25"/>
              <w:spacing w:after="0" w:line="104" w:lineRule="exact"/>
              <w:rPr>
                <w:sz w:val="20"/>
                <w:szCs w:val="20"/>
                <w:color w:val="auto"/>
              </w:rPr>
            </w:pPr>
            <w:r>
              <w:rPr>
                <w:rFonts w:ascii="Arial" w:cs="Arial" w:eastAsia="Arial" w:hAnsi="Arial"/>
                <w:sz w:val="11"/>
                <w:szCs w:val="11"/>
                <w:color w:val="auto"/>
              </w:rPr>
              <w:t>161</w:t>
            </w: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25"/>
              <w:spacing w:after="0" w:line="104" w:lineRule="exact"/>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left="425"/>
              <w:spacing w:after="0" w:line="104" w:lineRule="exact"/>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04" w:lineRule="exact"/>
              <w:rPr>
                <w:sz w:val="20"/>
                <w:szCs w:val="20"/>
                <w:color w:val="auto"/>
              </w:rPr>
            </w:pPr>
            <w:r>
              <w:rPr>
                <w:rFonts w:ascii="Arial" w:cs="Arial" w:eastAsia="Arial" w:hAnsi="Arial"/>
                <w:sz w:val="11"/>
                <w:szCs w:val="11"/>
                <w:color w:val="auto"/>
              </w:rPr>
              <w:t>304</w:t>
            </w:r>
          </w:p>
        </w:tc>
        <w:tc>
          <w:tcPr>
            <w:tcW w:w="0" w:type="dxa"/>
            <w:vAlign w:val="bottom"/>
          </w:tcPr>
          <w:p>
            <w:pPr>
              <w:spacing w:after="0"/>
              <w:rPr>
                <w:sz w:val="1"/>
                <w:szCs w:val="1"/>
                <w:color w:val="auto"/>
              </w:rPr>
            </w:pPr>
          </w:p>
        </w:tc>
      </w:tr>
      <w:tr>
        <w:trPr>
          <w:trHeight w:val="125"/>
        </w:trPr>
        <w:tc>
          <w:tcPr>
            <w:tcW w:w="5300" w:type="dxa"/>
            <w:vAlign w:val="bottom"/>
            <w:gridSpan w:val="2"/>
          </w:tcPr>
          <w:p>
            <w:pPr>
              <w:ind w:left="120"/>
              <w:spacing w:after="0" w:line="104" w:lineRule="exact"/>
              <w:rPr>
                <w:sz w:val="20"/>
                <w:szCs w:val="20"/>
                <w:color w:val="auto"/>
              </w:rPr>
            </w:pPr>
            <w:r>
              <w:rPr>
                <w:rFonts w:ascii="Arial" w:cs="Arial" w:eastAsia="Arial" w:hAnsi="Arial"/>
                <w:sz w:val="11"/>
                <w:szCs w:val="11"/>
                <w:color w:val="auto"/>
              </w:rPr>
              <w:t>Total nuclear decommissioning trusts(1)</w:t>
            </w:r>
          </w:p>
        </w:tc>
        <w:tc>
          <w:tcPr>
            <w:tcW w:w="4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105"/>
              <w:spacing w:after="0" w:line="104" w:lineRule="exact"/>
              <w:rPr>
                <w:sz w:val="20"/>
                <w:szCs w:val="20"/>
                <w:color w:val="auto"/>
              </w:rPr>
            </w:pPr>
            <w:r>
              <w:rPr>
                <w:rFonts w:ascii="Arial" w:cs="Arial" w:eastAsia="Arial" w:hAnsi="Arial"/>
                <w:sz w:val="11"/>
                <w:szCs w:val="11"/>
                <w:color w:val="auto"/>
              </w:rPr>
              <w:t>626</w:t>
            </w: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25"/>
              <w:spacing w:after="0" w:line="104" w:lineRule="exact"/>
              <w:rPr>
                <w:sz w:val="20"/>
                <w:szCs w:val="20"/>
                <w:color w:val="auto"/>
              </w:rPr>
            </w:pPr>
            <w:r>
              <w:rPr>
                <w:rFonts w:ascii="Arial" w:cs="Arial" w:eastAsia="Arial" w:hAnsi="Arial"/>
                <w:sz w:val="11"/>
                <w:szCs w:val="11"/>
                <w:color w:val="auto"/>
              </w:rPr>
              <w:t>161</w:t>
            </w: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25"/>
              <w:spacing w:after="0" w:line="104" w:lineRule="exact"/>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left="425"/>
              <w:spacing w:after="0" w:line="104" w:lineRule="exact"/>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04" w:lineRule="exact"/>
              <w:rPr>
                <w:sz w:val="20"/>
                <w:szCs w:val="20"/>
                <w:color w:val="auto"/>
              </w:rPr>
            </w:pPr>
            <w:r>
              <w:rPr>
                <w:rFonts w:ascii="Arial" w:cs="Arial" w:eastAsia="Arial" w:hAnsi="Arial"/>
                <w:sz w:val="11"/>
                <w:szCs w:val="11"/>
                <w:color w:val="auto"/>
              </w:rPr>
              <w:t>787</w:t>
            </w:r>
          </w:p>
        </w:tc>
        <w:tc>
          <w:tcPr>
            <w:tcW w:w="0" w:type="dxa"/>
            <w:vAlign w:val="bottom"/>
          </w:tcPr>
          <w:p>
            <w:pPr>
              <w:spacing w:after="0"/>
              <w:rPr>
                <w:sz w:val="1"/>
                <w:szCs w:val="1"/>
                <w:color w:val="auto"/>
              </w:rPr>
            </w:pPr>
          </w:p>
        </w:tc>
      </w:tr>
      <w:tr>
        <w:trPr>
          <w:trHeight w:val="128"/>
        </w:trPr>
        <w:tc>
          <w:tcPr>
            <w:tcW w:w="5300" w:type="dxa"/>
            <w:vAlign w:val="bottom"/>
            <w:gridSpan w:val="2"/>
          </w:tcPr>
          <w:p>
            <w:pPr>
              <w:ind w:left="120"/>
              <w:spacing w:after="0"/>
              <w:rPr>
                <w:sz w:val="20"/>
                <w:szCs w:val="20"/>
                <w:color w:val="auto"/>
              </w:rPr>
            </w:pPr>
            <w:r>
              <w:rPr>
                <w:rFonts w:ascii="Arial" w:cs="Arial" w:eastAsia="Arial" w:hAnsi="Arial"/>
                <w:sz w:val="11"/>
                <w:szCs w:val="11"/>
                <w:color w:val="auto"/>
              </w:rPr>
              <w:t>Commodity contracts subject to rate recovery</w:t>
            </w:r>
          </w:p>
        </w:tc>
        <w:tc>
          <w:tcPr>
            <w:tcW w:w="480" w:type="dxa"/>
            <w:vAlign w:val="bottom"/>
          </w:tcPr>
          <w:p>
            <w:pPr>
              <w:spacing w:after="0"/>
              <w:rPr>
                <w:sz w:val="11"/>
                <w:szCs w:val="11"/>
                <w:color w:val="auto"/>
              </w:rPr>
            </w:pPr>
          </w:p>
        </w:tc>
        <w:tc>
          <w:tcPr>
            <w:tcW w:w="800" w:type="dxa"/>
            <w:vAlign w:val="bottom"/>
          </w:tcPr>
          <w:p>
            <w:pPr>
              <w:jc w:val="right"/>
              <w:ind w:right="105"/>
              <w:spacing w:after="0"/>
              <w:rPr>
                <w:sz w:val="20"/>
                <w:szCs w:val="20"/>
                <w:color w:val="auto"/>
              </w:rPr>
            </w:pPr>
            <w:r>
              <w:rPr>
                <w:rFonts w:ascii="Arial" w:cs="Arial" w:eastAsia="Arial" w:hAnsi="Arial"/>
                <w:sz w:val="11"/>
                <w:szCs w:val="11"/>
                <w:color w:val="auto"/>
              </w:rPr>
              <w:t>30</w:t>
            </w:r>
          </w:p>
        </w:tc>
        <w:tc>
          <w:tcPr>
            <w:tcW w:w="340" w:type="dxa"/>
            <w:vAlign w:val="bottom"/>
          </w:tcPr>
          <w:p>
            <w:pPr>
              <w:spacing w:after="0"/>
              <w:rPr>
                <w:sz w:val="11"/>
                <w:szCs w:val="11"/>
                <w:color w:val="auto"/>
              </w:rPr>
            </w:pPr>
          </w:p>
        </w:tc>
        <w:tc>
          <w:tcPr>
            <w:tcW w:w="820" w:type="dxa"/>
            <w:vAlign w:val="bottom"/>
          </w:tcPr>
          <w:p>
            <w:pPr>
              <w:jc w:val="right"/>
              <w:ind w:right="125"/>
              <w:spacing w:after="0"/>
              <w:rPr>
                <w:sz w:val="20"/>
                <w:szCs w:val="20"/>
                <w:color w:val="auto"/>
              </w:rPr>
            </w:pPr>
            <w:r>
              <w:rPr>
                <w:rFonts w:ascii="Arial" w:cs="Arial" w:eastAsia="Arial" w:hAnsi="Arial"/>
                <w:sz w:val="11"/>
                <w:szCs w:val="11"/>
                <w:color w:val="auto"/>
              </w:rPr>
              <w:t>1</w:t>
            </w:r>
          </w:p>
        </w:tc>
        <w:tc>
          <w:tcPr>
            <w:tcW w:w="340" w:type="dxa"/>
            <w:vAlign w:val="bottom"/>
          </w:tcPr>
          <w:p>
            <w:pPr>
              <w:spacing w:after="0"/>
              <w:rPr>
                <w:sz w:val="11"/>
                <w:szCs w:val="11"/>
                <w:color w:val="auto"/>
              </w:rPr>
            </w:pPr>
          </w:p>
        </w:tc>
        <w:tc>
          <w:tcPr>
            <w:tcW w:w="820" w:type="dxa"/>
            <w:vAlign w:val="bottom"/>
          </w:tcPr>
          <w:p>
            <w:pPr>
              <w:jc w:val="right"/>
              <w:ind w:right="125"/>
              <w:spacing w:after="0"/>
              <w:rPr>
                <w:sz w:val="20"/>
                <w:szCs w:val="20"/>
                <w:color w:val="auto"/>
              </w:rPr>
            </w:pPr>
            <w:r>
              <w:rPr>
                <w:rFonts w:ascii="Arial" w:cs="Arial" w:eastAsia="Arial" w:hAnsi="Arial"/>
                <w:sz w:val="11"/>
                <w:szCs w:val="11"/>
                <w:color w:val="auto"/>
              </w:rPr>
              <w:t>3</w:t>
            </w:r>
          </w:p>
        </w:tc>
        <w:tc>
          <w:tcPr>
            <w:tcW w:w="460" w:type="dxa"/>
            <w:vAlign w:val="bottom"/>
          </w:tcPr>
          <w:p>
            <w:pPr>
              <w:spacing w:after="0"/>
              <w:rPr>
                <w:sz w:val="11"/>
                <w:szCs w:val="11"/>
                <w:color w:val="auto"/>
              </w:rPr>
            </w:pPr>
          </w:p>
        </w:tc>
        <w:tc>
          <w:tcPr>
            <w:tcW w:w="960" w:type="dxa"/>
            <w:vAlign w:val="bottom"/>
          </w:tcPr>
          <w:p>
            <w:pPr>
              <w:jc w:val="center"/>
              <w:ind w:left="425"/>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21"/>
        </w:trPr>
        <w:tc>
          <w:tcPr>
            <w:tcW w:w="5300" w:type="dxa"/>
            <w:vAlign w:val="bottom"/>
            <w:gridSpan w:val="2"/>
          </w:tcPr>
          <w:p>
            <w:pPr>
              <w:ind w:left="120"/>
              <w:spacing w:after="0" w:line="101" w:lineRule="exact"/>
              <w:rPr>
                <w:sz w:val="20"/>
                <w:szCs w:val="20"/>
                <w:color w:val="auto"/>
              </w:rPr>
            </w:pPr>
            <w:r>
              <w:rPr>
                <w:rFonts w:ascii="Arial" w:cs="Arial" w:eastAsia="Arial" w:hAnsi="Arial"/>
                <w:sz w:val="11"/>
                <w:szCs w:val="11"/>
                <w:color w:val="auto"/>
              </w:rPr>
              <w:t>Commodity contracts not subject to rate recovery</w:t>
            </w:r>
          </w:p>
        </w:tc>
        <w:tc>
          <w:tcPr>
            <w:tcW w:w="4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105"/>
              <w:spacing w:after="0" w:line="101" w:lineRule="exact"/>
              <w:rPr>
                <w:sz w:val="20"/>
                <w:szCs w:val="20"/>
                <w:color w:val="auto"/>
              </w:rPr>
            </w:pPr>
            <w:r>
              <w:rPr>
                <w:rFonts w:ascii="Arial" w:cs="Arial" w:eastAsia="Arial" w:hAnsi="Arial"/>
                <w:sz w:val="11"/>
                <w:szCs w:val="11"/>
                <w:color w:val="auto"/>
              </w:rPr>
              <w:t>2</w:t>
            </w: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25"/>
              <w:spacing w:after="0" w:line="101" w:lineRule="exact"/>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25"/>
              <w:spacing w:after="0" w:line="101" w:lineRule="exact"/>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left="425"/>
              <w:spacing w:after="0" w:line="101" w:lineRule="exact"/>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25"/>
        </w:trPr>
        <w:tc>
          <w:tcPr>
            <w:tcW w:w="280" w:type="dxa"/>
            <w:vAlign w:val="bottom"/>
          </w:tcPr>
          <w:p>
            <w:pPr>
              <w:spacing w:after="0" w:line="104" w:lineRule="exact"/>
              <w:rPr>
                <w:sz w:val="20"/>
                <w:szCs w:val="20"/>
                <w:color w:val="auto"/>
              </w:rPr>
            </w:pPr>
            <w:r>
              <w:rPr>
                <w:rFonts w:ascii="Arial" w:cs="Arial" w:eastAsia="Arial" w:hAnsi="Arial"/>
                <w:sz w:val="11"/>
                <w:szCs w:val="11"/>
                <w:color w:val="auto"/>
              </w:rPr>
              <w:t>Total</w:t>
            </w:r>
          </w:p>
        </w:tc>
        <w:tc>
          <w:tcPr>
            <w:tcW w:w="5020" w:type="dxa"/>
            <w:vAlign w:val="bottom"/>
          </w:tcPr>
          <w:p>
            <w:pPr>
              <w:spacing w:after="0"/>
              <w:rPr>
                <w:sz w:val="10"/>
                <w:szCs w:val="10"/>
                <w:color w:val="auto"/>
              </w:rPr>
            </w:pPr>
          </w:p>
        </w:tc>
        <w:tc>
          <w:tcPr>
            <w:tcW w:w="480" w:type="dxa"/>
            <w:vAlign w:val="bottom"/>
            <w:tcBorders>
              <w:bottom w:val="single" w:sz="8" w:color="auto"/>
            </w:tcBorders>
          </w:tcPr>
          <w:p>
            <w:pPr>
              <w:jc w:val="right"/>
              <w:ind w:right="45"/>
              <w:spacing w:after="0" w:line="104" w:lineRule="exact"/>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ind w:right="105"/>
              <w:spacing w:after="0" w:line="104" w:lineRule="exact"/>
              <w:rPr>
                <w:sz w:val="20"/>
                <w:szCs w:val="20"/>
                <w:color w:val="auto"/>
              </w:rPr>
            </w:pPr>
            <w:r>
              <w:rPr>
                <w:rFonts w:ascii="Arial" w:cs="Arial" w:eastAsia="Arial" w:hAnsi="Arial"/>
                <w:sz w:val="11"/>
                <w:szCs w:val="11"/>
                <w:color w:val="auto"/>
              </w:rPr>
              <w:t>658</w:t>
            </w:r>
          </w:p>
        </w:tc>
        <w:tc>
          <w:tcPr>
            <w:tcW w:w="340" w:type="dxa"/>
            <w:vAlign w:val="bottom"/>
            <w:tcBorders>
              <w:bottom w:val="single" w:sz="8" w:color="auto"/>
            </w:tcBorders>
          </w:tcPr>
          <w:p>
            <w:pPr>
              <w:jc w:val="right"/>
              <w:ind w:right="45"/>
              <w:spacing w:after="0" w:line="104" w:lineRule="exact"/>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125"/>
              <w:spacing w:after="0" w:line="104" w:lineRule="exact"/>
              <w:rPr>
                <w:sz w:val="20"/>
                <w:szCs w:val="20"/>
                <w:color w:val="auto"/>
              </w:rPr>
            </w:pPr>
            <w:r>
              <w:rPr>
                <w:rFonts w:ascii="Arial" w:cs="Arial" w:eastAsia="Arial" w:hAnsi="Arial"/>
                <w:sz w:val="11"/>
                <w:szCs w:val="11"/>
                <w:color w:val="auto"/>
              </w:rPr>
              <w:t>162</w:t>
            </w:r>
          </w:p>
        </w:tc>
        <w:tc>
          <w:tcPr>
            <w:tcW w:w="340" w:type="dxa"/>
            <w:vAlign w:val="bottom"/>
            <w:tcBorders>
              <w:bottom w:val="single" w:sz="8" w:color="auto"/>
            </w:tcBorders>
          </w:tcPr>
          <w:p>
            <w:pPr>
              <w:jc w:val="right"/>
              <w:ind w:right="45"/>
              <w:spacing w:after="0" w:line="104" w:lineRule="exact"/>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125"/>
              <w:spacing w:after="0" w:line="104" w:lineRule="exact"/>
              <w:rPr>
                <w:sz w:val="20"/>
                <w:szCs w:val="20"/>
                <w:color w:val="auto"/>
              </w:rPr>
            </w:pPr>
            <w:r>
              <w:rPr>
                <w:rFonts w:ascii="Arial" w:cs="Arial" w:eastAsia="Arial" w:hAnsi="Arial"/>
                <w:sz w:val="11"/>
                <w:szCs w:val="11"/>
                <w:color w:val="auto"/>
              </w:rPr>
              <w:t>3</w:t>
            </w:r>
          </w:p>
        </w:tc>
        <w:tc>
          <w:tcPr>
            <w:tcW w:w="460" w:type="dxa"/>
            <w:vAlign w:val="bottom"/>
            <w:tcBorders>
              <w:bottom w:val="single" w:sz="8" w:color="auto"/>
            </w:tcBorders>
          </w:tcPr>
          <w:p>
            <w:pPr>
              <w:jc w:val="right"/>
              <w:ind w:right="185"/>
              <w:spacing w:after="0" w:line="104" w:lineRule="exact"/>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tcPr>
          <w:p>
            <w:pPr>
              <w:jc w:val="center"/>
              <w:ind w:left="425"/>
              <w:spacing w:after="0" w:line="104" w:lineRule="exact"/>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jc w:val="right"/>
              <w:ind w:right="125"/>
              <w:spacing w:after="0" w:line="104" w:lineRule="exact"/>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spacing w:after="0" w:line="104" w:lineRule="exact"/>
              <w:rPr>
                <w:sz w:val="20"/>
                <w:szCs w:val="20"/>
                <w:color w:val="auto"/>
              </w:rPr>
            </w:pPr>
            <w:r>
              <w:rPr>
                <w:rFonts w:ascii="Arial" w:cs="Arial" w:eastAsia="Arial" w:hAnsi="Arial"/>
                <w:sz w:val="11"/>
                <w:szCs w:val="11"/>
                <w:color w:val="auto"/>
              </w:rPr>
              <w:t>823</w:t>
            </w:r>
          </w:p>
        </w:tc>
        <w:tc>
          <w:tcPr>
            <w:tcW w:w="0" w:type="dxa"/>
            <w:vAlign w:val="bottom"/>
          </w:tcPr>
          <w:p>
            <w:pPr>
              <w:spacing w:after="0"/>
              <w:rPr>
                <w:sz w:val="1"/>
                <w:szCs w:val="1"/>
                <w:color w:val="auto"/>
              </w:rPr>
            </w:pPr>
          </w:p>
        </w:tc>
      </w:tr>
      <w:tr>
        <w:trPr>
          <w:trHeight w:val="252"/>
        </w:trPr>
        <w:tc>
          <w:tcPr>
            <w:tcW w:w="5300" w:type="dxa"/>
            <w:vAlign w:val="bottom"/>
            <w:gridSpan w:val="2"/>
          </w:tcPr>
          <w:p>
            <w:pPr>
              <w:spacing w:after="0"/>
              <w:rPr>
                <w:sz w:val="20"/>
                <w:szCs w:val="20"/>
                <w:color w:val="auto"/>
              </w:rPr>
            </w:pPr>
            <w:r>
              <w:rPr>
                <w:rFonts w:ascii="Arial" w:cs="Arial" w:eastAsia="Arial" w:hAnsi="Arial"/>
                <w:sz w:val="11"/>
                <w:szCs w:val="11"/>
                <w:color w:val="auto"/>
              </w:rPr>
              <w:t>Liabilities:</w:t>
            </w: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5300" w:type="dxa"/>
            <w:vAlign w:val="bottom"/>
            <w:gridSpan w:val="2"/>
          </w:tcPr>
          <w:p>
            <w:pPr>
              <w:ind w:left="120"/>
              <w:spacing w:after="0" w:line="124" w:lineRule="exact"/>
              <w:rPr>
                <w:sz w:val="20"/>
                <w:szCs w:val="20"/>
                <w:color w:val="auto"/>
              </w:rPr>
            </w:pPr>
            <w:r>
              <w:rPr>
                <w:rFonts w:ascii="Arial" w:cs="Arial" w:eastAsia="Arial" w:hAnsi="Arial"/>
                <w:sz w:val="11"/>
                <w:szCs w:val="11"/>
                <w:color w:val="auto"/>
              </w:rPr>
              <w:t>Interest rate instruments</w:t>
            </w:r>
          </w:p>
        </w:tc>
        <w:tc>
          <w:tcPr>
            <w:tcW w:w="480" w:type="dxa"/>
            <w:vAlign w:val="bottom"/>
          </w:tcPr>
          <w:p>
            <w:pPr>
              <w:jc w:val="right"/>
              <w:ind w:right="45"/>
              <w:spacing w:after="0" w:line="124"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105"/>
              <w:spacing w:after="0" w:line="124" w:lineRule="exact"/>
              <w:rPr>
                <w:sz w:val="20"/>
                <w:szCs w:val="20"/>
                <w:color w:val="auto"/>
              </w:rPr>
            </w:pPr>
            <w:r>
              <w:rPr>
                <w:rFonts w:ascii="Arial" w:cs="Arial" w:eastAsia="Arial" w:hAnsi="Arial"/>
                <w:sz w:val="11"/>
                <w:szCs w:val="11"/>
                <w:color w:val="auto"/>
              </w:rPr>
              <w:t>―</w:t>
            </w:r>
          </w:p>
        </w:tc>
        <w:tc>
          <w:tcPr>
            <w:tcW w:w="340" w:type="dxa"/>
            <w:vAlign w:val="bottom"/>
          </w:tcPr>
          <w:p>
            <w:pPr>
              <w:jc w:val="right"/>
              <w:ind w:right="45"/>
              <w:spacing w:after="0" w:line="124" w:lineRule="exact"/>
              <w:rPr>
                <w:sz w:val="20"/>
                <w:szCs w:val="20"/>
                <w:color w:val="auto"/>
              </w:rPr>
            </w:pPr>
            <w:r>
              <w:rPr>
                <w:rFonts w:ascii="Arial" w:cs="Arial" w:eastAsia="Arial" w:hAnsi="Arial"/>
                <w:sz w:val="11"/>
                <w:szCs w:val="11"/>
                <w:color w:val="auto"/>
              </w:rPr>
              <w:t>$</w:t>
            </w:r>
          </w:p>
        </w:tc>
        <w:tc>
          <w:tcPr>
            <w:tcW w:w="82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53</w:t>
            </w:r>
          </w:p>
        </w:tc>
        <w:tc>
          <w:tcPr>
            <w:tcW w:w="340" w:type="dxa"/>
            <w:vAlign w:val="bottom"/>
          </w:tcPr>
          <w:p>
            <w:pPr>
              <w:jc w:val="right"/>
              <w:ind w:right="45"/>
              <w:spacing w:after="0" w:line="124" w:lineRule="exact"/>
              <w:rPr>
                <w:sz w:val="20"/>
                <w:szCs w:val="20"/>
                <w:color w:val="auto"/>
              </w:rPr>
            </w:pPr>
            <w:r>
              <w:rPr>
                <w:rFonts w:ascii="Arial" w:cs="Arial" w:eastAsia="Arial" w:hAnsi="Arial"/>
                <w:sz w:val="11"/>
                <w:szCs w:val="11"/>
                <w:color w:val="auto"/>
              </w:rPr>
              <w:t>$</w:t>
            </w:r>
          </w:p>
        </w:tc>
        <w:tc>
          <w:tcPr>
            <w:tcW w:w="82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w:t>
            </w:r>
          </w:p>
        </w:tc>
        <w:tc>
          <w:tcPr>
            <w:tcW w:w="460" w:type="dxa"/>
            <w:vAlign w:val="bottom"/>
          </w:tcPr>
          <w:p>
            <w:pPr>
              <w:jc w:val="right"/>
              <w:ind w:right="185"/>
              <w:spacing w:after="0" w:line="124" w:lineRule="exact"/>
              <w:rPr>
                <w:sz w:val="20"/>
                <w:szCs w:val="20"/>
                <w:color w:val="auto"/>
              </w:rPr>
            </w:pPr>
            <w:r>
              <w:rPr>
                <w:rFonts w:ascii="Arial" w:cs="Arial" w:eastAsia="Arial" w:hAnsi="Arial"/>
                <w:sz w:val="11"/>
                <w:szCs w:val="11"/>
                <w:color w:val="auto"/>
              </w:rPr>
              <w:t>$</w:t>
            </w:r>
          </w:p>
        </w:tc>
        <w:tc>
          <w:tcPr>
            <w:tcW w:w="960" w:type="dxa"/>
            <w:vAlign w:val="bottom"/>
          </w:tcPr>
          <w:p>
            <w:pPr>
              <w:jc w:val="center"/>
              <w:ind w:left="425"/>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53</w:t>
            </w:r>
          </w:p>
        </w:tc>
        <w:tc>
          <w:tcPr>
            <w:tcW w:w="0" w:type="dxa"/>
            <w:vAlign w:val="bottom"/>
          </w:tcPr>
          <w:p>
            <w:pPr>
              <w:spacing w:after="0"/>
              <w:rPr>
                <w:sz w:val="1"/>
                <w:szCs w:val="1"/>
                <w:color w:val="auto"/>
              </w:rPr>
            </w:pPr>
          </w:p>
        </w:tc>
      </w:tr>
      <w:tr>
        <w:trPr>
          <w:trHeight w:val="121"/>
        </w:trPr>
        <w:tc>
          <w:tcPr>
            <w:tcW w:w="5300" w:type="dxa"/>
            <w:vAlign w:val="bottom"/>
            <w:gridSpan w:val="2"/>
          </w:tcPr>
          <w:p>
            <w:pPr>
              <w:ind w:left="120"/>
              <w:spacing w:after="0" w:line="101" w:lineRule="exact"/>
              <w:rPr>
                <w:sz w:val="20"/>
                <w:szCs w:val="20"/>
                <w:color w:val="auto"/>
              </w:rPr>
            </w:pPr>
            <w:r>
              <w:rPr>
                <w:rFonts w:ascii="Arial" w:cs="Arial" w:eastAsia="Arial" w:hAnsi="Arial"/>
                <w:sz w:val="11"/>
                <w:szCs w:val="11"/>
                <w:color w:val="auto"/>
              </w:rPr>
              <w:t>Commodity contracts subject to rate recovery</w:t>
            </w:r>
          </w:p>
        </w:tc>
        <w:tc>
          <w:tcPr>
            <w:tcW w:w="4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105"/>
              <w:spacing w:after="0" w:line="101" w:lineRule="exact"/>
              <w:rPr>
                <w:sz w:val="20"/>
                <w:szCs w:val="20"/>
                <w:color w:val="auto"/>
              </w:rPr>
            </w:pPr>
            <w:r>
              <w:rPr>
                <w:rFonts w:ascii="Arial" w:cs="Arial" w:eastAsia="Arial" w:hAnsi="Arial"/>
                <w:sz w:val="11"/>
                <w:szCs w:val="11"/>
                <w:color w:val="auto"/>
              </w:rPr>
              <w:t>44</w:t>
            </w: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25"/>
              <w:spacing w:after="0" w:line="101" w:lineRule="exact"/>
              <w:rPr>
                <w:sz w:val="20"/>
                <w:szCs w:val="20"/>
                <w:color w:val="auto"/>
              </w:rPr>
            </w:pPr>
            <w:r>
              <w:rPr>
                <w:rFonts w:ascii="Arial" w:cs="Arial" w:eastAsia="Arial" w:hAnsi="Arial"/>
                <w:sz w:val="11"/>
                <w:szCs w:val="11"/>
                <w:color w:val="auto"/>
              </w:rPr>
              <w:t>2</w:t>
            </w: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25"/>
              <w:spacing w:after="0" w:line="101" w:lineRule="exact"/>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left="385"/>
              <w:spacing w:after="0" w:line="101" w:lineRule="exact"/>
              <w:rPr>
                <w:sz w:val="20"/>
                <w:szCs w:val="20"/>
                <w:color w:val="auto"/>
              </w:rPr>
            </w:pPr>
            <w:r>
              <w:rPr>
                <w:rFonts w:ascii="Arial" w:cs="Arial" w:eastAsia="Arial" w:hAnsi="Arial"/>
                <w:sz w:val="11"/>
                <w:szCs w:val="11"/>
                <w:color w:val="auto"/>
              </w:rPr>
              <w:t>(44)</w:t>
            </w:r>
          </w:p>
        </w:tc>
        <w:tc>
          <w:tcPr>
            <w:tcW w:w="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25"/>
        </w:trPr>
        <w:tc>
          <w:tcPr>
            <w:tcW w:w="280" w:type="dxa"/>
            <w:vAlign w:val="bottom"/>
            <w:tcBorders>
              <w:bottom w:val="single" w:sz="8" w:color="auto"/>
            </w:tcBorders>
          </w:tcPr>
          <w:p>
            <w:pPr>
              <w:spacing w:after="0" w:line="124" w:lineRule="exact"/>
              <w:rPr>
                <w:sz w:val="20"/>
                <w:szCs w:val="20"/>
                <w:color w:val="auto"/>
              </w:rPr>
            </w:pPr>
            <w:r>
              <w:rPr>
                <w:rFonts w:ascii="Arial" w:cs="Arial" w:eastAsia="Arial" w:hAnsi="Arial"/>
                <w:sz w:val="11"/>
                <w:szCs w:val="11"/>
                <w:color w:val="auto"/>
              </w:rPr>
              <w:t>Total</w:t>
            </w:r>
          </w:p>
        </w:tc>
        <w:tc>
          <w:tcPr>
            <w:tcW w:w="50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45"/>
              <w:spacing w:after="0" w:line="124" w:lineRule="exact"/>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ind w:right="105"/>
              <w:spacing w:after="0" w:line="124" w:lineRule="exact"/>
              <w:rPr>
                <w:sz w:val="20"/>
                <w:szCs w:val="20"/>
                <w:color w:val="auto"/>
              </w:rPr>
            </w:pPr>
            <w:r>
              <w:rPr>
                <w:rFonts w:ascii="Arial" w:cs="Arial" w:eastAsia="Arial" w:hAnsi="Arial"/>
                <w:sz w:val="11"/>
                <w:szCs w:val="11"/>
                <w:color w:val="auto"/>
              </w:rPr>
              <w:t>44</w:t>
            </w:r>
          </w:p>
        </w:tc>
        <w:tc>
          <w:tcPr>
            <w:tcW w:w="340" w:type="dxa"/>
            <w:vAlign w:val="bottom"/>
            <w:tcBorders>
              <w:bottom w:val="single" w:sz="8" w:color="auto"/>
            </w:tcBorders>
          </w:tcPr>
          <w:p>
            <w:pPr>
              <w:jc w:val="right"/>
              <w:ind w:right="45"/>
              <w:spacing w:after="0" w:line="124" w:lineRule="exact"/>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125"/>
              <w:spacing w:after="0" w:line="124" w:lineRule="exact"/>
              <w:rPr>
                <w:sz w:val="20"/>
                <w:szCs w:val="20"/>
                <w:color w:val="auto"/>
              </w:rPr>
            </w:pPr>
            <w:r>
              <w:rPr>
                <w:rFonts w:ascii="Arial" w:cs="Arial" w:eastAsia="Arial" w:hAnsi="Arial"/>
                <w:sz w:val="11"/>
                <w:szCs w:val="11"/>
                <w:color w:val="auto"/>
              </w:rPr>
              <w:t>55</w:t>
            </w:r>
          </w:p>
        </w:tc>
        <w:tc>
          <w:tcPr>
            <w:tcW w:w="340" w:type="dxa"/>
            <w:vAlign w:val="bottom"/>
            <w:tcBorders>
              <w:bottom w:val="single" w:sz="8" w:color="auto"/>
            </w:tcBorders>
          </w:tcPr>
          <w:p>
            <w:pPr>
              <w:jc w:val="right"/>
              <w:ind w:right="45"/>
              <w:spacing w:after="0" w:line="124" w:lineRule="exact"/>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125"/>
              <w:spacing w:after="0" w:line="124" w:lineRule="exact"/>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jc w:val="right"/>
              <w:ind w:right="185"/>
              <w:spacing w:after="0" w:line="124" w:lineRule="exact"/>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tcPr>
          <w:p>
            <w:pPr>
              <w:jc w:val="center"/>
              <w:ind w:left="385"/>
              <w:spacing w:after="0" w:line="124" w:lineRule="exact"/>
              <w:rPr>
                <w:sz w:val="20"/>
                <w:szCs w:val="20"/>
                <w:color w:val="auto"/>
              </w:rPr>
            </w:pPr>
            <w:r>
              <w:rPr>
                <w:rFonts w:ascii="Arial" w:cs="Arial" w:eastAsia="Arial" w:hAnsi="Arial"/>
                <w:sz w:val="11"/>
                <w:szCs w:val="11"/>
                <w:color w:val="auto"/>
              </w:rPr>
              <w:t>(44)</w:t>
            </w:r>
          </w:p>
        </w:tc>
        <w:tc>
          <w:tcPr>
            <w:tcW w:w="400" w:type="dxa"/>
            <w:vAlign w:val="bottom"/>
            <w:tcBorders>
              <w:bottom w:val="single" w:sz="8" w:color="auto"/>
            </w:tcBorders>
          </w:tcPr>
          <w:p>
            <w:pPr>
              <w:jc w:val="right"/>
              <w:ind w:right="125"/>
              <w:spacing w:after="0" w:line="124" w:lineRule="exact"/>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55</w:t>
            </w:r>
          </w:p>
        </w:tc>
        <w:tc>
          <w:tcPr>
            <w:tcW w:w="0" w:type="dxa"/>
            <w:vAlign w:val="bottom"/>
          </w:tcPr>
          <w:p>
            <w:pPr>
              <w:spacing w:after="0"/>
              <w:rPr>
                <w:sz w:val="1"/>
                <w:szCs w:val="1"/>
                <w:color w:val="auto"/>
              </w:rPr>
            </w:pPr>
          </w:p>
        </w:tc>
      </w:tr>
      <w:tr>
        <w:trPr>
          <w:trHeight w:val="249"/>
        </w:trPr>
        <w:tc>
          <w:tcPr>
            <w:tcW w:w="28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1"/>
                <w:szCs w:val="11"/>
                <w:color w:val="auto"/>
              </w:rPr>
              <w:t>At fair value as of December 31, 2010</w:t>
            </w:r>
          </w:p>
        </w:tc>
        <w:tc>
          <w:tcPr>
            <w:tcW w:w="9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28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jc w:val="center"/>
              <w:ind w:right="325"/>
              <w:spacing w:after="0"/>
              <w:rPr>
                <w:sz w:val="20"/>
                <w:szCs w:val="20"/>
                <w:color w:val="auto"/>
              </w:rPr>
            </w:pPr>
            <w:r>
              <w:rPr>
                <w:rFonts w:ascii="Arial" w:cs="Arial" w:eastAsia="Arial" w:hAnsi="Arial"/>
                <w:sz w:val="11"/>
                <w:szCs w:val="11"/>
                <w:color w:val="auto"/>
                <w:w w:val="98"/>
              </w:rPr>
              <w:t>Collateral</w:t>
            </w: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5"/>
              <w:spacing w:after="0" w:line="121" w:lineRule="exact"/>
              <w:rPr>
                <w:sz w:val="20"/>
                <w:szCs w:val="20"/>
                <w:color w:val="auto"/>
              </w:rPr>
            </w:pPr>
            <w:r>
              <w:rPr>
                <w:rFonts w:ascii="Arial" w:cs="Arial" w:eastAsia="Arial" w:hAnsi="Arial"/>
                <w:sz w:val="11"/>
                <w:szCs w:val="11"/>
                <w:color w:val="auto"/>
              </w:rPr>
              <w:t>Level 1</w:t>
            </w: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05"/>
              <w:spacing w:after="0" w:line="121" w:lineRule="exact"/>
              <w:rPr>
                <w:sz w:val="20"/>
                <w:szCs w:val="20"/>
                <w:color w:val="auto"/>
              </w:rPr>
            </w:pPr>
            <w:r>
              <w:rPr>
                <w:rFonts w:ascii="Arial" w:cs="Arial" w:eastAsia="Arial" w:hAnsi="Arial"/>
                <w:sz w:val="11"/>
                <w:szCs w:val="11"/>
                <w:color w:val="auto"/>
              </w:rPr>
              <w:t>Level 2</w:t>
            </w: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05"/>
              <w:spacing w:after="0" w:line="121" w:lineRule="exact"/>
              <w:rPr>
                <w:sz w:val="20"/>
                <w:szCs w:val="20"/>
                <w:color w:val="auto"/>
              </w:rPr>
            </w:pPr>
            <w:r>
              <w:rPr>
                <w:rFonts w:ascii="Arial" w:cs="Arial" w:eastAsia="Arial" w:hAnsi="Arial"/>
                <w:sz w:val="11"/>
                <w:szCs w:val="11"/>
                <w:color w:val="auto"/>
              </w:rPr>
              <w:t>Level 3</w:t>
            </w:r>
          </w:p>
        </w:tc>
        <w:tc>
          <w:tcPr>
            <w:tcW w:w="4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325"/>
              <w:spacing w:after="0" w:line="121" w:lineRule="exact"/>
              <w:rPr>
                <w:sz w:val="20"/>
                <w:szCs w:val="20"/>
                <w:color w:val="auto"/>
              </w:rPr>
            </w:pPr>
            <w:r>
              <w:rPr>
                <w:rFonts w:ascii="Arial" w:cs="Arial" w:eastAsia="Arial" w:hAnsi="Arial"/>
                <w:sz w:val="11"/>
                <w:szCs w:val="11"/>
                <w:color w:val="auto"/>
                <w:w w:val="97"/>
              </w:rPr>
              <w:t>netted</w:t>
            </w:r>
          </w:p>
        </w:tc>
        <w:tc>
          <w:tcPr>
            <w:tcW w:w="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5"/>
              <w:spacing w:after="0" w:line="121" w:lineRule="exact"/>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28"/>
        </w:trPr>
        <w:tc>
          <w:tcPr>
            <w:tcW w:w="5300" w:type="dxa"/>
            <w:vAlign w:val="bottom"/>
            <w:gridSpan w:val="2"/>
          </w:tcPr>
          <w:p>
            <w:pPr>
              <w:spacing w:after="0"/>
              <w:rPr>
                <w:sz w:val="20"/>
                <w:szCs w:val="20"/>
                <w:color w:val="auto"/>
              </w:rPr>
            </w:pPr>
            <w:r>
              <w:rPr>
                <w:rFonts w:ascii="Arial" w:cs="Arial" w:eastAsia="Arial" w:hAnsi="Arial"/>
                <w:sz w:val="11"/>
                <w:szCs w:val="11"/>
                <w:color w:val="auto"/>
              </w:rPr>
              <w:t>Assets:</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300" w:type="dxa"/>
            <w:vAlign w:val="bottom"/>
            <w:gridSpan w:val="2"/>
          </w:tcPr>
          <w:p>
            <w:pPr>
              <w:ind w:left="120"/>
              <w:spacing w:after="0"/>
              <w:rPr>
                <w:sz w:val="20"/>
                <w:szCs w:val="20"/>
                <w:color w:val="auto"/>
              </w:rPr>
            </w:pPr>
            <w:r>
              <w:rPr>
                <w:rFonts w:ascii="Arial" w:cs="Arial" w:eastAsia="Arial" w:hAnsi="Arial"/>
                <w:sz w:val="11"/>
                <w:szCs w:val="11"/>
                <w:color w:val="auto"/>
              </w:rPr>
              <w:t>Nuclear decommissioning trusts</w:t>
            </w:r>
          </w:p>
        </w:tc>
        <w:tc>
          <w:tcPr>
            <w:tcW w:w="480" w:type="dxa"/>
            <w:vAlign w:val="bottom"/>
            <w:vMerge w:val="restart"/>
          </w:tcPr>
          <w:p>
            <w:pPr>
              <w:jc w:val="right"/>
              <w:ind w:right="45"/>
              <w:spacing w:after="0"/>
              <w:rPr>
                <w:sz w:val="20"/>
                <w:szCs w:val="20"/>
                <w:color w:val="auto"/>
              </w:rPr>
            </w:pPr>
            <w:r>
              <w:rPr>
                <w:rFonts w:ascii="Arial" w:cs="Arial" w:eastAsia="Arial" w:hAnsi="Arial"/>
                <w:sz w:val="11"/>
                <w:szCs w:val="11"/>
                <w:color w:val="auto"/>
              </w:rPr>
              <w:t>$</w:t>
            </w:r>
          </w:p>
        </w:tc>
        <w:tc>
          <w:tcPr>
            <w:tcW w:w="800" w:type="dxa"/>
            <w:vAlign w:val="bottom"/>
            <w:vMerge w:val="restart"/>
          </w:tcPr>
          <w:p>
            <w:pPr>
              <w:jc w:val="right"/>
              <w:ind w:right="105"/>
              <w:spacing w:after="0"/>
              <w:rPr>
                <w:sz w:val="20"/>
                <w:szCs w:val="20"/>
                <w:color w:val="auto"/>
              </w:rPr>
            </w:pPr>
            <w:r>
              <w:rPr>
                <w:rFonts w:ascii="Arial" w:cs="Arial" w:eastAsia="Arial" w:hAnsi="Arial"/>
                <w:sz w:val="11"/>
                <w:szCs w:val="11"/>
                <w:color w:val="auto"/>
              </w:rPr>
              <w:t>460</w:t>
            </w:r>
          </w:p>
        </w:tc>
        <w:tc>
          <w:tcPr>
            <w:tcW w:w="340" w:type="dxa"/>
            <w:vAlign w:val="bottom"/>
            <w:vMerge w:val="restart"/>
          </w:tcPr>
          <w:p>
            <w:pPr>
              <w:jc w:val="right"/>
              <w:ind w:right="45"/>
              <w:spacing w:after="0"/>
              <w:rPr>
                <w:sz w:val="20"/>
                <w:szCs w:val="20"/>
                <w:color w:val="auto"/>
              </w:rPr>
            </w:pPr>
            <w:r>
              <w:rPr>
                <w:rFonts w:ascii="Arial" w:cs="Arial" w:eastAsia="Arial" w:hAnsi="Arial"/>
                <w:sz w:val="11"/>
                <w:szCs w:val="11"/>
                <w:color w:val="auto"/>
              </w:rPr>
              <w:t>$</w:t>
            </w:r>
          </w:p>
        </w:tc>
        <w:tc>
          <w:tcPr>
            <w:tcW w:w="820" w:type="dxa"/>
            <w:vAlign w:val="bottom"/>
            <w:vMerge w:val="restart"/>
          </w:tcPr>
          <w:p>
            <w:pPr>
              <w:jc w:val="right"/>
              <w:ind w:right="125"/>
              <w:spacing w:after="0"/>
              <w:rPr>
                <w:sz w:val="20"/>
                <w:szCs w:val="20"/>
                <w:color w:val="auto"/>
              </w:rPr>
            </w:pPr>
            <w:r>
              <w:rPr>
                <w:rFonts w:ascii="Arial" w:cs="Arial" w:eastAsia="Arial" w:hAnsi="Arial"/>
                <w:sz w:val="11"/>
                <w:szCs w:val="11"/>
                <w:color w:val="auto"/>
              </w:rPr>
              <w:t>―</w:t>
            </w:r>
          </w:p>
        </w:tc>
        <w:tc>
          <w:tcPr>
            <w:tcW w:w="340" w:type="dxa"/>
            <w:vAlign w:val="bottom"/>
            <w:vMerge w:val="restart"/>
          </w:tcPr>
          <w:p>
            <w:pPr>
              <w:jc w:val="right"/>
              <w:ind w:right="45"/>
              <w:spacing w:after="0"/>
              <w:rPr>
                <w:sz w:val="20"/>
                <w:szCs w:val="20"/>
                <w:color w:val="auto"/>
              </w:rPr>
            </w:pPr>
            <w:r>
              <w:rPr>
                <w:rFonts w:ascii="Arial" w:cs="Arial" w:eastAsia="Arial" w:hAnsi="Arial"/>
                <w:sz w:val="11"/>
                <w:szCs w:val="11"/>
                <w:color w:val="auto"/>
              </w:rPr>
              <w:t>$</w:t>
            </w:r>
          </w:p>
        </w:tc>
        <w:tc>
          <w:tcPr>
            <w:tcW w:w="820" w:type="dxa"/>
            <w:vAlign w:val="bottom"/>
            <w:vMerge w:val="restart"/>
          </w:tcPr>
          <w:p>
            <w:pPr>
              <w:jc w:val="right"/>
              <w:ind w:right="125"/>
              <w:spacing w:after="0"/>
              <w:rPr>
                <w:sz w:val="20"/>
                <w:szCs w:val="20"/>
                <w:color w:val="auto"/>
              </w:rPr>
            </w:pPr>
            <w:r>
              <w:rPr>
                <w:rFonts w:ascii="Arial" w:cs="Arial" w:eastAsia="Arial" w:hAnsi="Arial"/>
                <w:sz w:val="11"/>
                <w:szCs w:val="11"/>
                <w:color w:val="auto"/>
              </w:rPr>
              <w:t>―</w:t>
            </w:r>
          </w:p>
        </w:tc>
        <w:tc>
          <w:tcPr>
            <w:tcW w:w="460" w:type="dxa"/>
            <w:vAlign w:val="bottom"/>
            <w:vMerge w:val="restart"/>
          </w:tcPr>
          <w:p>
            <w:pPr>
              <w:jc w:val="right"/>
              <w:ind w:right="185"/>
              <w:spacing w:after="0"/>
              <w:rPr>
                <w:sz w:val="20"/>
                <w:szCs w:val="20"/>
                <w:color w:val="auto"/>
              </w:rPr>
            </w:pPr>
            <w:r>
              <w:rPr>
                <w:rFonts w:ascii="Arial" w:cs="Arial" w:eastAsia="Arial" w:hAnsi="Arial"/>
                <w:sz w:val="11"/>
                <w:szCs w:val="11"/>
                <w:color w:val="auto"/>
              </w:rPr>
              <w:t>$</w:t>
            </w:r>
          </w:p>
        </w:tc>
        <w:tc>
          <w:tcPr>
            <w:tcW w:w="960" w:type="dxa"/>
            <w:vAlign w:val="bottom"/>
            <w:vMerge w:val="restart"/>
          </w:tcPr>
          <w:p>
            <w:pPr>
              <w:jc w:val="center"/>
              <w:ind w:left="425"/>
              <w:spacing w:after="0"/>
              <w:rPr>
                <w:sz w:val="20"/>
                <w:szCs w:val="20"/>
                <w:color w:val="auto"/>
              </w:rPr>
            </w:pPr>
            <w:r>
              <w:rPr>
                <w:rFonts w:ascii="Arial" w:cs="Arial" w:eastAsia="Arial" w:hAnsi="Arial"/>
                <w:sz w:val="11"/>
                <w:szCs w:val="11"/>
                <w:color w:val="auto"/>
              </w:rPr>
              <w:t>―</w:t>
            </w:r>
          </w:p>
        </w:tc>
        <w:tc>
          <w:tcPr>
            <w:tcW w:w="400" w:type="dxa"/>
            <w:vAlign w:val="bottom"/>
            <w:vMerge w:val="restart"/>
          </w:tcPr>
          <w:p>
            <w:pPr>
              <w:jc w:val="right"/>
              <w:ind w:right="125"/>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460</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9"/>
                <w:szCs w:val="9"/>
                <w:color w:val="auto"/>
              </w:rPr>
            </w:pPr>
          </w:p>
        </w:tc>
        <w:tc>
          <w:tcPr>
            <w:tcW w:w="5020" w:type="dxa"/>
            <w:vAlign w:val="bottom"/>
          </w:tcPr>
          <w:p>
            <w:pPr>
              <w:ind w:left="20"/>
              <w:spacing w:after="0" w:line="93" w:lineRule="exact"/>
              <w:rPr>
                <w:sz w:val="20"/>
                <w:szCs w:val="20"/>
                <w:color w:val="auto"/>
              </w:rPr>
            </w:pPr>
            <w:r>
              <w:rPr>
                <w:rFonts w:ascii="Arial" w:cs="Arial" w:eastAsia="Arial" w:hAnsi="Arial"/>
                <w:sz w:val="10"/>
                <w:szCs w:val="10"/>
                <w:color w:val="auto"/>
              </w:rPr>
              <w:t>Equity securities</w:t>
            </w:r>
          </w:p>
        </w:tc>
        <w:tc>
          <w:tcPr>
            <w:tcW w:w="480" w:type="dxa"/>
            <w:vAlign w:val="bottom"/>
            <w:tcBorders>
              <w:bottom w:val="single" w:sz="8" w:color="auto"/>
            </w:tcBorders>
            <w:vMerge w:val="continue"/>
          </w:tcPr>
          <w:p>
            <w:pPr>
              <w:spacing w:after="0"/>
              <w:rPr>
                <w:sz w:val="9"/>
                <w:szCs w:val="9"/>
                <w:color w:val="auto"/>
              </w:rPr>
            </w:pPr>
          </w:p>
        </w:tc>
        <w:tc>
          <w:tcPr>
            <w:tcW w:w="800" w:type="dxa"/>
            <w:vAlign w:val="bottom"/>
            <w:tcBorders>
              <w:bottom w:val="single" w:sz="8" w:color="auto"/>
            </w:tcBorders>
            <w:vMerge w:val="continue"/>
          </w:tcPr>
          <w:p>
            <w:pPr>
              <w:spacing w:after="0"/>
              <w:rPr>
                <w:sz w:val="9"/>
                <w:szCs w:val="9"/>
                <w:color w:val="auto"/>
              </w:rPr>
            </w:pPr>
          </w:p>
        </w:tc>
        <w:tc>
          <w:tcPr>
            <w:tcW w:w="340" w:type="dxa"/>
            <w:vAlign w:val="bottom"/>
            <w:tcBorders>
              <w:bottom w:val="single" w:sz="8" w:color="auto"/>
            </w:tcBorders>
            <w:vMerge w:val="continue"/>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340" w:type="dxa"/>
            <w:vAlign w:val="bottom"/>
            <w:tcBorders>
              <w:bottom w:val="single" w:sz="8" w:color="auto"/>
            </w:tcBorders>
            <w:vMerge w:val="continue"/>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460" w:type="dxa"/>
            <w:vAlign w:val="bottom"/>
            <w:tcBorders>
              <w:bottom w:val="single" w:sz="8" w:color="auto"/>
            </w:tcBorders>
            <w:vMerge w:val="continue"/>
          </w:tcPr>
          <w:p>
            <w:pPr>
              <w:spacing w:after="0"/>
              <w:rPr>
                <w:sz w:val="9"/>
                <w:szCs w:val="9"/>
                <w:color w:val="auto"/>
              </w:rPr>
            </w:pPr>
          </w:p>
        </w:tc>
        <w:tc>
          <w:tcPr>
            <w:tcW w:w="960" w:type="dxa"/>
            <w:vAlign w:val="bottom"/>
            <w:tcBorders>
              <w:bottom w:val="single" w:sz="8" w:color="auto"/>
            </w:tcBorders>
            <w:vMerge w:val="continue"/>
          </w:tcPr>
          <w:p>
            <w:pPr>
              <w:spacing w:after="0"/>
              <w:rPr>
                <w:sz w:val="9"/>
                <w:szCs w:val="9"/>
                <w:color w:val="auto"/>
              </w:rPr>
            </w:pPr>
          </w:p>
        </w:tc>
        <w:tc>
          <w:tcPr>
            <w:tcW w:w="400" w:type="dxa"/>
            <w:vAlign w:val="bottom"/>
            <w:tcBorders>
              <w:bottom w:val="single" w:sz="8" w:color="auto"/>
            </w:tcBorders>
            <w:vMerge w:val="continue"/>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80" w:type="dxa"/>
            <w:vAlign w:val="bottom"/>
          </w:tcPr>
          <w:p>
            <w:pPr>
              <w:spacing w:after="0"/>
              <w:rPr>
                <w:sz w:val="11"/>
                <w:szCs w:val="11"/>
                <w:color w:val="auto"/>
              </w:rPr>
            </w:pPr>
          </w:p>
        </w:tc>
        <w:tc>
          <w:tcPr>
            <w:tcW w:w="5020" w:type="dxa"/>
            <w:vAlign w:val="bottom"/>
          </w:tcPr>
          <w:p>
            <w:pPr>
              <w:ind w:left="20"/>
              <w:spacing w:after="0"/>
              <w:rPr>
                <w:sz w:val="20"/>
                <w:szCs w:val="20"/>
                <w:color w:val="auto"/>
              </w:rPr>
            </w:pPr>
            <w:r>
              <w:rPr>
                <w:rFonts w:ascii="Arial" w:cs="Arial" w:eastAsia="Arial" w:hAnsi="Arial"/>
                <w:sz w:val="11"/>
                <w:szCs w:val="11"/>
                <w:color w:val="auto"/>
              </w:rPr>
              <w:t>Debt securities:</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5020" w:type="dxa"/>
            <w:vAlign w:val="bottom"/>
          </w:tcPr>
          <w:p>
            <w:pPr>
              <w:ind w:left="160"/>
              <w:spacing w:after="0" w:line="124" w:lineRule="exact"/>
              <w:rPr>
                <w:sz w:val="20"/>
                <w:szCs w:val="20"/>
                <w:color w:val="auto"/>
              </w:rPr>
            </w:pPr>
            <w:r>
              <w:rPr>
                <w:rFonts w:ascii="Arial" w:cs="Arial" w:eastAsia="Arial" w:hAnsi="Arial"/>
                <w:sz w:val="11"/>
                <w:szCs w:val="11"/>
                <w:color w:val="auto"/>
              </w:rPr>
              <w:t>Debt securities issued by the U.S. Treasury and other</w:t>
            </w: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5020" w:type="dxa"/>
            <w:vAlign w:val="bottom"/>
          </w:tcPr>
          <w:p>
            <w:pPr>
              <w:ind w:left="300"/>
              <w:spacing w:after="0" w:line="124" w:lineRule="exact"/>
              <w:rPr>
                <w:sz w:val="20"/>
                <w:szCs w:val="20"/>
                <w:color w:val="auto"/>
              </w:rPr>
            </w:pPr>
            <w:r>
              <w:rPr>
                <w:rFonts w:ascii="Arial" w:cs="Arial" w:eastAsia="Arial" w:hAnsi="Arial"/>
                <w:sz w:val="11"/>
                <w:szCs w:val="11"/>
                <w:color w:val="auto"/>
              </w:rPr>
              <w:t>U.S. government corporations and agencies</w:t>
            </w:r>
          </w:p>
        </w:tc>
        <w:tc>
          <w:tcPr>
            <w:tcW w:w="480" w:type="dxa"/>
            <w:vAlign w:val="bottom"/>
          </w:tcPr>
          <w:p>
            <w:pPr>
              <w:spacing w:after="0"/>
              <w:rPr>
                <w:sz w:val="10"/>
                <w:szCs w:val="10"/>
                <w:color w:val="auto"/>
              </w:rPr>
            </w:pPr>
          </w:p>
        </w:tc>
        <w:tc>
          <w:tcPr>
            <w:tcW w:w="800" w:type="dxa"/>
            <w:vAlign w:val="bottom"/>
          </w:tcPr>
          <w:p>
            <w:pPr>
              <w:jc w:val="right"/>
              <w:ind w:right="105"/>
              <w:spacing w:after="0" w:line="124" w:lineRule="exact"/>
              <w:rPr>
                <w:sz w:val="20"/>
                <w:szCs w:val="20"/>
                <w:color w:val="auto"/>
              </w:rPr>
            </w:pPr>
            <w:r>
              <w:rPr>
                <w:rFonts w:ascii="Arial" w:cs="Arial" w:eastAsia="Arial" w:hAnsi="Arial"/>
                <w:sz w:val="11"/>
                <w:szCs w:val="11"/>
                <w:color w:val="auto"/>
              </w:rPr>
              <w:t>144</w:t>
            </w:r>
          </w:p>
        </w:tc>
        <w:tc>
          <w:tcPr>
            <w:tcW w:w="340" w:type="dxa"/>
            <w:vAlign w:val="bottom"/>
          </w:tcPr>
          <w:p>
            <w:pPr>
              <w:spacing w:after="0"/>
              <w:rPr>
                <w:sz w:val="10"/>
                <w:szCs w:val="10"/>
                <w:color w:val="auto"/>
              </w:rPr>
            </w:pPr>
          </w:p>
        </w:tc>
        <w:tc>
          <w:tcPr>
            <w:tcW w:w="82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30</w:t>
            </w:r>
          </w:p>
        </w:tc>
        <w:tc>
          <w:tcPr>
            <w:tcW w:w="340" w:type="dxa"/>
            <w:vAlign w:val="bottom"/>
          </w:tcPr>
          <w:p>
            <w:pPr>
              <w:spacing w:after="0"/>
              <w:rPr>
                <w:sz w:val="10"/>
                <w:szCs w:val="10"/>
                <w:color w:val="auto"/>
              </w:rPr>
            </w:pPr>
          </w:p>
        </w:tc>
        <w:tc>
          <w:tcPr>
            <w:tcW w:w="82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w:t>
            </w:r>
          </w:p>
        </w:tc>
        <w:tc>
          <w:tcPr>
            <w:tcW w:w="460" w:type="dxa"/>
            <w:vAlign w:val="bottom"/>
          </w:tcPr>
          <w:p>
            <w:pPr>
              <w:spacing w:after="0"/>
              <w:rPr>
                <w:sz w:val="10"/>
                <w:szCs w:val="10"/>
                <w:color w:val="auto"/>
              </w:rPr>
            </w:pPr>
          </w:p>
        </w:tc>
        <w:tc>
          <w:tcPr>
            <w:tcW w:w="960" w:type="dxa"/>
            <w:vAlign w:val="bottom"/>
          </w:tcPr>
          <w:p>
            <w:pPr>
              <w:jc w:val="center"/>
              <w:ind w:left="425"/>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174</w:t>
            </w: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5020" w:type="dxa"/>
            <w:vAlign w:val="bottom"/>
          </w:tcPr>
          <w:p>
            <w:pPr>
              <w:ind w:left="160"/>
              <w:spacing w:after="0" w:line="124" w:lineRule="exact"/>
              <w:rPr>
                <w:sz w:val="20"/>
                <w:szCs w:val="20"/>
                <w:color w:val="auto"/>
              </w:rPr>
            </w:pPr>
            <w:r>
              <w:rPr>
                <w:rFonts w:ascii="Arial" w:cs="Arial" w:eastAsia="Arial" w:hAnsi="Arial"/>
                <w:sz w:val="11"/>
                <w:szCs w:val="11"/>
                <w:color w:val="auto"/>
              </w:rPr>
              <w:t>Municipal bonds</w:t>
            </w:r>
          </w:p>
        </w:tc>
        <w:tc>
          <w:tcPr>
            <w:tcW w:w="480" w:type="dxa"/>
            <w:vAlign w:val="bottom"/>
          </w:tcPr>
          <w:p>
            <w:pPr>
              <w:spacing w:after="0"/>
              <w:rPr>
                <w:sz w:val="10"/>
                <w:szCs w:val="10"/>
                <w:color w:val="auto"/>
              </w:rPr>
            </w:pPr>
          </w:p>
        </w:tc>
        <w:tc>
          <w:tcPr>
            <w:tcW w:w="800" w:type="dxa"/>
            <w:vAlign w:val="bottom"/>
          </w:tcPr>
          <w:p>
            <w:pPr>
              <w:jc w:val="right"/>
              <w:ind w:right="105"/>
              <w:spacing w:after="0" w:line="124" w:lineRule="exact"/>
              <w:rPr>
                <w:sz w:val="20"/>
                <w:szCs w:val="20"/>
                <w:color w:val="auto"/>
              </w:rPr>
            </w:pPr>
            <w:r>
              <w:rPr>
                <w:rFonts w:ascii="Arial" w:cs="Arial" w:eastAsia="Arial" w:hAnsi="Arial"/>
                <w:sz w:val="11"/>
                <w:szCs w:val="11"/>
                <w:color w:val="auto"/>
              </w:rPr>
              <w:t>―</w:t>
            </w:r>
          </w:p>
        </w:tc>
        <w:tc>
          <w:tcPr>
            <w:tcW w:w="340" w:type="dxa"/>
            <w:vAlign w:val="bottom"/>
          </w:tcPr>
          <w:p>
            <w:pPr>
              <w:spacing w:after="0"/>
              <w:rPr>
                <w:sz w:val="10"/>
                <w:szCs w:val="10"/>
                <w:color w:val="auto"/>
              </w:rPr>
            </w:pPr>
          </w:p>
        </w:tc>
        <w:tc>
          <w:tcPr>
            <w:tcW w:w="82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100</w:t>
            </w:r>
          </w:p>
        </w:tc>
        <w:tc>
          <w:tcPr>
            <w:tcW w:w="340" w:type="dxa"/>
            <w:vAlign w:val="bottom"/>
          </w:tcPr>
          <w:p>
            <w:pPr>
              <w:spacing w:after="0"/>
              <w:rPr>
                <w:sz w:val="10"/>
                <w:szCs w:val="10"/>
                <w:color w:val="auto"/>
              </w:rPr>
            </w:pPr>
          </w:p>
        </w:tc>
        <w:tc>
          <w:tcPr>
            <w:tcW w:w="82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w:t>
            </w:r>
          </w:p>
        </w:tc>
        <w:tc>
          <w:tcPr>
            <w:tcW w:w="460" w:type="dxa"/>
            <w:vAlign w:val="bottom"/>
          </w:tcPr>
          <w:p>
            <w:pPr>
              <w:spacing w:after="0"/>
              <w:rPr>
                <w:sz w:val="10"/>
                <w:szCs w:val="10"/>
                <w:color w:val="auto"/>
              </w:rPr>
            </w:pPr>
          </w:p>
        </w:tc>
        <w:tc>
          <w:tcPr>
            <w:tcW w:w="960" w:type="dxa"/>
            <w:vAlign w:val="bottom"/>
          </w:tcPr>
          <w:p>
            <w:pPr>
              <w:jc w:val="center"/>
              <w:ind w:left="425"/>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5020" w:type="dxa"/>
            <w:vAlign w:val="bottom"/>
          </w:tcPr>
          <w:p>
            <w:pPr>
              <w:ind w:left="160"/>
              <w:spacing w:after="0" w:line="101" w:lineRule="exact"/>
              <w:rPr>
                <w:sz w:val="20"/>
                <w:szCs w:val="20"/>
                <w:color w:val="auto"/>
              </w:rPr>
            </w:pPr>
            <w:r>
              <w:rPr>
                <w:rFonts w:ascii="Arial" w:cs="Arial" w:eastAsia="Arial" w:hAnsi="Arial"/>
                <w:sz w:val="11"/>
                <w:szCs w:val="11"/>
                <w:color w:val="auto"/>
              </w:rPr>
              <w:t>Other securities</w:t>
            </w:r>
          </w:p>
        </w:tc>
        <w:tc>
          <w:tcPr>
            <w:tcW w:w="4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105"/>
              <w:spacing w:after="0" w:line="101" w:lineRule="exact"/>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25"/>
              <w:spacing w:after="0" w:line="101" w:lineRule="exact"/>
              <w:rPr>
                <w:sz w:val="20"/>
                <w:szCs w:val="20"/>
                <w:color w:val="auto"/>
              </w:rPr>
            </w:pPr>
            <w:r>
              <w:rPr>
                <w:rFonts w:ascii="Arial" w:cs="Arial" w:eastAsia="Arial" w:hAnsi="Arial"/>
                <w:sz w:val="11"/>
                <w:szCs w:val="11"/>
                <w:color w:val="auto"/>
              </w:rPr>
              <w:t>25</w:t>
            </w: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25"/>
              <w:spacing w:after="0" w:line="101" w:lineRule="exact"/>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left="425"/>
              <w:spacing w:after="0" w:line="101" w:lineRule="exact"/>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5020" w:type="dxa"/>
            <w:vAlign w:val="bottom"/>
          </w:tcPr>
          <w:p>
            <w:pPr>
              <w:ind w:left="20"/>
              <w:spacing w:after="0" w:line="104" w:lineRule="exact"/>
              <w:rPr>
                <w:sz w:val="20"/>
                <w:szCs w:val="20"/>
                <w:color w:val="auto"/>
              </w:rPr>
            </w:pPr>
            <w:r>
              <w:rPr>
                <w:rFonts w:ascii="Arial" w:cs="Arial" w:eastAsia="Arial" w:hAnsi="Arial"/>
                <w:sz w:val="11"/>
                <w:szCs w:val="11"/>
                <w:color w:val="auto"/>
              </w:rPr>
              <w:t>Total debt securities</w:t>
            </w:r>
          </w:p>
        </w:tc>
        <w:tc>
          <w:tcPr>
            <w:tcW w:w="4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105"/>
              <w:spacing w:after="0" w:line="104" w:lineRule="exact"/>
              <w:rPr>
                <w:sz w:val="20"/>
                <w:szCs w:val="20"/>
                <w:color w:val="auto"/>
              </w:rPr>
            </w:pPr>
            <w:r>
              <w:rPr>
                <w:rFonts w:ascii="Arial" w:cs="Arial" w:eastAsia="Arial" w:hAnsi="Arial"/>
                <w:sz w:val="11"/>
                <w:szCs w:val="11"/>
                <w:color w:val="auto"/>
              </w:rPr>
              <w:t>144</w:t>
            </w: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25"/>
              <w:spacing w:after="0" w:line="104" w:lineRule="exact"/>
              <w:rPr>
                <w:sz w:val="20"/>
                <w:szCs w:val="20"/>
                <w:color w:val="auto"/>
              </w:rPr>
            </w:pPr>
            <w:r>
              <w:rPr>
                <w:rFonts w:ascii="Arial" w:cs="Arial" w:eastAsia="Arial" w:hAnsi="Arial"/>
                <w:sz w:val="11"/>
                <w:szCs w:val="11"/>
                <w:color w:val="auto"/>
              </w:rPr>
              <w:t>155</w:t>
            </w: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25"/>
              <w:spacing w:after="0" w:line="104" w:lineRule="exact"/>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left="425"/>
              <w:spacing w:after="0" w:line="104" w:lineRule="exact"/>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04" w:lineRule="exact"/>
              <w:rPr>
                <w:sz w:val="20"/>
                <w:szCs w:val="20"/>
                <w:color w:val="auto"/>
              </w:rPr>
            </w:pPr>
            <w:r>
              <w:rPr>
                <w:rFonts w:ascii="Arial" w:cs="Arial" w:eastAsia="Arial" w:hAnsi="Arial"/>
                <w:sz w:val="11"/>
                <w:szCs w:val="11"/>
                <w:color w:val="auto"/>
              </w:rPr>
              <w:t>299</w:t>
            </w:r>
          </w:p>
        </w:tc>
        <w:tc>
          <w:tcPr>
            <w:tcW w:w="0" w:type="dxa"/>
            <w:vAlign w:val="bottom"/>
          </w:tcPr>
          <w:p>
            <w:pPr>
              <w:spacing w:after="0"/>
              <w:rPr>
                <w:sz w:val="1"/>
                <w:szCs w:val="1"/>
                <w:color w:val="auto"/>
              </w:rPr>
            </w:pPr>
          </w:p>
        </w:tc>
      </w:tr>
      <w:tr>
        <w:trPr>
          <w:trHeight w:val="125"/>
        </w:trPr>
        <w:tc>
          <w:tcPr>
            <w:tcW w:w="5300" w:type="dxa"/>
            <w:vAlign w:val="bottom"/>
            <w:gridSpan w:val="2"/>
          </w:tcPr>
          <w:p>
            <w:pPr>
              <w:ind w:left="120"/>
              <w:spacing w:after="0" w:line="104" w:lineRule="exact"/>
              <w:rPr>
                <w:sz w:val="20"/>
                <w:szCs w:val="20"/>
                <w:color w:val="auto"/>
              </w:rPr>
            </w:pPr>
            <w:r>
              <w:rPr>
                <w:rFonts w:ascii="Arial" w:cs="Arial" w:eastAsia="Arial" w:hAnsi="Arial"/>
                <w:sz w:val="11"/>
                <w:szCs w:val="11"/>
                <w:color w:val="auto"/>
              </w:rPr>
              <w:t>Total nuclear decommissioning trusts(1)</w:t>
            </w:r>
          </w:p>
        </w:tc>
        <w:tc>
          <w:tcPr>
            <w:tcW w:w="4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105"/>
              <w:spacing w:after="0" w:line="104" w:lineRule="exact"/>
              <w:rPr>
                <w:sz w:val="20"/>
                <w:szCs w:val="20"/>
                <w:color w:val="auto"/>
              </w:rPr>
            </w:pPr>
            <w:r>
              <w:rPr>
                <w:rFonts w:ascii="Arial" w:cs="Arial" w:eastAsia="Arial" w:hAnsi="Arial"/>
                <w:sz w:val="11"/>
                <w:szCs w:val="11"/>
                <w:color w:val="auto"/>
              </w:rPr>
              <w:t>604</w:t>
            </w: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25"/>
              <w:spacing w:after="0" w:line="104" w:lineRule="exact"/>
              <w:rPr>
                <w:sz w:val="20"/>
                <w:szCs w:val="20"/>
                <w:color w:val="auto"/>
              </w:rPr>
            </w:pPr>
            <w:r>
              <w:rPr>
                <w:rFonts w:ascii="Arial" w:cs="Arial" w:eastAsia="Arial" w:hAnsi="Arial"/>
                <w:sz w:val="11"/>
                <w:szCs w:val="11"/>
                <w:color w:val="auto"/>
              </w:rPr>
              <w:t>155</w:t>
            </w: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25"/>
              <w:spacing w:after="0" w:line="104" w:lineRule="exact"/>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left="425"/>
              <w:spacing w:after="0" w:line="104" w:lineRule="exact"/>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04" w:lineRule="exact"/>
              <w:rPr>
                <w:sz w:val="20"/>
                <w:szCs w:val="20"/>
                <w:color w:val="auto"/>
              </w:rPr>
            </w:pPr>
            <w:r>
              <w:rPr>
                <w:rFonts w:ascii="Arial" w:cs="Arial" w:eastAsia="Arial" w:hAnsi="Arial"/>
                <w:sz w:val="11"/>
                <w:szCs w:val="11"/>
                <w:color w:val="auto"/>
              </w:rPr>
              <w:t>759</w:t>
            </w:r>
          </w:p>
        </w:tc>
        <w:tc>
          <w:tcPr>
            <w:tcW w:w="0" w:type="dxa"/>
            <w:vAlign w:val="bottom"/>
          </w:tcPr>
          <w:p>
            <w:pPr>
              <w:spacing w:after="0"/>
              <w:rPr>
                <w:sz w:val="1"/>
                <w:szCs w:val="1"/>
                <w:color w:val="auto"/>
              </w:rPr>
            </w:pPr>
          </w:p>
        </w:tc>
      </w:tr>
      <w:tr>
        <w:trPr>
          <w:trHeight w:val="128"/>
        </w:trPr>
        <w:tc>
          <w:tcPr>
            <w:tcW w:w="5300" w:type="dxa"/>
            <w:vAlign w:val="bottom"/>
            <w:gridSpan w:val="2"/>
          </w:tcPr>
          <w:p>
            <w:pPr>
              <w:ind w:left="120"/>
              <w:spacing w:after="0"/>
              <w:rPr>
                <w:sz w:val="20"/>
                <w:szCs w:val="20"/>
                <w:color w:val="auto"/>
              </w:rPr>
            </w:pPr>
            <w:r>
              <w:rPr>
                <w:rFonts w:ascii="Arial" w:cs="Arial" w:eastAsia="Arial" w:hAnsi="Arial"/>
                <w:sz w:val="11"/>
                <w:szCs w:val="11"/>
                <w:color w:val="auto"/>
              </w:rPr>
              <w:t>Commodity contracts subject to rate recovery</w:t>
            </w:r>
          </w:p>
        </w:tc>
        <w:tc>
          <w:tcPr>
            <w:tcW w:w="480" w:type="dxa"/>
            <w:vAlign w:val="bottom"/>
          </w:tcPr>
          <w:p>
            <w:pPr>
              <w:spacing w:after="0"/>
              <w:rPr>
                <w:sz w:val="11"/>
                <w:szCs w:val="11"/>
                <w:color w:val="auto"/>
              </w:rPr>
            </w:pPr>
          </w:p>
        </w:tc>
        <w:tc>
          <w:tcPr>
            <w:tcW w:w="800" w:type="dxa"/>
            <w:vAlign w:val="bottom"/>
          </w:tcPr>
          <w:p>
            <w:pPr>
              <w:jc w:val="right"/>
              <w:ind w:right="105"/>
              <w:spacing w:after="0"/>
              <w:rPr>
                <w:sz w:val="20"/>
                <w:szCs w:val="20"/>
                <w:color w:val="auto"/>
              </w:rPr>
            </w:pPr>
            <w:r>
              <w:rPr>
                <w:rFonts w:ascii="Arial" w:cs="Arial" w:eastAsia="Arial" w:hAnsi="Arial"/>
                <w:sz w:val="11"/>
                <w:szCs w:val="11"/>
                <w:color w:val="auto"/>
              </w:rPr>
              <w:t>24</w:t>
            </w:r>
          </w:p>
        </w:tc>
        <w:tc>
          <w:tcPr>
            <w:tcW w:w="340" w:type="dxa"/>
            <w:vAlign w:val="bottom"/>
          </w:tcPr>
          <w:p>
            <w:pPr>
              <w:spacing w:after="0"/>
              <w:rPr>
                <w:sz w:val="11"/>
                <w:szCs w:val="11"/>
                <w:color w:val="auto"/>
              </w:rPr>
            </w:pPr>
          </w:p>
        </w:tc>
        <w:tc>
          <w:tcPr>
            <w:tcW w:w="820" w:type="dxa"/>
            <w:vAlign w:val="bottom"/>
          </w:tcPr>
          <w:p>
            <w:pPr>
              <w:jc w:val="right"/>
              <w:ind w:right="125"/>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820" w:type="dxa"/>
            <w:vAlign w:val="bottom"/>
          </w:tcPr>
          <w:p>
            <w:pPr>
              <w:jc w:val="right"/>
              <w:ind w:right="125"/>
              <w:spacing w:after="0"/>
              <w:rPr>
                <w:sz w:val="20"/>
                <w:szCs w:val="20"/>
                <w:color w:val="auto"/>
              </w:rPr>
            </w:pPr>
            <w:r>
              <w:rPr>
                <w:rFonts w:ascii="Arial" w:cs="Arial" w:eastAsia="Arial" w:hAnsi="Arial"/>
                <w:sz w:val="11"/>
                <w:szCs w:val="11"/>
                <w:color w:val="auto"/>
              </w:rPr>
              <w:t>2</w:t>
            </w:r>
          </w:p>
        </w:tc>
        <w:tc>
          <w:tcPr>
            <w:tcW w:w="460" w:type="dxa"/>
            <w:vAlign w:val="bottom"/>
          </w:tcPr>
          <w:p>
            <w:pPr>
              <w:spacing w:after="0"/>
              <w:rPr>
                <w:sz w:val="11"/>
                <w:szCs w:val="11"/>
                <w:color w:val="auto"/>
              </w:rPr>
            </w:pPr>
          </w:p>
        </w:tc>
        <w:tc>
          <w:tcPr>
            <w:tcW w:w="960" w:type="dxa"/>
            <w:vAlign w:val="bottom"/>
          </w:tcPr>
          <w:p>
            <w:pPr>
              <w:jc w:val="center"/>
              <w:ind w:left="425"/>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21"/>
        </w:trPr>
        <w:tc>
          <w:tcPr>
            <w:tcW w:w="5300" w:type="dxa"/>
            <w:vAlign w:val="bottom"/>
            <w:gridSpan w:val="2"/>
          </w:tcPr>
          <w:p>
            <w:pPr>
              <w:ind w:left="120"/>
              <w:spacing w:after="0" w:line="101" w:lineRule="exact"/>
              <w:rPr>
                <w:sz w:val="20"/>
                <w:szCs w:val="20"/>
                <w:color w:val="auto"/>
              </w:rPr>
            </w:pPr>
            <w:r>
              <w:rPr>
                <w:rFonts w:ascii="Arial" w:cs="Arial" w:eastAsia="Arial" w:hAnsi="Arial"/>
                <w:sz w:val="11"/>
                <w:szCs w:val="11"/>
                <w:color w:val="auto"/>
              </w:rPr>
              <w:t>Commodity contracts not subject to rate recovery</w:t>
            </w:r>
          </w:p>
        </w:tc>
        <w:tc>
          <w:tcPr>
            <w:tcW w:w="4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105"/>
              <w:spacing w:after="0" w:line="101" w:lineRule="exact"/>
              <w:rPr>
                <w:sz w:val="20"/>
                <w:szCs w:val="20"/>
                <w:color w:val="auto"/>
              </w:rPr>
            </w:pPr>
            <w:r>
              <w:rPr>
                <w:rFonts w:ascii="Arial" w:cs="Arial" w:eastAsia="Arial" w:hAnsi="Arial"/>
                <w:sz w:val="11"/>
                <w:szCs w:val="11"/>
                <w:color w:val="auto"/>
              </w:rPr>
              <w:t>2</w:t>
            </w: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25"/>
              <w:spacing w:after="0" w:line="101" w:lineRule="exact"/>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25"/>
              <w:spacing w:after="0" w:line="101" w:lineRule="exact"/>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left="425"/>
              <w:spacing w:after="0" w:line="101" w:lineRule="exact"/>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25"/>
        </w:trPr>
        <w:tc>
          <w:tcPr>
            <w:tcW w:w="280" w:type="dxa"/>
            <w:vAlign w:val="bottom"/>
          </w:tcPr>
          <w:p>
            <w:pPr>
              <w:spacing w:after="0" w:line="104" w:lineRule="exact"/>
              <w:rPr>
                <w:sz w:val="20"/>
                <w:szCs w:val="20"/>
                <w:color w:val="auto"/>
              </w:rPr>
            </w:pPr>
            <w:r>
              <w:rPr>
                <w:rFonts w:ascii="Arial" w:cs="Arial" w:eastAsia="Arial" w:hAnsi="Arial"/>
                <w:sz w:val="11"/>
                <w:szCs w:val="11"/>
                <w:color w:val="auto"/>
              </w:rPr>
              <w:t>Total</w:t>
            </w:r>
          </w:p>
        </w:tc>
        <w:tc>
          <w:tcPr>
            <w:tcW w:w="5020" w:type="dxa"/>
            <w:vAlign w:val="bottom"/>
          </w:tcPr>
          <w:p>
            <w:pPr>
              <w:spacing w:after="0"/>
              <w:rPr>
                <w:sz w:val="10"/>
                <w:szCs w:val="10"/>
                <w:color w:val="auto"/>
              </w:rPr>
            </w:pPr>
          </w:p>
        </w:tc>
        <w:tc>
          <w:tcPr>
            <w:tcW w:w="480" w:type="dxa"/>
            <w:vAlign w:val="bottom"/>
            <w:tcBorders>
              <w:bottom w:val="single" w:sz="8" w:color="auto"/>
            </w:tcBorders>
          </w:tcPr>
          <w:p>
            <w:pPr>
              <w:jc w:val="right"/>
              <w:ind w:right="45"/>
              <w:spacing w:after="0" w:line="104" w:lineRule="exact"/>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ind w:right="105"/>
              <w:spacing w:after="0" w:line="104" w:lineRule="exact"/>
              <w:rPr>
                <w:sz w:val="20"/>
                <w:szCs w:val="20"/>
                <w:color w:val="auto"/>
              </w:rPr>
            </w:pPr>
            <w:r>
              <w:rPr>
                <w:rFonts w:ascii="Arial" w:cs="Arial" w:eastAsia="Arial" w:hAnsi="Arial"/>
                <w:sz w:val="11"/>
                <w:szCs w:val="11"/>
                <w:color w:val="auto"/>
              </w:rPr>
              <w:t>630</w:t>
            </w:r>
          </w:p>
        </w:tc>
        <w:tc>
          <w:tcPr>
            <w:tcW w:w="340" w:type="dxa"/>
            <w:vAlign w:val="bottom"/>
            <w:tcBorders>
              <w:bottom w:val="single" w:sz="8" w:color="auto"/>
            </w:tcBorders>
          </w:tcPr>
          <w:p>
            <w:pPr>
              <w:jc w:val="right"/>
              <w:ind w:right="45"/>
              <w:spacing w:after="0" w:line="104" w:lineRule="exact"/>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125"/>
              <w:spacing w:after="0" w:line="104" w:lineRule="exact"/>
              <w:rPr>
                <w:sz w:val="20"/>
                <w:szCs w:val="20"/>
                <w:color w:val="auto"/>
              </w:rPr>
            </w:pPr>
            <w:r>
              <w:rPr>
                <w:rFonts w:ascii="Arial" w:cs="Arial" w:eastAsia="Arial" w:hAnsi="Arial"/>
                <w:sz w:val="11"/>
                <w:szCs w:val="11"/>
                <w:color w:val="auto"/>
              </w:rPr>
              <w:t>155</w:t>
            </w:r>
          </w:p>
        </w:tc>
        <w:tc>
          <w:tcPr>
            <w:tcW w:w="340" w:type="dxa"/>
            <w:vAlign w:val="bottom"/>
            <w:tcBorders>
              <w:bottom w:val="single" w:sz="8" w:color="auto"/>
            </w:tcBorders>
          </w:tcPr>
          <w:p>
            <w:pPr>
              <w:jc w:val="right"/>
              <w:ind w:right="45"/>
              <w:spacing w:after="0" w:line="104" w:lineRule="exact"/>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125"/>
              <w:spacing w:after="0" w:line="104" w:lineRule="exact"/>
              <w:rPr>
                <w:sz w:val="20"/>
                <w:szCs w:val="20"/>
                <w:color w:val="auto"/>
              </w:rPr>
            </w:pPr>
            <w:r>
              <w:rPr>
                <w:rFonts w:ascii="Arial" w:cs="Arial" w:eastAsia="Arial" w:hAnsi="Arial"/>
                <w:sz w:val="11"/>
                <w:szCs w:val="11"/>
                <w:color w:val="auto"/>
              </w:rPr>
              <w:t>2</w:t>
            </w:r>
          </w:p>
        </w:tc>
        <w:tc>
          <w:tcPr>
            <w:tcW w:w="460" w:type="dxa"/>
            <w:vAlign w:val="bottom"/>
            <w:tcBorders>
              <w:bottom w:val="single" w:sz="8" w:color="auto"/>
            </w:tcBorders>
          </w:tcPr>
          <w:p>
            <w:pPr>
              <w:jc w:val="right"/>
              <w:ind w:right="185"/>
              <w:spacing w:after="0" w:line="104" w:lineRule="exact"/>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tcPr>
          <w:p>
            <w:pPr>
              <w:jc w:val="center"/>
              <w:ind w:left="425"/>
              <w:spacing w:after="0" w:line="104" w:lineRule="exact"/>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jc w:val="right"/>
              <w:ind w:right="125"/>
              <w:spacing w:after="0" w:line="104" w:lineRule="exact"/>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spacing w:after="0" w:line="104" w:lineRule="exact"/>
              <w:rPr>
                <w:sz w:val="20"/>
                <w:szCs w:val="20"/>
                <w:color w:val="auto"/>
              </w:rPr>
            </w:pPr>
            <w:r>
              <w:rPr>
                <w:rFonts w:ascii="Arial" w:cs="Arial" w:eastAsia="Arial" w:hAnsi="Arial"/>
                <w:sz w:val="11"/>
                <w:szCs w:val="11"/>
                <w:color w:val="auto"/>
              </w:rPr>
              <w:t>787</w:t>
            </w:r>
          </w:p>
        </w:tc>
        <w:tc>
          <w:tcPr>
            <w:tcW w:w="0" w:type="dxa"/>
            <w:vAlign w:val="bottom"/>
          </w:tcPr>
          <w:p>
            <w:pPr>
              <w:spacing w:after="0"/>
              <w:rPr>
                <w:sz w:val="1"/>
                <w:szCs w:val="1"/>
                <w:color w:val="auto"/>
              </w:rPr>
            </w:pPr>
          </w:p>
        </w:tc>
      </w:tr>
      <w:tr>
        <w:trPr>
          <w:trHeight w:val="252"/>
        </w:trPr>
        <w:tc>
          <w:tcPr>
            <w:tcW w:w="5300" w:type="dxa"/>
            <w:vAlign w:val="bottom"/>
            <w:gridSpan w:val="2"/>
          </w:tcPr>
          <w:p>
            <w:pPr>
              <w:spacing w:after="0"/>
              <w:rPr>
                <w:sz w:val="20"/>
                <w:szCs w:val="20"/>
                <w:color w:val="auto"/>
              </w:rPr>
            </w:pPr>
            <w:r>
              <w:rPr>
                <w:rFonts w:ascii="Arial" w:cs="Arial" w:eastAsia="Arial" w:hAnsi="Arial"/>
                <w:sz w:val="11"/>
                <w:szCs w:val="11"/>
                <w:color w:val="auto"/>
              </w:rPr>
              <w:t>Liabilities:</w:t>
            </w: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5300" w:type="dxa"/>
            <w:vAlign w:val="bottom"/>
            <w:gridSpan w:val="2"/>
          </w:tcPr>
          <w:p>
            <w:pPr>
              <w:ind w:left="120"/>
              <w:spacing w:after="0" w:line="124" w:lineRule="exact"/>
              <w:rPr>
                <w:sz w:val="20"/>
                <w:szCs w:val="20"/>
                <w:color w:val="auto"/>
              </w:rPr>
            </w:pPr>
            <w:r>
              <w:rPr>
                <w:rFonts w:ascii="Arial" w:cs="Arial" w:eastAsia="Arial" w:hAnsi="Arial"/>
                <w:sz w:val="11"/>
                <w:szCs w:val="11"/>
                <w:color w:val="auto"/>
              </w:rPr>
              <w:t>Interest rate instruments</w:t>
            </w:r>
          </w:p>
        </w:tc>
        <w:tc>
          <w:tcPr>
            <w:tcW w:w="480" w:type="dxa"/>
            <w:vAlign w:val="bottom"/>
          </w:tcPr>
          <w:p>
            <w:pPr>
              <w:jc w:val="right"/>
              <w:ind w:right="45"/>
              <w:spacing w:after="0" w:line="124"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105"/>
              <w:spacing w:after="0" w:line="124" w:lineRule="exact"/>
              <w:rPr>
                <w:sz w:val="20"/>
                <w:szCs w:val="20"/>
                <w:color w:val="auto"/>
              </w:rPr>
            </w:pPr>
            <w:r>
              <w:rPr>
                <w:rFonts w:ascii="Arial" w:cs="Arial" w:eastAsia="Arial" w:hAnsi="Arial"/>
                <w:sz w:val="11"/>
                <w:szCs w:val="11"/>
                <w:color w:val="auto"/>
              </w:rPr>
              <w:t>―</w:t>
            </w:r>
          </w:p>
        </w:tc>
        <w:tc>
          <w:tcPr>
            <w:tcW w:w="340" w:type="dxa"/>
            <w:vAlign w:val="bottom"/>
          </w:tcPr>
          <w:p>
            <w:pPr>
              <w:jc w:val="right"/>
              <w:ind w:right="45"/>
              <w:spacing w:after="0" w:line="124" w:lineRule="exact"/>
              <w:rPr>
                <w:sz w:val="20"/>
                <w:szCs w:val="20"/>
                <w:color w:val="auto"/>
              </w:rPr>
            </w:pPr>
            <w:r>
              <w:rPr>
                <w:rFonts w:ascii="Arial" w:cs="Arial" w:eastAsia="Arial" w:hAnsi="Arial"/>
                <w:sz w:val="11"/>
                <w:szCs w:val="11"/>
                <w:color w:val="auto"/>
              </w:rPr>
              <w:t>$</w:t>
            </w:r>
          </w:p>
        </w:tc>
        <w:tc>
          <w:tcPr>
            <w:tcW w:w="82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58</w:t>
            </w:r>
          </w:p>
        </w:tc>
        <w:tc>
          <w:tcPr>
            <w:tcW w:w="340" w:type="dxa"/>
            <w:vAlign w:val="bottom"/>
          </w:tcPr>
          <w:p>
            <w:pPr>
              <w:jc w:val="right"/>
              <w:ind w:right="45"/>
              <w:spacing w:after="0" w:line="124" w:lineRule="exact"/>
              <w:rPr>
                <w:sz w:val="20"/>
                <w:szCs w:val="20"/>
                <w:color w:val="auto"/>
              </w:rPr>
            </w:pPr>
            <w:r>
              <w:rPr>
                <w:rFonts w:ascii="Arial" w:cs="Arial" w:eastAsia="Arial" w:hAnsi="Arial"/>
                <w:sz w:val="11"/>
                <w:szCs w:val="11"/>
                <w:color w:val="auto"/>
              </w:rPr>
              <w:t>$</w:t>
            </w:r>
          </w:p>
        </w:tc>
        <w:tc>
          <w:tcPr>
            <w:tcW w:w="82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w:t>
            </w:r>
          </w:p>
        </w:tc>
        <w:tc>
          <w:tcPr>
            <w:tcW w:w="460" w:type="dxa"/>
            <w:vAlign w:val="bottom"/>
          </w:tcPr>
          <w:p>
            <w:pPr>
              <w:jc w:val="right"/>
              <w:ind w:right="185"/>
              <w:spacing w:after="0" w:line="124" w:lineRule="exact"/>
              <w:rPr>
                <w:sz w:val="20"/>
                <w:szCs w:val="20"/>
                <w:color w:val="auto"/>
              </w:rPr>
            </w:pPr>
            <w:r>
              <w:rPr>
                <w:rFonts w:ascii="Arial" w:cs="Arial" w:eastAsia="Arial" w:hAnsi="Arial"/>
                <w:sz w:val="11"/>
                <w:szCs w:val="11"/>
                <w:color w:val="auto"/>
              </w:rPr>
              <w:t>$</w:t>
            </w:r>
          </w:p>
        </w:tc>
        <w:tc>
          <w:tcPr>
            <w:tcW w:w="960" w:type="dxa"/>
            <w:vAlign w:val="bottom"/>
          </w:tcPr>
          <w:p>
            <w:pPr>
              <w:jc w:val="center"/>
              <w:ind w:left="425"/>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58</w:t>
            </w:r>
          </w:p>
        </w:tc>
        <w:tc>
          <w:tcPr>
            <w:tcW w:w="0" w:type="dxa"/>
            <w:vAlign w:val="bottom"/>
          </w:tcPr>
          <w:p>
            <w:pPr>
              <w:spacing w:after="0"/>
              <w:rPr>
                <w:sz w:val="1"/>
                <w:szCs w:val="1"/>
                <w:color w:val="auto"/>
              </w:rPr>
            </w:pPr>
          </w:p>
        </w:tc>
      </w:tr>
      <w:tr>
        <w:trPr>
          <w:trHeight w:val="121"/>
        </w:trPr>
        <w:tc>
          <w:tcPr>
            <w:tcW w:w="5300" w:type="dxa"/>
            <w:vAlign w:val="bottom"/>
            <w:gridSpan w:val="2"/>
          </w:tcPr>
          <w:p>
            <w:pPr>
              <w:ind w:left="120"/>
              <w:spacing w:after="0" w:line="101" w:lineRule="exact"/>
              <w:rPr>
                <w:sz w:val="20"/>
                <w:szCs w:val="20"/>
                <w:color w:val="auto"/>
              </w:rPr>
            </w:pPr>
            <w:r>
              <w:rPr>
                <w:rFonts w:ascii="Arial" w:cs="Arial" w:eastAsia="Arial" w:hAnsi="Arial"/>
                <w:sz w:val="11"/>
                <w:szCs w:val="11"/>
                <w:color w:val="auto"/>
              </w:rPr>
              <w:t>Commodity contracts subject to rate recovery</w:t>
            </w:r>
          </w:p>
        </w:tc>
        <w:tc>
          <w:tcPr>
            <w:tcW w:w="4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105"/>
              <w:spacing w:after="0" w:line="101" w:lineRule="exact"/>
              <w:rPr>
                <w:sz w:val="20"/>
                <w:szCs w:val="20"/>
                <w:color w:val="auto"/>
              </w:rPr>
            </w:pPr>
            <w:r>
              <w:rPr>
                <w:rFonts w:ascii="Arial" w:cs="Arial" w:eastAsia="Arial" w:hAnsi="Arial"/>
                <w:sz w:val="11"/>
                <w:szCs w:val="11"/>
                <w:color w:val="auto"/>
              </w:rPr>
              <w:t>60</w:t>
            </w: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25"/>
              <w:spacing w:after="0" w:line="101" w:lineRule="exact"/>
              <w:rPr>
                <w:sz w:val="20"/>
                <w:szCs w:val="20"/>
                <w:color w:val="auto"/>
              </w:rPr>
            </w:pPr>
            <w:r>
              <w:rPr>
                <w:rFonts w:ascii="Arial" w:cs="Arial" w:eastAsia="Arial" w:hAnsi="Arial"/>
                <w:sz w:val="11"/>
                <w:szCs w:val="11"/>
                <w:color w:val="auto"/>
              </w:rPr>
              <w:t>2</w:t>
            </w:r>
          </w:p>
        </w:tc>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25"/>
              <w:spacing w:after="0" w:line="101" w:lineRule="exact"/>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left="385"/>
              <w:spacing w:after="0" w:line="101" w:lineRule="exact"/>
              <w:rPr>
                <w:sz w:val="20"/>
                <w:szCs w:val="20"/>
                <w:color w:val="auto"/>
              </w:rPr>
            </w:pPr>
            <w:r>
              <w:rPr>
                <w:rFonts w:ascii="Arial" w:cs="Arial" w:eastAsia="Arial" w:hAnsi="Arial"/>
                <w:sz w:val="11"/>
                <w:szCs w:val="11"/>
                <w:color w:val="auto"/>
              </w:rPr>
              <w:t>(60)</w:t>
            </w:r>
          </w:p>
        </w:tc>
        <w:tc>
          <w:tcPr>
            <w:tcW w:w="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25"/>
        </w:trPr>
        <w:tc>
          <w:tcPr>
            <w:tcW w:w="280" w:type="dxa"/>
            <w:vAlign w:val="bottom"/>
            <w:tcBorders>
              <w:bottom w:val="single" w:sz="8" w:color="auto"/>
            </w:tcBorders>
          </w:tcPr>
          <w:p>
            <w:pPr>
              <w:spacing w:after="0" w:line="124" w:lineRule="exact"/>
              <w:rPr>
                <w:sz w:val="20"/>
                <w:szCs w:val="20"/>
                <w:color w:val="auto"/>
              </w:rPr>
            </w:pPr>
            <w:r>
              <w:rPr>
                <w:rFonts w:ascii="Arial" w:cs="Arial" w:eastAsia="Arial" w:hAnsi="Arial"/>
                <w:sz w:val="11"/>
                <w:szCs w:val="11"/>
                <w:color w:val="auto"/>
              </w:rPr>
              <w:t>Total</w:t>
            </w:r>
          </w:p>
        </w:tc>
        <w:tc>
          <w:tcPr>
            <w:tcW w:w="50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45"/>
              <w:spacing w:after="0" w:line="124" w:lineRule="exact"/>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ind w:right="105"/>
              <w:spacing w:after="0" w:line="124" w:lineRule="exact"/>
              <w:rPr>
                <w:sz w:val="20"/>
                <w:szCs w:val="20"/>
                <w:color w:val="auto"/>
              </w:rPr>
            </w:pPr>
            <w:r>
              <w:rPr>
                <w:rFonts w:ascii="Arial" w:cs="Arial" w:eastAsia="Arial" w:hAnsi="Arial"/>
                <w:sz w:val="11"/>
                <w:szCs w:val="11"/>
                <w:color w:val="auto"/>
              </w:rPr>
              <w:t>60</w:t>
            </w:r>
          </w:p>
        </w:tc>
        <w:tc>
          <w:tcPr>
            <w:tcW w:w="340" w:type="dxa"/>
            <w:vAlign w:val="bottom"/>
            <w:tcBorders>
              <w:bottom w:val="single" w:sz="8" w:color="auto"/>
            </w:tcBorders>
          </w:tcPr>
          <w:p>
            <w:pPr>
              <w:jc w:val="right"/>
              <w:ind w:right="45"/>
              <w:spacing w:after="0" w:line="124" w:lineRule="exact"/>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125"/>
              <w:spacing w:after="0" w:line="124" w:lineRule="exact"/>
              <w:rPr>
                <w:sz w:val="20"/>
                <w:szCs w:val="20"/>
                <w:color w:val="auto"/>
              </w:rPr>
            </w:pPr>
            <w:r>
              <w:rPr>
                <w:rFonts w:ascii="Arial" w:cs="Arial" w:eastAsia="Arial" w:hAnsi="Arial"/>
                <w:sz w:val="11"/>
                <w:szCs w:val="11"/>
                <w:color w:val="auto"/>
              </w:rPr>
              <w:t>60</w:t>
            </w:r>
          </w:p>
        </w:tc>
        <w:tc>
          <w:tcPr>
            <w:tcW w:w="340" w:type="dxa"/>
            <w:vAlign w:val="bottom"/>
            <w:tcBorders>
              <w:bottom w:val="single" w:sz="8" w:color="auto"/>
            </w:tcBorders>
          </w:tcPr>
          <w:p>
            <w:pPr>
              <w:jc w:val="right"/>
              <w:ind w:right="45"/>
              <w:spacing w:after="0" w:line="124" w:lineRule="exact"/>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125"/>
              <w:spacing w:after="0" w:line="124" w:lineRule="exact"/>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jc w:val="right"/>
              <w:ind w:right="185"/>
              <w:spacing w:after="0" w:line="124" w:lineRule="exact"/>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tcPr>
          <w:p>
            <w:pPr>
              <w:jc w:val="center"/>
              <w:ind w:left="385"/>
              <w:spacing w:after="0" w:line="124" w:lineRule="exact"/>
              <w:rPr>
                <w:sz w:val="20"/>
                <w:szCs w:val="20"/>
                <w:color w:val="auto"/>
              </w:rPr>
            </w:pPr>
            <w:r>
              <w:rPr>
                <w:rFonts w:ascii="Arial" w:cs="Arial" w:eastAsia="Arial" w:hAnsi="Arial"/>
                <w:sz w:val="11"/>
                <w:szCs w:val="11"/>
                <w:color w:val="auto"/>
              </w:rPr>
              <w:t>(60)</w:t>
            </w:r>
          </w:p>
        </w:tc>
        <w:tc>
          <w:tcPr>
            <w:tcW w:w="400" w:type="dxa"/>
            <w:vAlign w:val="bottom"/>
            <w:tcBorders>
              <w:bottom w:val="single" w:sz="8" w:color="auto"/>
            </w:tcBorders>
          </w:tcPr>
          <w:p>
            <w:pPr>
              <w:jc w:val="right"/>
              <w:ind w:right="125"/>
              <w:spacing w:after="0" w:line="124" w:lineRule="exact"/>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66"/>
        </w:trPr>
        <w:tc>
          <w:tcPr>
            <w:tcW w:w="280" w:type="dxa"/>
            <w:vAlign w:val="bottom"/>
          </w:tcPr>
          <w:p>
            <w:pPr>
              <w:spacing w:after="0"/>
              <w:rPr>
                <w:sz w:val="20"/>
                <w:szCs w:val="20"/>
                <w:color w:val="auto"/>
              </w:rPr>
            </w:pPr>
            <w:r>
              <w:rPr>
                <w:rFonts w:ascii="Arial" w:cs="Arial" w:eastAsia="Arial" w:hAnsi="Arial"/>
                <w:sz w:val="11"/>
                <w:szCs w:val="11"/>
                <w:i w:val="1"/>
                <w:iCs w:val="1"/>
                <w:color w:val="auto"/>
              </w:rPr>
              <w:t>(1)</w:t>
            </w:r>
          </w:p>
        </w:tc>
        <w:tc>
          <w:tcPr>
            <w:tcW w:w="5020" w:type="dxa"/>
            <w:vAlign w:val="bottom"/>
          </w:tcPr>
          <w:p>
            <w:pPr>
              <w:ind w:left="360"/>
              <w:spacing w:after="0"/>
              <w:rPr>
                <w:sz w:val="20"/>
                <w:szCs w:val="20"/>
                <w:color w:val="auto"/>
              </w:rPr>
            </w:pPr>
            <w:r>
              <w:rPr>
                <w:rFonts w:ascii="Arial" w:cs="Arial" w:eastAsia="Arial" w:hAnsi="Arial"/>
                <w:sz w:val="11"/>
                <w:szCs w:val="11"/>
                <w:i w:val="1"/>
                <w:iCs w:val="1"/>
                <w:color w:val="auto"/>
              </w:rPr>
              <w:t>Excludes cash balances and cash equivalents.</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RECURRING FAIR VALUE MEASURES --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(Dollars in millions)</w:t>
      </w:r>
    </w:p>
    <w:tbl>
      <w:tblPr>
        <w:tblLayout w:type="fixed"/>
        <w:tblInd w:w="0" w:type="dxa"/>
        <w:tblCellMar>
          <w:top w:w="0" w:type="dxa"/>
          <w:left w:w="0" w:type="dxa"/>
          <w:bottom w:w="0" w:type="dxa"/>
          <w:right w:w="0" w:type="dxa"/>
        </w:tblCellMar>
      </w:tblPr>
      <w:tr>
        <w:trPr>
          <w:trHeight w:val="121"/>
        </w:trPr>
        <w:tc>
          <w:tcPr>
            <w:tcW w:w="4560" w:type="dxa"/>
            <w:vAlign w:val="bottom"/>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3"/>
          </w:tcPr>
          <w:p>
            <w:pPr>
              <w:ind w:left="120"/>
              <w:spacing w:after="0" w:line="121" w:lineRule="exact"/>
              <w:rPr>
                <w:sz w:val="20"/>
                <w:szCs w:val="20"/>
                <w:color w:val="auto"/>
              </w:rPr>
            </w:pPr>
            <w:r>
              <w:rPr>
                <w:rFonts w:ascii="Arial" w:cs="Arial" w:eastAsia="Arial" w:hAnsi="Arial"/>
                <w:sz w:val="11"/>
                <w:szCs w:val="11"/>
                <w:color w:val="auto"/>
              </w:rPr>
              <w:t>At fair value as of March 31, 2011</w:t>
            </w:r>
          </w:p>
        </w:tc>
        <w:tc>
          <w:tcPr>
            <w:tcW w:w="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r>
        <w:trPr>
          <w:trHeight w:val="128"/>
        </w:trPr>
        <w:tc>
          <w:tcPr>
            <w:tcW w:w="4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jc w:val="center"/>
              <w:ind w:right="225"/>
              <w:spacing w:after="0"/>
              <w:rPr>
                <w:sz w:val="20"/>
                <w:szCs w:val="20"/>
                <w:color w:val="auto"/>
              </w:rPr>
            </w:pPr>
            <w:r>
              <w:rPr>
                <w:rFonts w:ascii="Arial" w:cs="Arial" w:eastAsia="Arial" w:hAnsi="Arial"/>
                <w:sz w:val="11"/>
                <w:szCs w:val="11"/>
                <w:color w:val="auto"/>
                <w:w w:val="98"/>
              </w:rPr>
              <w:t>Collateral</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21"/>
        </w:trPr>
        <w:tc>
          <w:tcPr>
            <w:tcW w:w="4560" w:type="dxa"/>
            <w:vAlign w:val="bottom"/>
          </w:tcPr>
          <w:p>
            <w:pPr>
              <w:spacing w:after="0"/>
              <w:rPr>
                <w:sz w:val="10"/>
                <w:szCs w:val="10"/>
                <w:color w:val="auto"/>
              </w:rPr>
            </w:pPr>
          </w:p>
        </w:tc>
        <w:tc>
          <w:tcPr>
            <w:tcW w:w="1160" w:type="dxa"/>
            <w:vAlign w:val="bottom"/>
            <w:tcBorders>
              <w:bottom w:val="single" w:sz="8" w:color="auto"/>
            </w:tcBorders>
          </w:tcPr>
          <w:p>
            <w:pPr>
              <w:jc w:val="right"/>
              <w:ind w:right="65"/>
              <w:spacing w:after="0" w:line="121" w:lineRule="exact"/>
              <w:rPr>
                <w:sz w:val="20"/>
                <w:szCs w:val="20"/>
                <w:color w:val="auto"/>
              </w:rPr>
            </w:pPr>
            <w:r>
              <w:rPr>
                <w:rFonts w:ascii="Arial" w:cs="Arial" w:eastAsia="Arial" w:hAnsi="Arial"/>
                <w:sz w:val="11"/>
                <w:szCs w:val="11"/>
                <w:color w:val="auto"/>
              </w:rPr>
              <w:t>Level 1</w:t>
            </w:r>
          </w:p>
        </w:tc>
        <w:tc>
          <w:tcPr>
            <w:tcW w:w="3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25"/>
              <w:spacing w:after="0" w:line="121" w:lineRule="exact"/>
              <w:rPr>
                <w:sz w:val="20"/>
                <w:szCs w:val="20"/>
                <w:color w:val="auto"/>
              </w:rPr>
            </w:pPr>
            <w:r>
              <w:rPr>
                <w:rFonts w:ascii="Arial" w:cs="Arial" w:eastAsia="Arial" w:hAnsi="Arial"/>
                <w:sz w:val="11"/>
                <w:szCs w:val="11"/>
                <w:color w:val="auto"/>
              </w:rPr>
              <w:t>Level 2</w:t>
            </w: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ind w:left="160"/>
              <w:spacing w:after="0" w:line="121" w:lineRule="exact"/>
              <w:rPr>
                <w:sz w:val="20"/>
                <w:szCs w:val="20"/>
                <w:color w:val="auto"/>
              </w:rPr>
            </w:pPr>
            <w:r>
              <w:rPr>
                <w:rFonts w:ascii="Arial" w:cs="Arial" w:eastAsia="Arial" w:hAnsi="Arial"/>
                <w:sz w:val="11"/>
                <w:szCs w:val="11"/>
                <w:color w:val="auto"/>
              </w:rPr>
              <w:t>Level 3</w:t>
            </w:r>
          </w:p>
        </w:tc>
        <w:tc>
          <w:tcPr>
            <w:tcW w:w="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right="225"/>
              <w:spacing w:after="0" w:line="121" w:lineRule="exact"/>
              <w:rPr>
                <w:sz w:val="20"/>
                <w:szCs w:val="20"/>
                <w:color w:val="auto"/>
              </w:rPr>
            </w:pPr>
            <w:r>
              <w:rPr>
                <w:rFonts w:ascii="Arial" w:cs="Arial" w:eastAsia="Arial" w:hAnsi="Arial"/>
                <w:sz w:val="11"/>
                <w:szCs w:val="11"/>
                <w:color w:val="auto"/>
                <w:w w:val="97"/>
              </w:rPr>
              <w:t>netted</w:t>
            </w:r>
          </w:p>
        </w:tc>
        <w:tc>
          <w:tcPr>
            <w:tcW w:w="4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25"/>
              <w:spacing w:after="0" w:line="121" w:lineRule="exact"/>
              <w:rPr>
                <w:sz w:val="20"/>
                <w:szCs w:val="20"/>
                <w:color w:val="auto"/>
              </w:rPr>
            </w:pPr>
            <w:r>
              <w:rPr>
                <w:rFonts w:ascii="Arial" w:cs="Arial" w:eastAsia="Arial" w:hAnsi="Arial"/>
                <w:sz w:val="11"/>
                <w:szCs w:val="11"/>
                <w:color w:val="auto"/>
              </w:rPr>
              <w:t>Total</w:t>
            </w:r>
          </w:p>
        </w:tc>
      </w:tr>
      <w:tr>
        <w:trPr>
          <w:trHeight w:val="128"/>
        </w:trPr>
        <w:tc>
          <w:tcPr>
            <w:tcW w:w="4560" w:type="dxa"/>
            <w:vAlign w:val="bottom"/>
          </w:tcPr>
          <w:p>
            <w:pPr>
              <w:spacing w:after="0"/>
              <w:rPr>
                <w:sz w:val="20"/>
                <w:szCs w:val="20"/>
                <w:color w:val="auto"/>
              </w:rPr>
            </w:pPr>
            <w:r>
              <w:rPr>
                <w:rFonts w:ascii="Arial" w:cs="Arial" w:eastAsia="Arial" w:hAnsi="Arial"/>
                <w:sz w:val="11"/>
                <w:szCs w:val="11"/>
                <w:color w:val="auto"/>
              </w:rPr>
              <w:t>Assets:</w:t>
            </w: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24"/>
        </w:trPr>
        <w:tc>
          <w:tcPr>
            <w:tcW w:w="4560" w:type="dxa"/>
            <w:vAlign w:val="bottom"/>
          </w:tcPr>
          <w:p>
            <w:pPr>
              <w:ind w:left="120"/>
              <w:spacing w:after="0" w:line="124" w:lineRule="exact"/>
              <w:rPr>
                <w:sz w:val="20"/>
                <w:szCs w:val="20"/>
                <w:color w:val="auto"/>
              </w:rPr>
            </w:pPr>
            <w:r>
              <w:rPr>
                <w:rFonts w:ascii="Arial" w:cs="Arial" w:eastAsia="Arial" w:hAnsi="Arial"/>
                <w:sz w:val="11"/>
                <w:szCs w:val="11"/>
                <w:color w:val="auto"/>
              </w:rPr>
              <w:t>Commodity contracts subject to rate recovery</w:t>
            </w:r>
          </w:p>
        </w:tc>
        <w:tc>
          <w:tcPr>
            <w:tcW w:w="1160" w:type="dxa"/>
            <w:vAlign w:val="bottom"/>
          </w:tcPr>
          <w:p>
            <w:pPr>
              <w:jc w:val="right"/>
              <w:ind w:right="745"/>
              <w:spacing w:after="0" w:line="124" w:lineRule="exact"/>
              <w:rPr>
                <w:sz w:val="20"/>
                <w:szCs w:val="20"/>
                <w:color w:val="auto"/>
              </w:rPr>
            </w:pPr>
            <w:r>
              <w:rPr>
                <w:rFonts w:ascii="Arial" w:cs="Arial" w:eastAsia="Arial" w:hAnsi="Arial"/>
                <w:sz w:val="11"/>
                <w:szCs w:val="11"/>
                <w:color w:val="auto"/>
              </w:rPr>
              <w:t>$</w:t>
            </w:r>
          </w:p>
        </w:tc>
        <w:tc>
          <w:tcPr>
            <w:tcW w:w="340" w:type="dxa"/>
            <w:vAlign w:val="bottom"/>
          </w:tcPr>
          <w:p>
            <w:pPr>
              <w:jc w:val="right"/>
              <w:ind w:right="105"/>
              <w:spacing w:after="0" w:line="124" w:lineRule="exact"/>
              <w:rPr>
                <w:sz w:val="20"/>
                <w:szCs w:val="20"/>
                <w:color w:val="auto"/>
              </w:rPr>
            </w:pPr>
            <w:r>
              <w:rPr>
                <w:rFonts w:ascii="Arial" w:cs="Arial" w:eastAsia="Arial" w:hAnsi="Arial"/>
                <w:sz w:val="11"/>
                <w:szCs w:val="11"/>
                <w:color w:val="auto"/>
              </w:rPr>
              <w:t>2</w:t>
            </w:r>
          </w:p>
        </w:tc>
        <w:tc>
          <w:tcPr>
            <w:tcW w:w="1000" w:type="dxa"/>
            <w:vAlign w:val="bottom"/>
          </w:tcPr>
          <w:p>
            <w:pPr>
              <w:jc w:val="right"/>
              <w:ind w:right="705"/>
              <w:spacing w:after="0" w:line="124" w:lineRule="exact"/>
              <w:rPr>
                <w:sz w:val="20"/>
                <w:szCs w:val="20"/>
                <w:color w:val="auto"/>
              </w:rPr>
            </w:pPr>
            <w:r>
              <w:rPr>
                <w:rFonts w:ascii="Arial" w:cs="Arial" w:eastAsia="Arial" w:hAnsi="Arial"/>
                <w:sz w:val="11"/>
                <w:szCs w:val="11"/>
                <w:color w:val="auto"/>
              </w:rPr>
              <w:t>$</w:t>
            </w:r>
          </w:p>
        </w:tc>
        <w:tc>
          <w:tcPr>
            <w:tcW w:w="380" w:type="dxa"/>
            <w:vAlign w:val="bottom"/>
          </w:tcPr>
          <w:p>
            <w:pPr>
              <w:ind w:left="100"/>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jc w:val="right"/>
              <w:ind w:right="105"/>
              <w:spacing w:after="0" w:line="124" w:lineRule="exact"/>
              <w:rPr>
                <w:sz w:val="20"/>
                <w:szCs w:val="20"/>
                <w:color w:val="auto"/>
              </w:rPr>
            </w:pPr>
            <w:r>
              <w:rPr>
                <w:rFonts w:ascii="Arial" w:cs="Arial" w:eastAsia="Arial" w:hAnsi="Arial"/>
                <w:sz w:val="11"/>
                <w:szCs w:val="11"/>
                <w:color w:val="auto"/>
              </w:rPr>
              <w:t>$</w:t>
            </w:r>
          </w:p>
        </w:tc>
        <w:tc>
          <w:tcPr>
            <w:tcW w:w="1060" w:type="dxa"/>
            <w:vAlign w:val="bottom"/>
          </w:tcPr>
          <w:p>
            <w:pPr>
              <w:ind w:left="700"/>
              <w:spacing w:after="0" w:line="124" w:lineRule="exact"/>
              <w:rPr>
                <w:sz w:val="20"/>
                <w:szCs w:val="20"/>
                <w:color w:val="auto"/>
              </w:rPr>
            </w:pPr>
            <w:r>
              <w:rPr>
                <w:rFonts w:ascii="Arial" w:cs="Arial" w:eastAsia="Arial" w:hAnsi="Arial"/>
                <w:sz w:val="11"/>
                <w:szCs w:val="11"/>
                <w:color w:val="auto"/>
              </w:rPr>
              <w:t>―</w:t>
            </w:r>
          </w:p>
        </w:tc>
        <w:tc>
          <w:tcPr>
            <w:tcW w:w="280" w:type="dxa"/>
            <w:vAlign w:val="bottom"/>
          </w:tcPr>
          <w:p>
            <w:pPr>
              <w:jc w:val="right"/>
              <w:ind w:right="85"/>
              <w:spacing w:after="0" w:line="124" w:lineRule="exact"/>
              <w:rPr>
                <w:sz w:val="20"/>
                <w:szCs w:val="20"/>
                <w:color w:val="auto"/>
              </w:rPr>
            </w:pPr>
            <w:r>
              <w:rPr>
                <w:rFonts w:ascii="Arial" w:cs="Arial" w:eastAsia="Arial" w:hAnsi="Arial"/>
                <w:sz w:val="11"/>
                <w:szCs w:val="11"/>
                <w:color w:val="auto"/>
              </w:rPr>
              <w:t>$</w:t>
            </w:r>
          </w:p>
        </w:tc>
        <w:tc>
          <w:tcPr>
            <w:tcW w:w="1020" w:type="dxa"/>
            <w:vAlign w:val="bottom"/>
          </w:tcPr>
          <w:p>
            <w:pPr>
              <w:ind w:left="740"/>
              <w:spacing w:after="0" w:line="124" w:lineRule="exact"/>
              <w:rPr>
                <w:sz w:val="20"/>
                <w:szCs w:val="20"/>
                <w:color w:val="auto"/>
              </w:rPr>
            </w:pPr>
            <w:r>
              <w:rPr>
                <w:rFonts w:ascii="Arial" w:cs="Arial" w:eastAsia="Arial" w:hAnsi="Arial"/>
                <w:sz w:val="11"/>
                <w:szCs w:val="11"/>
                <w:color w:val="auto"/>
              </w:rPr>
              <w:t>―</w:t>
            </w:r>
          </w:p>
        </w:tc>
        <w:tc>
          <w:tcPr>
            <w:tcW w:w="440" w:type="dxa"/>
            <w:vAlign w:val="bottom"/>
          </w:tcPr>
          <w:p>
            <w:pPr>
              <w:jc w:val="right"/>
              <w:ind w:right="145"/>
              <w:spacing w:after="0" w:line="124"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4" w:lineRule="exact"/>
              <w:rPr>
                <w:sz w:val="20"/>
                <w:szCs w:val="20"/>
                <w:color w:val="auto"/>
              </w:rPr>
            </w:pPr>
            <w:r>
              <w:rPr>
                <w:rFonts w:ascii="Arial" w:cs="Arial" w:eastAsia="Arial" w:hAnsi="Arial"/>
                <w:sz w:val="11"/>
                <w:szCs w:val="11"/>
                <w:color w:val="auto"/>
              </w:rPr>
              <w:t>2</w:t>
            </w:r>
          </w:p>
        </w:tc>
      </w:tr>
      <w:tr>
        <w:trPr>
          <w:trHeight w:val="121"/>
        </w:trPr>
        <w:tc>
          <w:tcPr>
            <w:tcW w:w="4560" w:type="dxa"/>
            <w:vAlign w:val="bottom"/>
          </w:tcPr>
          <w:p>
            <w:pPr>
              <w:ind w:left="120"/>
              <w:spacing w:after="0" w:line="101" w:lineRule="exact"/>
              <w:rPr>
                <w:sz w:val="20"/>
                <w:szCs w:val="20"/>
                <w:color w:val="auto"/>
              </w:rPr>
            </w:pPr>
            <w:r>
              <w:rPr>
                <w:rFonts w:ascii="Arial" w:cs="Arial" w:eastAsia="Arial" w:hAnsi="Arial"/>
                <w:sz w:val="11"/>
                <w:szCs w:val="11"/>
                <w:color w:val="auto"/>
              </w:rPr>
              <w:t>Commodity contracts not subject to rate recovery</w:t>
            </w:r>
          </w:p>
        </w:tc>
        <w:tc>
          <w:tcPr>
            <w:tcW w:w="1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105"/>
              <w:spacing w:after="0" w:line="101" w:lineRule="exact"/>
              <w:rPr>
                <w:sz w:val="20"/>
                <w:szCs w:val="20"/>
                <w:color w:val="auto"/>
              </w:rPr>
            </w:pPr>
            <w:r>
              <w:rPr>
                <w:rFonts w:ascii="Arial" w:cs="Arial" w:eastAsia="Arial" w:hAnsi="Arial"/>
                <w:sz w:val="11"/>
                <w:szCs w:val="11"/>
                <w:color w:val="auto"/>
              </w:rPr>
              <w:t>4</w:t>
            </w:r>
          </w:p>
        </w:tc>
        <w:tc>
          <w:tcPr>
            <w:tcW w:w="10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ind w:left="100"/>
              <w:spacing w:after="0" w:line="101" w:lineRule="exact"/>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ind w:left="700"/>
              <w:spacing w:after="0" w:line="101" w:lineRule="exact"/>
              <w:rPr>
                <w:sz w:val="20"/>
                <w:szCs w:val="20"/>
                <w:color w:val="auto"/>
              </w:rPr>
            </w:pPr>
            <w:r>
              <w:rPr>
                <w:rFonts w:ascii="Arial" w:cs="Arial" w:eastAsia="Arial" w:hAnsi="Arial"/>
                <w:sz w:val="11"/>
                <w:szCs w:val="11"/>
                <w:color w:val="auto"/>
              </w:rPr>
              <w:t>―</w:t>
            </w:r>
          </w:p>
        </w:tc>
        <w:tc>
          <w:tcPr>
            <w:tcW w:w="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ind w:left="740"/>
              <w:spacing w:after="0" w:line="101" w:lineRule="exact"/>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color w:val="auto"/>
              </w:rPr>
              <w:t>4</w:t>
            </w:r>
          </w:p>
        </w:tc>
      </w:tr>
      <w:tr>
        <w:trPr>
          <w:trHeight w:val="125"/>
        </w:trPr>
        <w:tc>
          <w:tcPr>
            <w:tcW w:w="4560" w:type="dxa"/>
            <w:vAlign w:val="bottom"/>
          </w:tcPr>
          <w:p>
            <w:pPr>
              <w:spacing w:after="0" w:line="104" w:lineRule="exact"/>
              <w:rPr>
                <w:sz w:val="20"/>
                <w:szCs w:val="20"/>
                <w:color w:val="auto"/>
              </w:rPr>
            </w:pPr>
            <w:r>
              <w:rPr>
                <w:rFonts w:ascii="Arial" w:cs="Arial" w:eastAsia="Arial" w:hAnsi="Arial"/>
                <w:sz w:val="11"/>
                <w:szCs w:val="11"/>
                <w:color w:val="auto"/>
              </w:rPr>
              <w:t>Total</w:t>
            </w:r>
          </w:p>
        </w:tc>
        <w:tc>
          <w:tcPr>
            <w:tcW w:w="1160" w:type="dxa"/>
            <w:vAlign w:val="bottom"/>
            <w:tcBorders>
              <w:bottom w:val="single" w:sz="8" w:color="auto"/>
            </w:tcBorders>
          </w:tcPr>
          <w:p>
            <w:pPr>
              <w:jc w:val="right"/>
              <w:ind w:right="745"/>
              <w:spacing w:after="0" w:line="104" w:lineRule="exact"/>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jc w:val="right"/>
              <w:ind w:right="105"/>
              <w:spacing w:after="0" w:line="104" w:lineRule="exact"/>
              <w:rPr>
                <w:sz w:val="20"/>
                <w:szCs w:val="20"/>
                <w:color w:val="auto"/>
              </w:rPr>
            </w:pPr>
            <w:r>
              <w:rPr>
                <w:rFonts w:ascii="Arial" w:cs="Arial" w:eastAsia="Arial" w:hAnsi="Arial"/>
                <w:sz w:val="11"/>
                <w:szCs w:val="11"/>
                <w:color w:val="auto"/>
              </w:rPr>
              <w:t>6</w:t>
            </w:r>
          </w:p>
        </w:tc>
        <w:tc>
          <w:tcPr>
            <w:tcW w:w="1000" w:type="dxa"/>
            <w:vAlign w:val="bottom"/>
            <w:tcBorders>
              <w:bottom w:val="single" w:sz="8" w:color="auto"/>
            </w:tcBorders>
          </w:tcPr>
          <w:p>
            <w:pPr>
              <w:jc w:val="right"/>
              <w:ind w:right="705"/>
              <w:spacing w:after="0" w:line="104" w:lineRule="exact"/>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tcPr>
          <w:p>
            <w:pPr>
              <w:ind w:left="100"/>
              <w:spacing w:after="0" w:line="104" w:lineRule="exact"/>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jc w:val="right"/>
              <w:ind w:right="105"/>
              <w:spacing w:after="0" w:line="104" w:lineRule="exact"/>
              <w:rPr>
                <w:sz w:val="20"/>
                <w:szCs w:val="20"/>
                <w:color w:val="auto"/>
              </w:rPr>
            </w:pPr>
            <w:r>
              <w:rPr>
                <w:rFonts w:ascii="Arial" w:cs="Arial" w:eastAsia="Arial" w:hAnsi="Arial"/>
                <w:sz w:val="11"/>
                <w:szCs w:val="11"/>
                <w:color w:val="auto"/>
              </w:rPr>
              <w:t>$</w:t>
            </w:r>
          </w:p>
        </w:tc>
        <w:tc>
          <w:tcPr>
            <w:tcW w:w="1060" w:type="dxa"/>
            <w:vAlign w:val="bottom"/>
            <w:tcBorders>
              <w:bottom w:val="single" w:sz="8" w:color="auto"/>
            </w:tcBorders>
          </w:tcPr>
          <w:p>
            <w:pPr>
              <w:ind w:left="700"/>
              <w:spacing w:after="0" w:line="104" w:lineRule="exact"/>
              <w:rPr>
                <w:sz w:val="20"/>
                <w:szCs w:val="20"/>
                <w:color w:val="auto"/>
              </w:rPr>
            </w:pPr>
            <w:r>
              <w:rPr>
                <w:rFonts w:ascii="Arial" w:cs="Arial" w:eastAsia="Arial" w:hAnsi="Arial"/>
                <w:sz w:val="11"/>
                <w:szCs w:val="11"/>
                <w:color w:val="auto"/>
              </w:rPr>
              <w:t>―</w:t>
            </w:r>
          </w:p>
        </w:tc>
        <w:tc>
          <w:tcPr>
            <w:tcW w:w="280" w:type="dxa"/>
            <w:vAlign w:val="bottom"/>
            <w:tcBorders>
              <w:bottom w:val="single" w:sz="8" w:color="auto"/>
            </w:tcBorders>
          </w:tcPr>
          <w:p>
            <w:pPr>
              <w:jc w:val="right"/>
              <w:ind w:right="85"/>
              <w:spacing w:after="0" w:line="104" w:lineRule="exact"/>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tcPr>
          <w:p>
            <w:pPr>
              <w:ind w:left="740"/>
              <w:spacing w:after="0" w:line="104" w:lineRule="exact"/>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jc w:val="right"/>
              <w:ind w:right="145"/>
              <w:spacing w:after="0" w:line="104" w:lineRule="exact"/>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spacing w:after="0" w:line="104" w:lineRule="exact"/>
              <w:rPr>
                <w:sz w:val="20"/>
                <w:szCs w:val="20"/>
                <w:color w:val="auto"/>
              </w:rPr>
            </w:pPr>
            <w:r>
              <w:rPr>
                <w:rFonts w:ascii="Arial" w:cs="Arial" w:eastAsia="Arial" w:hAnsi="Arial"/>
                <w:sz w:val="11"/>
                <w:szCs w:val="11"/>
                <w:color w:val="auto"/>
              </w:rPr>
              <w:t>6</w:t>
            </w:r>
          </w:p>
        </w:tc>
      </w:tr>
      <w:tr>
        <w:trPr>
          <w:trHeight w:val="135"/>
        </w:trPr>
        <w:tc>
          <w:tcPr>
            <w:tcW w:w="4560" w:type="dxa"/>
            <w:vAlign w:val="bottom"/>
          </w:tcPr>
          <w:p>
            <w:pPr>
              <w:spacing w:after="0"/>
              <w:rPr>
                <w:sz w:val="20"/>
                <w:szCs w:val="20"/>
                <w:color w:val="auto"/>
              </w:rPr>
            </w:pPr>
            <w:r>
              <w:rPr>
                <w:rFonts w:ascii="Arial" w:cs="Arial" w:eastAsia="Arial" w:hAnsi="Arial"/>
                <w:sz w:val="11"/>
                <w:szCs w:val="11"/>
                <w:color w:val="auto"/>
              </w:rPr>
              <w:t>Liabilities:</w:t>
            </w: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sectPr>
          <w:pgSz w:w="11900" w:h="16910" w:orient="portrait"/>
          <w:cols w:equalWidth="0" w:num="1">
            <w:col w:w="11460"/>
          </w:cols>
          <w:pgMar w:left="220" w:top="294" w:right="21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56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rPr>
              <w:t>Commodity contracts subject to rate recovery</w:t>
            </w:r>
          </w:p>
        </w:tc>
        <w:tc>
          <w:tcPr>
            <w:tcW w:w="1140" w:type="dxa"/>
            <w:vAlign w:val="bottom"/>
            <w:tcBorders>
              <w:bottom w:val="single" w:sz="8" w:color="auto"/>
            </w:tcBorders>
          </w:tcPr>
          <w:p>
            <w:pPr>
              <w:jc w:val="right"/>
              <w:ind w:right="725"/>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tcPr>
          <w:p>
            <w:pPr>
              <w:jc w:val="right"/>
              <w:ind w:right="665"/>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color w:val="auto"/>
              </w:rPr>
              <w:t>1</w:t>
            </w:r>
          </w:p>
        </w:tc>
        <w:tc>
          <w:tcPr>
            <w:tcW w:w="40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ind w:left="70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ind w:left="74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jc w:val="right"/>
              <w:ind w:right="145"/>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r>
      <w:tr>
        <w:trPr>
          <w:trHeight w:val="249"/>
        </w:trPr>
        <w:tc>
          <w:tcPr>
            <w:tcW w:w="456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color w:val="auto"/>
              </w:rPr>
              <w:t>At fair value as of December 31, 2010</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r>
      <w:tr>
        <w:trPr>
          <w:trHeight w:val="128"/>
        </w:trPr>
        <w:tc>
          <w:tcPr>
            <w:tcW w:w="4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ind w:left="140"/>
              <w:spacing w:after="0"/>
              <w:rPr>
                <w:sz w:val="20"/>
                <w:szCs w:val="20"/>
                <w:color w:val="auto"/>
              </w:rPr>
            </w:pPr>
            <w:r>
              <w:rPr>
                <w:rFonts w:ascii="Arial" w:cs="Arial" w:eastAsia="Arial" w:hAnsi="Arial"/>
                <w:sz w:val="11"/>
                <w:szCs w:val="11"/>
                <w:color w:val="auto"/>
              </w:rPr>
              <w:t>Collateral</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21"/>
        </w:trPr>
        <w:tc>
          <w:tcPr>
            <w:tcW w:w="4560" w:type="dxa"/>
            <w:vAlign w:val="bottom"/>
          </w:tcPr>
          <w:p>
            <w:pPr>
              <w:spacing w:after="0"/>
              <w:rPr>
                <w:sz w:val="10"/>
                <w:szCs w:val="10"/>
                <w:color w:val="auto"/>
              </w:rPr>
            </w:pPr>
          </w:p>
        </w:tc>
        <w:tc>
          <w:tcPr>
            <w:tcW w:w="1140" w:type="dxa"/>
            <w:vAlign w:val="bottom"/>
            <w:tcBorders>
              <w:bottom w:val="single" w:sz="8" w:color="auto"/>
            </w:tcBorders>
          </w:tcPr>
          <w:p>
            <w:pPr>
              <w:jc w:val="right"/>
              <w:ind w:right="45"/>
              <w:spacing w:after="0" w:line="121" w:lineRule="exact"/>
              <w:rPr>
                <w:sz w:val="20"/>
                <w:szCs w:val="20"/>
                <w:color w:val="auto"/>
              </w:rPr>
            </w:pPr>
            <w:r>
              <w:rPr>
                <w:rFonts w:ascii="Arial" w:cs="Arial" w:eastAsia="Arial" w:hAnsi="Arial"/>
                <w:sz w:val="11"/>
                <w:szCs w:val="11"/>
                <w:color w:val="auto"/>
              </w:rPr>
              <w:t>Level 1</w:t>
            </w:r>
          </w:p>
        </w:tc>
        <w:tc>
          <w:tcPr>
            <w:tcW w:w="3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Level 2</w:t>
            </w:r>
          </w:p>
        </w:tc>
        <w:tc>
          <w:tcPr>
            <w:tcW w:w="4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ind w:left="160"/>
              <w:spacing w:after="0" w:line="121" w:lineRule="exact"/>
              <w:rPr>
                <w:sz w:val="20"/>
                <w:szCs w:val="20"/>
                <w:color w:val="auto"/>
              </w:rPr>
            </w:pPr>
            <w:r>
              <w:rPr>
                <w:rFonts w:ascii="Arial" w:cs="Arial" w:eastAsia="Arial" w:hAnsi="Arial"/>
                <w:sz w:val="11"/>
                <w:szCs w:val="11"/>
                <w:color w:val="auto"/>
              </w:rPr>
              <w:t>Level 3</w:t>
            </w: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ind w:left="220"/>
              <w:spacing w:after="0" w:line="121" w:lineRule="exact"/>
              <w:rPr>
                <w:sz w:val="20"/>
                <w:szCs w:val="20"/>
                <w:color w:val="auto"/>
              </w:rPr>
            </w:pPr>
            <w:r>
              <w:rPr>
                <w:rFonts w:ascii="Arial" w:cs="Arial" w:eastAsia="Arial" w:hAnsi="Arial"/>
                <w:sz w:val="11"/>
                <w:szCs w:val="11"/>
                <w:color w:val="auto"/>
              </w:rPr>
              <w:t>netted</w:t>
            </w:r>
          </w:p>
        </w:tc>
        <w:tc>
          <w:tcPr>
            <w:tcW w:w="4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25"/>
              <w:spacing w:after="0" w:line="121" w:lineRule="exact"/>
              <w:rPr>
                <w:sz w:val="20"/>
                <w:szCs w:val="20"/>
                <w:color w:val="auto"/>
              </w:rPr>
            </w:pPr>
            <w:r>
              <w:rPr>
                <w:rFonts w:ascii="Arial" w:cs="Arial" w:eastAsia="Arial" w:hAnsi="Arial"/>
                <w:sz w:val="11"/>
                <w:szCs w:val="11"/>
                <w:color w:val="auto"/>
              </w:rPr>
              <w:t>Total</w:t>
            </w:r>
          </w:p>
        </w:tc>
      </w:tr>
      <w:tr>
        <w:trPr>
          <w:trHeight w:val="128"/>
        </w:trPr>
        <w:tc>
          <w:tcPr>
            <w:tcW w:w="4560" w:type="dxa"/>
            <w:vAlign w:val="bottom"/>
          </w:tcPr>
          <w:p>
            <w:pPr>
              <w:spacing w:after="0"/>
              <w:rPr>
                <w:sz w:val="20"/>
                <w:szCs w:val="20"/>
                <w:color w:val="auto"/>
              </w:rPr>
            </w:pPr>
            <w:r>
              <w:rPr>
                <w:rFonts w:ascii="Arial" w:cs="Arial" w:eastAsia="Arial" w:hAnsi="Arial"/>
                <w:sz w:val="11"/>
                <w:szCs w:val="11"/>
                <w:color w:val="auto"/>
              </w:rPr>
              <w:t>Assets:</w:t>
            </w: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24"/>
        </w:trPr>
        <w:tc>
          <w:tcPr>
            <w:tcW w:w="4560" w:type="dxa"/>
            <w:vAlign w:val="bottom"/>
          </w:tcPr>
          <w:p>
            <w:pPr>
              <w:ind w:left="120"/>
              <w:spacing w:after="0" w:line="124" w:lineRule="exact"/>
              <w:rPr>
                <w:sz w:val="20"/>
                <w:szCs w:val="20"/>
                <w:color w:val="auto"/>
              </w:rPr>
            </w:pPr>
            <w:r>
              <w:rPr>
                <w:rFonts w:ascii="Arial" w:cs="Arial" w:eastAsia="Arial" w:hAnsi="Arial"/>
                <w:sz w:val="11"/>
                <w:szCs w:val="11"/>
                <w:color w:val="auto"/>
              </w:rPr>
              <w:t>Interest rate instruments</w:t>
            </w:r>
          </w:p>
        </w:tc>
        <w:tc>
          <w:tcPr>
            <w:tcW w:w="1140" w:type="dxa"/>
            <w:vAlign w:val="bottom"/>
          </w:tcPr>
          <w:p>
            <w:pPr>
              <w:jc w:val="right"/>
              <w:ind w:right="725"/>
              <w:spacing w:after="0" w:line="124" w:lineRule="exact"/>
              <w:rPr>
                <w:sz w:val="20"/>
                <w:szCs w:val="20"/>
                <w:color w:val="auto"/>
              </w:rPr>
            </w:pPr>
            <w:r>
              <w:rPr>
                <w:rFonts w:ascii="Arial" w:cs="Arial" w:eastAsia="Arial" w:hAnsi="Arial"/>
                <w:sz w:val="11"/>
                <w:szCs w:val="11"/>
                <w:color w:val="auto"/>
              </w:rPr>
              <w:t>$</w:t>
            </w:r>
          </w:p>
        </w:tc>
        <w:tc>
          <w:tcPr>
            <w:tcW w:w="360" w:type="dxa"/>
            <w:vAlign w:val="bottom"/>
          </w:tcPr>
          <w:p>
            <w:pPr>
              <w:jc w:val="right"/>
              <w:ind w:right="105"/>
              <w:spacing w:after="0" w:line="124"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665"/>
              <w:spacing w:after="0" w:line="124" w:lineRule="exact"/>
              <w:rPr>
                <w:sz w:val="20"/>
                <w:szCs w:val="20"/>
                <w:color w:val="auto"/>
              </w:rPr>
            </w:pPr>
            <w:r>
              <w:rPr>
                <w:rFonts w:ascii="Arial" w:cs="Arial" w:eastAsia="Arial" w:hAnsi="Arial"/>
                <w:sz w:val="11"/>
                <w:szCs w:val="11"/>
                <w:color w:val="auto"/>
              </w:rPr>
              <w:t>$</w:t>
            </w:r>
          </w:p>
        </w:tc>
        <w:tc>
          <w:tcPr>
            <w:tcW w:w="42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3</w:t>
            </w:r>
          </w:p>
        </w:tc>
        <w:tc>
          <w:tcPr>
            <w:tcW w:w="400" w:type="dxa"/>
            <w:vAlign w:val="bottom"/>
          </w:tcPr>
          <w:p>
            <w:pPr>
              <w:jc w:val="right"/>
              <w:ind w:right="105"/>
              <w:spacing w:after="0" w:line="124" w:lineRule="exact"/>
              <w:rPr>
                <w:sz w:val="20"/>
                <w:szCs w:val="20"/>
                <w:color w:val="auto"/>
              </w:rPr>
            </w:pPr>
            <w:r>
              <w:rPr>
                <w:rFonts w:ascii="Arial" w:cs="Arial" w:eastAsia="Arial" w:hAnsi="Arial"/>
                <w:sz w:val="11"/>
                <w:szCs w:val="11"/>
                <w:color w:val="auto"/>
              </w:rPr>
              <w:t>$</w:t>
            </w:r>
          </w:p>
        </w:tc>
        <w:tc>
          <w:tcPr>
            <w:tcW w:w="1120" w:type="dxa"/>
            <w:vAlign w:val="bottom"/>
          </w:tcPr>
          <w:p>
            <w:pPr>
              <w:ind w:left="70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ind w:right="85"/>
              <w:spacing w:after="0" w:line="124" w:lineRule="exact"/>
              <w:rPr>
                <w:sz w:val="20"/>
                <w:szCs w:val="20"/>
                <w:color w:val="auto"/>
              </w:rPr>
            </w:pPr>
            <w:r>
              <w:rPr>
                <w:rFonts w:ascii="Arial" w:cs="Arial" w:eastAsia="Arial" w:hAnsi="Arial"/>
                <w:sz w:val="11"/>
                <w:szCs w:val="11"/>
                <w:color w:val="auto"/>
                <w:w w:val="97"/>
              </w:rPr>
              <w:t>$</w:t>
            </w:r>
          </w:p>
        </w:tc>
        <w:tc>
          <w:tcPr>
            <w:tcW w:w="1020" w:type="dxa"/>
            <w:vAlign w:val="bottom"/>
          </w:tcPr>
          <w:p>
            <w:pPr>
              <w:ind w:left="740"/>
              <w:spacing w:after="0" w:line="124" w:lineRule="exact"/>
              <w:rPr>
                <w:sz w:val="20"/>
                <w:szCs w:val="20"/>
                <w:color w:val="auto"/>
              </w:rPr>
            </w:pPr>
            <w:r>
              <w:rPr>
                <w:rFonts w:ascii="Arial" w:cs="Arial" w:eastAsia="Arial" w:hAnsi="Arial"/>
                <w:sz w:val="11"/>
                <w:szCs w:val="11"/>
                <w:color w:val="auto"/>
              </w:rPr>
              <w:t>―</w:t>
            </w:r>
          </w:p>
        </w:tc>
        <w:tc>
          <w:tcPr>
            <w:tcW w:w="440" w:type="dxa"/>
            <w:vAlign w:val="bottom"/>
          </w:tcPr>
          <w:p>
            <w:pPr>
              <w:jc w:val="right"/>
              <w:ind w:right="145"/>
              <w:spacing w:after="0" w:line="124"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4" w:lineRule="exact"/>
              <w:rPr>
                <w:sz w:val="20"/>
                <w:szCs w:val="20"/>
                <w:color w:val="auto"/>
              </w:rPr>
            </w:pPr>
            <w:r>
              <w:rPr>
                <w:rFonts w:ascii="Arial" w:cs="Arial" w:eastAsia="Arial" w:hAnsi="Arial"/>
                <w:sz w:val="11"/>
                <w:szCs w:val="11"/>
                <w:color w:val="auto"/>
              </w:rPr>
              <w:t>3</w:t>
            </w:r>
          </w:p>
        </w:tc>
      </w:tr>
      <w:tr>
        <w:trPr>
          <w:trHeight w:val="124"/>
        </w:trPr>
        <w:tc>
          <w:tcPr>
            <w:tcW w:w="4560" w:type="dxa"/>
            <w:vAlign w:val="bottom"/>
          </w:tcPr>
          <w:p>
            <w:pPr>
              <w:ind w:left="120"/>
              <w:spacing w:after="0" w:line="124" w:lineRule="exact"/>
              <w:rPr>
                <w:sz w:val="20"/>
                <w:szCs w:val="20"/>
                <w:color w:val="auto"/>
              </w:rPr>
            </w:pPr>
            <w:r>
              <w:rPr>
                <w:rFonts w:ascii="Arial" w:cs="Arial" w:eastAsia="Arial" w:hAnsi="Arial"/>
                <w:sz w:val="11"/>
                <w:szCs w:val="11"/>
                <w:color w:val="auto"/>
              </w:rPr>
              <w:t>Commodity contracts subject to rate recovery</w:t>
            </w:r>
          </w:p>
        </w:tc>
        <w:tc>
          <w:tcPr>
            <w:tcW w:w="1140" w:type="dxa"/>
            <w:vAlign w:val="bottom"/>
          </w:tcPr>
          <w:p>
            <w:pPr>
              <w:spacing w:after="0"/>
              <w:rPr>
                <w:sz w:val="10"/>
                <w:szCs w:val="10"/>
                <w:color w:val="auto"/>
              </w:rPr>
            </w:pPr>
          </w:p>
        </w:tc>
        <w:tc>
          <w:tcPr>
            <w:tcW w:w="360" w:type="dxa"/>
            <w:vAlign w:val="bottom"/>
          </w:tcPr>
          <w:p>
            <w:pPr>
              <w:jc w:val="right"/>
              <w:ind w:right="105"/>
              <w:spacing w:after="0" w:line="124" w:lineRule="exact"/>
              <w:rPr>
                <w:sz w:val="20"/>
                <w:szCs w:val="20"/>
                <w:color w:val="auto"/>
              </w:rPr>
            </w:pPr>
            <w:r>
              <w:rPr>
                <w:rFonts w:ascii="Arial" w:cs="Arial" w:eastAsia="Arial" w:hAnsi="Arial"/>
                <w:sz w:val="11"/>
                <w:szCs w:val="11"/>
                <w:color w:val="auto"/>
              </w:rPr>
              <w:t>1</w:t>
            </w:r>
          </w:p>
        </w:tc>
        <w:tc>
          <w:tcPr>
            <w:tcW w:w="960" w:type="dxa"/>
            <w:vAlign w:val="bottom"/>
          </w:tcPr>
          <w:p>
            <w:pPr>
              <w:spacing w:after="0"/>
              <w:rPr>
                <w:sz w:val="10"/>
                <w:szCs w:val="10"/>
                <w:color w:val="auto"/>
              </w:rPr>
            </w:pPr>
          </w:p>
        </w:tc>
        <w:tc>
          <w:tcPr>
            <w:tcW w:w="42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1</w:t>
            </w:r>
          </w:p>
        </w:tc>
        <w:tc>
          <w:tcPr>
            <w:tcW w:w="400" w:type="dxa"/>
            <w:vAlign w:val="bottom"/>
          </w:tcPr>
          <w:p>
            <w:pPr>
              <w:spacing w:after="0"/>
              <w:rPr>
                <w:sz w:val="10"/>
                <w:szCs w:val="10"/>
                <w:color w:val="auto"/>
              </w:rPr>
            </w:pPr>
          </w:p>
        </w:tc>
        <w:tc>
          <w:tcPr>
            <w:tcW w:w="1120" w:type="dxa"/>
            <w:vAlign w:val="bottom"/>
          </w:tcPr>
          <w:p>
            <w:pPr>
              <w:ind w:left="70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020" w:type="dxa"/>
            <w:vAlign w:val="bottom"/>
          </w:tcPr>
          <w:p>
            <w:pPr>
              <w:ind w:left="740"/>
              <w:spacing w:after="0" w:line="124" w:lineRule="exact"/>
              <w:rPr>
                <w:sz w:val="20"/>
                <w:szCs w:val="20"/>
                <w:color w:val="auto"/>
              </w:rPr>
            </w:pPr>
            <w:r>
              <w:rPr>
                <w:rFonts w:ascii="Arial" w:cs="Arial" w:eastAsia="Arial" w:hAnsi="Arial"/>
                <w:sz w:val="11"/>
                <w:szCs w:val="11"/>
                <w:color w:val="auto"/>
              </w:rPr>
              <w:t>―</w:t>
            </w:r>
          </w:p>
        </w:tc>
        <w:tc>
          <w:tcPr>
            <w:tcW w:w="440" w:type="dxa"/>
            <w:vAlign w:val="bottom"/>
          </w:tcPr>
          <w:p>
            <w:pPr>
              <w:spacing w:after="0"/>
              <w:rPr>
                <w:sz w:val="10"/>
                <w:szCs w:val="10"/>
                <w:color w:val="auto"/>
              </w:rPr>
            </w:pPr>
          </w:p>
        </w:tc>
        <w:tc>
          <w:tcPr>
            <w:tcW w:w="820" w:type="dxa"/>
            <w:vAlign w:val="bottom"/>
          </w:tcPr>
          <w:p>
            <w:pPr>
              <w:jc w:val="right"/>
              <w:spacing w:after="0" w:line="124" w:lineRule="exact"/>
              <w:rPr>
                <w:sz w:val="20"/>
                <w:szCs w:val="20"/>
                <w:color w:val="auto"/>
              </w:rPr>
            </w:pPr>
            <w:r>
              <w:rPr>
                <w:rFonts w:ascii="Arial" w:cs="Arial" w:eastAsia="Arial" w:hAnsi="Arial"/>
                <w:sz w:val="11"/>
                <w:szCs w:val="11"/>
                <w:color w:val="auto"/>
              </w:rPr>
              <w:t>2</w:t>
            </w:r>
          </w:p>
        </w:tc>
      </w:tr>
      <w:tr>
        <w:trPr>
          <w:trHeight w:val="121"/>
        </w:trPr>
        <w:tc>
          <w:tcPr>
            <w:tcW w:w="4560" w:type="dxa"/>
            <w:vAlign w:val="bottom"/>
          </w:tcPr>
          <w:p>
            <w:pPr>
              <w:ind w:left="120"/>
              <w:spacing w:after="0" w:line="101" w:lineRule="exact"/>
              <w:rPr>
                <w:sz w:val="20"/>
                <w:szCs w:val="20"/>
                <w:color w:val="auto"/>
              </w:rPr>
            </w:pPr>
            <w:r>
              <w:rPr>
                <w:rFonts w:ascii="Arial" w:cs="Arial" w:eastAsia="Arial" w:hAnsi="Arial"/>
                <w:sz w:val="11"/>
                <w:szCs w:val="11"/>
                <w:color w:val="auto"/>
              </w:rPr>
              <w:t>Commodity contracts not subject to rate recovery</w:t>
            </w:r>
          </w:p>
        </w:tc>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105"/>
              <w:spacing w:after="0" w:line="101" w:lineRule="exact"/>
              <w:rPr>
                <w:sz w:val="20"/>
                <w:szCs w:val="20"/>
                <w:color w:val="auto"/>
              </w:rPr>
            </w:pPr>
            <w:r>
              <w:rPr>
                <w:rFonts w:ascii="Arial" w:cs="Arial" w:eastAsia="Arial" w:hAnsi="Arial"/>
                <w:sz w:val="11"/>
                <w:szCs w:val="11"/>
                <w:color w:val="auto"/>
              </w:rPr>
              <w:t>3</w:t>
            </w:r>
          </w:p>
        </w:tc>
        <w:tc>
          <w:tcPr>
            <w:tcW w:w="9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25"/>
              <w:spacing w:after="0" w:line="101" w:lineRule="exact"/>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ind w:left="700"/>
              <w:spacing w:after="0" w:line="101" w:lineRule="exact"/>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ind w:left="740"/>
              <w:spacing w:after="0" w:line="101" w:lineRule="exact"/>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color w:val="auto"/>
              </w:rPr>
              <w:t>3</w:t>
            </w:r>
          </w:p>
        </w:tc>
      </w:tr>
      <w:tr>
        <w:trPr>
          <w:trHeight w:val="125"/>
        </w:trPr>
        <w:tc>
          <w:tcPr>
            <w:tcW w:w="4560" w:type="dxa"/>
            <w:vAlign w:val="bottom"/>
            <w:tcBorders>
              <w:bottom w:val="single" w:sz="8" w:color="auto"/>
            </w:tcBorders>
          </w:tcPr>
          <w:p>
            <w:pPr>
              <w:spacing w:after="0" w:line="124" w:lineRule="exact"/>
              <w:rPr>
                <w:sz w:val="20"/>
                <w:szCs w:val="20"/>
                <w:color w:val="auto"/>
              </w:rPr>
            </w:pPr>
            <w:r>
              <w:rPr>
                <w:rFonts w:ascii="Arial" w:cs="Arial" w:eastAsia="Arial" w:hAnsi="Arial"/>
                <w:sz w:val="11"/>
                <w:szCs w:val="11"/>
                <w:color w:val="auto"/>
              </w:rPr>
              <w:t>Total</w:t>
            </w:r>
          </w:p>
        </w:tc>
        <w:tc>
          <w:tcPr>
            <w:tcW w:w="1140" w:type="dxa"/>
            <w:vAlign w:val="bottom"/>
            <w:tcBorders>
              <w:bottom w:val="single" w:sz="8" w:color="auto"/>
            </w:tcBorders>
          </w:tcPr>
          <w:p>
            <w:pPr>
              <w:jc w:val="right"/>
              <w:ind w:right="725"/>
              <w:spacing w:after="0" w:line="124" w:lineRule="exact"/>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tcPr>
          <w:p>
            <w:pPr>
              <w:jc w:val="right"/>
              <w:ind w:right="105"/>
              <w:spacing w:after="0" w:line="124" w:lineRule="exact"/>
              <w:rPr>
                <w:sz w:val="20"/>
                <w:szCs w:val="20"/>
                <w:color w:val="auto"/>
              </w:rPr>
            </w:pPr>
            <w:r>
              <w:rPr>
                <w:rFonts w:ascii="Arial" w:cs="Arial" w:eastAsia="Arial" w:hAnsi="Arial"/>
                <w:sz w:val="11"/>
                <w:szCs w:val="11"/>
                <w:color w:val="auto"/>
              </w:rPr>
              <w:t>4</w:t>
            </w:r>
          </w:p>
        </w:tc>
        <w:tc>
          <w:tcPr>
            <w:tcW w:w="960" w:type="dxa"/>
            <w:vAlign w:val="bottom"/>
            <w:tcBorders>
              <w:bottom w:val="single" w:sz="8" w:color="auto"/>
            </w:tcBorders>
          </w:tcPr>
          <w:p>
            <w:pPr>
              <w:jc w:val="right"/>
              <w:ind w:right="665"/>
              <w:spacing w:after="0" w:line="124" w:lineRule="exact"/>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jc w:val="right"/>
              <w:ind w:right="125"/>
              <w:spacing w:after="0" w:line="124" w:lineRule="exact"/>
              <w:rPr>
                <w:sz w:val="20"/>
                <w:szCs w:val="20"/>
                <w:color w:val="auto"/>
              </w:rPr>
            </w:pPr>
            <w:r>
              <w:rPr>
                <w:rFonts w:ascii="Arial" w:cs="Arial" w:eastAsia="Arial" w:hAnsi="Arial"/>
                <w:sz w:val="11"/>
                <w:szCs w:val="11"/>
                <w:color w:val="auto"/>
              </w:rPr>
              <w:t>4</w:t>
            </w:r>
          </w:p>
        </w:tc>
        <w:tc>
          <w:tcPr>
            <w:tcW w:w="400" w:type="dxa"/>
            <w:vAlign w:val="bottom"/>
            <w:tcBorders>
              <w:bottom w:val="single" w:sz="8" w:color="auto"/>
            </w:tcBorders>
          </w:tcPr>
          <w:p>
            <w:pPr>
              <w:jc w:val="right"/>
              <w:ind w:right="105"/>
              <w:spacing w:after="0" w:line="124" w:lineRule="exact"/>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ind w:left="700"/>
              <w:spacing w:after="0" w:line="124" w:lineRule="exact"/>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jc w:val="right"/>
              <w:ind w:right="85"/>
              <w:spacing w:after="0" w:line="124" w:lineRule="exact"/>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ind w:left="740"/>
              <w:spacing w:after="0" w:line="124" w:lineRule="exact"/>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jc w:val="right"/>
              <w:ind w:right="145"/>
              <w:spacing w:after="0" w:line="124" w:lineRule="exact"/>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8</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There were no transfers into or out of Level 1 or Level 2 for Sempra Energy Consolidated, SDG&amp;E or SoCalGas during the periods presented.</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Level 3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sets forth reconciliations of changes in the fair value of net trading and other derivatives classified as Level 3 in the fair value hierarchy for Sempra Energy Consolidated and SDG&amp;E:</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1"/>
                <w:szCs w:val="11"/>
                <w:color w:val="auto"/>
              </w:rPr>
              <w:t>Three months ended March 31,</w:t>
            </w:r>
          </w:p>
        </w:tc>
        <w:tc>
          <w:tcPr>
            <w:tcW w:w="1300" w:type="dxa"/>
            <w:vAlign w:val="bottom"/>
            <w:tcBorders>
              <w:bottom w:val="single" w:sz="8" w:color="auto"/>
            </w:tcBorders>
          </w:tcPr>
          <w:p>
            <w:pPr>
              <w:spacing w:after="0"/>
              <w:rPr>
                <w:sz w:val="11"/>
                <w:szCs w:val="11"/>
                <w:color w:val="auto"/>
              </w:rPr>
            </w:pPr>
          </w:p>
        </w:tc>
      </w:tr>
      <w:tr>
        <w:trPr>
          <w:trHeight w:val="125"/>
        </w:trPr>
        <w:tc>
          <w:tcPr>
            <w:tcW w:w="7120" w:type="dxa"/>
            <w:vAlign w:val="bottom"/>
            <w:gridSpan w:val="2"/>
          </w:tcPr>
          <w:p>
            <w:pPr>
              <w:spacing w:after="0" w:line="124" w:lineRule="exact"/>
              <w:rPr>
                <w:sz w:val="20"/>
                <w:szCs w:val="20"/>
                <w:color w:val="auto"/>
              </w:rPr>
            </w:pPr>
            <w:r>
              <w:rPr>
                <w:rFonts w:ascii="Arial" w:cs="Arial" w:eastAsia="Arial" w:hAnsi="Arial"/>
                <w:sz w:val="11"/>
                <w:szCs w:val="11"/>
                <w:i w:val="1"/>
                <w:iCs w:val="1"/>
                <w:color w:val="auto"/>
              </w:rPr>
              <w:t>(Dollars in millions)</w:t>
            </w:r>
          </w:p>
        </w:tc>
        <w:tc>
          <w:tcPr>
            <w:tcW w:w="780" w:type="dxa"/>
            <w:vAlign w:val="bottom"/>
          </w:tcPr>
          <w:p>
            <w:pPr>
              <w:spacing w:after="0"/>
              <w:rPr>
                <w:sz w:val="10"/>
                <w:szCs w:val="10"/>
                <w:color w:val="auto"/>
              </w:rPr>
            </w:pPr>
          </w:p>
        </w:tc>
        <w:tc>
          <w:tcPr>
            <w:tcW w:w="1640" w:type="dxa"/>
            <w:vAlign w:val="bottom"/>
          </w:tcPr>
          <w:p>
            <w:pPr>
              <w:jc w:val="right"/>
              <w:ind w:right="1160"/>
              <w:spacing w:after="0" w:line="124" w:lineRule="exact"/>
              <w:rPr>
                <w:sz w:val="20"/>
                <w:szCs w:val="20"/>
                <w:color w:val="auto"/>
              </w:rPr>
            </w:pPr>
            <w:r>
              <w:rPr>
                <w:rFonts w:ascii="Arial" w:cs="Arial" w:eastAsia="Arial" w:hAnsi="Arial"/>
                <w:sz w:val="11"/>
                <w:szCs w:val="11"/>
                <w:color w:val="auto"/>
              </w:rPr>
              <w:t>2011</w:t>
            </w:r>
          </w:p>
        </w:tc>
        <w:tc>
          <w:tcPr>
            <w:tcW w:w="620" w:type="dxa"/>
            <w:vAlign w:val="bottom"/>
          </w:tcPr>
          <w:p>
            <w:pPr>
              <w:spacing w:after="0"/>
              <w:rPr>
                <w:sz w:val="10"/>
                <w:szCs w:val="10"/>
                <w:color w:val="auto"/>
              </w:rPr>
            </w:pPr>
          </w:p>
        </w:tc>
        <w:tc>
          <w:tcPr>
            <w:tcW w:w="1300" w:type="dxa"/>
            <w:vAlign w:val="bottom"/>
          </w:tcPr>
          <w:p>
            <w:pPr>
              <w:jc w:val="right"/>
              <w:ind w:right="919"/>
              <w:spacing w:after="0" w:line="124" w:lineRule="exact"/>
              <w:rPr>
                <w:sz w:val="20"/>
                <w:szCs w:val="20"/>
                <w:color w:val="auto"/>
              </w:rPr>
            </w:pPr>
            <w:r>
              <w:rPr>
                <w:rFonts w:ascii="Arial" w:cs="Arial" w:eastAsia="Arial" w:hAnsi="Arial"/>
                <w:sz w:val="11"/>
                <w:szCs w:val="11"/>
                <w:color w:val="auto"/>
              </w:rPr>
              <w:t>2010</w:t>
            </w:r>
          </w:p>
        </w:tc>
      </w:tr>
      <w:tr>
        <w:trPr>
          <w:trHeight w:val="125"/>
        </w:trPr>
        <w:tc>
          <w:tcPr>
            <w:tcW w:w="20" w:type="dxa"/>
            <w:vAlign w:val="bottom"/>
          </w:tcPr>
          <w:p>
            <w:pPr>
              <w:spacing w:after="0"/>
              <w:rPr>
                <w:sz w:val="10"/>
                <w:szCs w:val="10"/>
                <w:color w:val="auto"/>
              </w:rPr>
            </w:pPr>
          </w:p>
        </w:tc>
        <w:tc>
          <w:tcPr>
            <w:tcW w:w="7100" w:type="dxa"/>
            <w:vAlign w:val="bottom"/>
            <w:tcBorders>
              <w:top w:val="single" w:sz="8" w:color="auto"/>
            </w:tcBorders>
          </w:tcPr>
          <w:p>
            <w:pPr>
              <w:spacing w:after="0" w:line="126" w:lineRule="exact"/>
              <w:rPr>
                <w:sz w:val="20"/>
                <w:szCs w:val="20"/>
                <w:color w:val="auto"/>
              </w:rPr>
            </w:pPr>
            <w:r>
              <w:rPr>
                <w:rFonts w:ascii="Arial" w:cs="Arial" w:eastAsia="Arial" w:hAnsi="Arial"/>
                <w:sz w:val="12"/>
                <w:szCs w:val="12"/>
                <w:color w:val="auto"/>
              </w:rPr>
              <w:t>Balance as of January 1</w:t>
            </w:r>
          </w:p>
        </w:tc>
        <w:tc>
          <w:tcPr>
            <w:tcW w:w="780" w:type="dxa"/>
            <w:vAlign w:val="bottom"/>
            <w:tcBorders>
              <w:top w:val="single" w:sz="8" w:color="auto"/>
            </w:tcBorders>
          </w:tcPr>
          <w:p>
            <w:pPr>
              <w:jc w:val="right"/>
              <w:ind w:right="118"/>
              <w:spacing w:after="0" w:line="126" w:lineRule="exact"/>
              <w:rPr>
                <w:sz w:val="20"/>
                <w:szCs w:val="20"/>
                <w:color w:val="auto"/>
              </w:rPr>
            </w:pPr>
            <w:r>
              <w:rPr>
                <w:rFonts w:ascii="Arial" w:cs="Arial" w:eastAsia="Arial" w:hAnsi="Arial"/>
                <w:sz w:val="12"/>
                <w:szCs w:val="12"/>
                <w:color w:val="auto"/>
              </w:rPr>
              <w:t>$</w:t>
            </w:r>
          </w:p>
        </w:tc>
        <w:tc>
          <w:tcPr>
            <w:tcW w:w="1640" w:type="dxa"/>
            <w:vAlign w:val="bottom"/>
            <w:tcBorders>
              <w:top w:val="single" w:sz="8" w:color="auto"/>
            </w:tcBorders>
          </w:tcPr>
          <w:p>
            <w:pPr>
              <w:jc w:val="right"/>
              <w:ind w:right="220"/>
              <w:spacing w:after="0" w:line="126" w:lineRule="exact"/>
              <w:rPr>
                <w:sz w:val="20"/>
                <w:szCs w:val="20"/>
                <w:color w:val="auto"/>
              </w:rPr>
            </w:pPr>
            <w:r>
              <w:rPr>
                <w:rFonts w:ascii="Arial" w:cs="Arial" w:eastAsia="Arial" w:hAnsi="Arial"/>
                <w:sz w:val="12"/>
                <w:szCs w:val="12"/>
                <w:color w:val="auto"/>
              </w:rPr>
              <w:t>2</w:t>
            </w:r>
          </w:p>
        </w:tc>
        <w:tc>
          <w:tcPr>
            <w:tcW w:w="620" w:type="dxa"/>
            <w:vAlign w:val="bottom"/>
            <w:tcBorders>
              <w:top w:val="single" w:sz="8" w:color="auto"/>
            </w:tcBorders>
          </w:tcPr>
          <w:p>
            <w:pPr>
              <w:jc w:val="right"/>
              <w:ind w:right="218"/>
              <w:spacing w:after="0" w:line="126" w:lineRule="exact"/>
              <w:rPr>
                <w:sz w:val="20"/>
                <w:szCs w:val="20"/>
                <w:color w:val="auto"/>
              </w:rPr>
            </w:pPr>
            <w:r>
              <w:rPr>
                <w:rFonts w:ascii="Arial" w:cs="Arial" w:eastAsia="Arial" w:hAnsi="Arial"/>
                <w:sz w:val="12"/>
                <w:szCs w:val="12"/>
                <w:color w:val="auto"/>
              </w:rPr>
              <w:t>$</w:t>
            </w:r>
          </w:p>
        </w:tc>
        <w:tc>
          <w:tcPr>
            <w:tcW w:w="130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color w:val="auto"/>
              </w:rPr>
              <w:t>10</w:t>
            </w:r>
          </w:p>
        </w:tc>
      </w:tr>
      <w:tr>
        <w:trPr>
          <w:trHeight w:val="134"/>
        </w:trPr>
        <w:tc>
          <w:tcPr>
            <w:tcW w:w="20" w:type="dxa"/>
            <w:vAlign w:val="bottom"/>
          </w:tcPr>
          <w:p>
            <w:pPr>
              <w:spacing w:after="0"/>
              <w:rPr>
                <w:sz w:val="11"/>
                <w:szCs w:val="11"/>
                <w:color w:val="auto"/>
              </w:rPr>
            </w:pPr>
          </w:p>
        </w:tc>
        <w:tc>
          <w:tcPr>
            <w:tcW w:w="7100" w:type="dxa"/>
            <w:vAlign w:val="bottom"/>
          </w:tcPr>
          <w:p>
            <w:pPr>
              <w:ind w:left="120"/>
              <w:spacing w:after="0" w:line="134" w:lineRule="exact"/>
              <w:rPr>
                <w:sz w:val="20"/>
                <w:szCs w:val="20"/>
                <w:color w:val="auto"/>
              </w:rPr>
            </w:pPr>
            <w:r>
              <w:rPr>
                <w:rFonts w:ascii="Arial" w:cs="Arial" w:eastAsia="Arial" w:hAnsi="Arial"/>
                <w:sz w:val="12"/>
                <w:szCs w:val="12"/>
                <w:color w:val="auto"/>
              </w:rPr>
              <w:t>Realized and unrealized gains (losses)</w:t>
            </w:r>
          </w:p>
        </w:tc>
        <w:tc>
          <w:tcPr>
            <w:tcW w:w="780" w:type="dxa"/>
            <w:vAlign w:val="bottom"/>
          </w:tcPr>
          <w:p>
            <w:pPr>
              <w:spacing w:after="0"/>
              <w:rPr>
                <w:sz w:val="11"/>
                <w:szCs w:val="11"/>
                <w:color w:val="auto"/>
              </w:rPr>
            </w:pPr>
          </w:p>
        </w:tc>
        <w:tc>
          <w:tcPr>
            <w:tcW w:w="1640" w:type="dxa"/>
            <w:vAlign w:val="bottom"/>
          </w:tcPr>
          <w:p>
            <w:pPr>
              <w:jc w:val="right"/>
              <w:ind w:right="220"/>
              <w:spacing w:after="0" w:line="134" w:lineRule="exact"/>
              <w:rPr>
                <w:sz w:val="20"/>
                <w:szCs w:val="20"/>
                <w:color w:val="auto"/>
              </w:rPr>
            </w:pPr>
            <w:r>
              <w:rPr>
                <w:rFonts w:ascii="Arial" w:cs="Arial" w:eastAsia="Arial" w:hAnsi="Arial"/>
                <w:sz w:val="12"/>
                <w:szCs w:val="12"/>
                <w:color w:val="auto"/>
              </w:rPr>
              <w:t>6</w:t>
            </w:r>
          </w:p>
        </w:tc>
        <w:tc>
          <w:tcPr>
            <w:tcW w:w="620" w:type="dxa"/>
            <w:vAlign w:val="bottom"/>
          </w:tcPr>
          <w:p>
            <w:pPr>
              <w:spacing w:after="0"/>
              <w:rPr>
                <w:sz w:val="11"/>
                <w:szCs w:val="11"/>
                <w:color w:val="auto"/>
              </w:rPr>
            </w:pPr>
          </w:p>
        </w:tc>
        <w:tc>
          <w:tcPr>
            <w:tcW w:w="130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r>
      <w:tr>
        <w:trPr>
          <w:trHeight w:val="134"/>
        </w:trPr>
        <w:tc>
          <w:tcPr>
            <w:tcW w:w="20" w:type="dxa"/>
            <w:vAlign w:val="bottom"/>
          </w:tcPr>
          <w:p>
            <w:pPr>
              <w:spacing w:after="0"/>
              <w:rPr>
                <w:sz w:val="11"/>
                <w:szCs w:val="11"/>
                <w:color w:val="auto"/>
              </w:rPr>
            </w:pPr>
          </w:p>
        </w:tc>
        <w:tc>
          <w:tcPr>
            <w:tcW w:w="7100" w:type="dxa"/>
            <w:vAlign w:val="bottom"/>
          </w:tcPr>
          <w:p>
            <w:pPr>
              <w:ind w:left="120"/>
              <w:spacing w:after="0" w:line="134" w:lineRule="exact"/>
              <w:rPr>
                <w:sz w:val="20"/>
                <w:szCs w:val="20"/>
                <w:color w:val="auto"/>
              </w:rPr>
            </w:pPr>
            <w:r>
              <w:rPr>
                <w:rFonts w:ascii="Arial" w:cs="Arial" w:eastAsia="Arial" w:hAnsi="Arial"/>
                <w:sz w:val="12"/>
                <w:szCs w:val="12"/>
                <w:color w:val="auto"/>
              </w:rPr>
              <w:t>Allocated transmission instruments</w:t>
            </w:r>
          </w:p>
        </w:tc>
        <w:tc>
          <w:tcPr>
            <w:tcW w:w="780" w:type="dxa"/>
            <w:vAlign w:val="bottom"/>
          </w:tcPr>
          <w:p>
            <w:pPr>
              <w:spacing w:after="0"/>
              <w:rPr>
                <w:sz w:val="11"/>
                <w:szCs w:val="11"/>
                <w:color w:val="auto"/>
              </w:rPr>
            </w:pPr>
          </w:p>
        </w:tc>
        <w:tc>
          <w:tcPr>
            <w:tcW w:w="1640" w:type="dxa"/>
            <w:vAlign w:val="bottom"/>
          </w:tcPr>
          <w:p>
            <w:pPr>
              <w:jc w:val="right"/>
              <w:ind w:right="220"/>
              <w:spacing w:after="0" w:line="134" w:lineRule="exact"/>
              <w:rPr>
                <w:sz w:val="20"/>
                <w:szCs w:val="20"/>
                <w:color w:val="auto"/>
              </w:rPr>
            </w:pPr>
            <w:r>
              <w:rPr>
                <w:rFonts w:ascii="Arial" w:cs="Arial" w:eastAsia="Arial" w:hAnsi="Arial"/>
                <w:sz w:val="12"/>
                <w:szCs w:val="12"/>
                <w:color w:val="auto"/>
              </w:rPr>
              <w:t>1</w:t>
            </w:r>
          </w:p>
        </w:tc>
        <w:tc>
          <w:tcPr>
            <w:tcW w:w="620" w:type="dxa"/>
            <w:vAlign w:val="bottom"/>
          </w:tcPr>
          <w:p>
            <w:pPr>
              <w:spacing w:after="0"/>
              <w:rPr>
                <w:sz w:val="11"/>
                <w:szCs w:val="11"/>
                <w:color w:val="auto"/>
              </w:rPr>
            </w:pPr>
          </w:p>
        </w:tc>
        <w:tc>
          <w:tcPr>
            <w:tcW w:w="130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7100" w:type="dxa"/>
            <w:vAlign w:val="bottom"/>
          </w:tcPr>
          <w:p>
            <w:pPr>
              <w:ind w:left="120"/>
              <w:spacing w:after="0"/>
              <w:rPr>
                <w:sz w:val="20"/>
                <w:szCs w:val="20"/>
                <w:color w:val="auto"/>
              </w:rPr>
            </w:pPr>
            <w:r>
              <w:rPr>
                <w:rFonts w:ascii="Arial" w:cs="Arial" w:eastAsia="Arial" w:hAnsi="Arial"/>
                <w:sz w:val="12"/>
                <w:szCs w:val="12"/>
                <w:color w:val="auto"/>
              </w:rPr>
              <w:t>Settlements</w:t>
            </w:r>
          </w:p>
        </w:tc>
        <w:tc>
          <w:tcPr>
            <w:tcW w:w="7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(6)</w:t>
            </w:r>
          </w:p>
        </w:tc>
        <w:tc>
          <w:tcPr>
            <w:tcW w:w="6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r>
      <w:tr>
        <w:trPr>
          <w:trHeight w:val="135"/>
        </w:trPr>
        <w:tc>
          <w:tcPr>
            <w:tcW w:w="7120" w:type="dxa"/>
            <w:vAlign w:val="bottom"/>
            <w:gridSpan w:val="2"/>
          </w:tcPr>
          <w:p>
            <w:pPr>
              <w:spacing w:after="0" w:line="134" w:lineRule="exact"/>
              <w:rPr>
                <w:sz w:val="20"/>
                <w:szCs w:val="20"/>
                <w:color w:val="auto"/>
              </w:rPr>
            </w:pPr>
            <w:r>
              <w:rPr>
                <w:rFonts w:ascii="Arial" w:cs="Arial" w:eastAsia="Arial" w:hAnsi="Arial"/>
                <w:sz w:val="12"/>
                <w:szCs w:val="12"/>
                <w:color w:val="auto"/>
              </w:rPr>
              <w:t>Balance as of March 31</w:t>
            </w:r>
          </w:p>
        </w:tc>
        <w:tc>
          <w:tcPr>
            <w:tcW w:w="780" w:type="dxa"/>
            <w:vAlign w:val="bottom"/>
            <w:tcBorders>
              <w:bottom w:val="single" w:sz="8" w:color="auto"/>
            </w:tcBorders>
          </w:tcPr>
          <w:p>
            <w:pPr>
              <w:jc w:val="right"/>
              <w:ind w:right="118"/>
              <w:spacing w:after="0" w:line="134" w:lineRule="exact"/>
              <w:rPr>
                <w:sz w:val="20"/>
                <w:szCs w:val="20"/>
                <w:color w:val="auto"/>
              </w:rPr>
            </w:pPr>
            <w:r>
              <w:rPr>
                <w:rFonts w:ascii="Arial" w:cs="Arial" w:eastAsia="Arial" w:hAnsi="Arial"/>
                <w:sz w:val="12"/>
                <w:szCs w:val="12"/>
                <w:color w:val="auto"/>
              </w:rPr>
              <w:t>$</w:t>
            </w:r>
          </w:p>
        </w:tc>
        <w:tc>
          <w:tcPr>
            <w:tcW w:w="1640" w:type="dxa"/>
            <w:vAlign w:val="bottom"/>
            <w:tcBorders>
              <w:bottom w:val="single" w:sz="8" w:color="auto"/>
            </w:tcBorders>
          </w:tcPr>
          <w:p>
            <w:pPr>
              <w:jc w:val="right"/>
              <w:ind w:right="220"/>
              <w:spacing w:after="0" w:line="134" w:lineRule="exact"/>
              <w:rPr>
                <w:sz w:val="20"/>
                <w:szCs w:val="20"/>
                <w:color w:val="auto"/>
              </w:rPr>
            </w:pPr>
            <w:r>
              <w:rPr>
                <w:rFonts w:ascii="Arial" w:cs="Arial" w:eastAsia="Arial" w:hAnsi="Arial"/>
                <w:sz w:val="12"/>
                <w:szCs w:val="12"/>
                <w:color w:val="auto"/>
              </w:rPr>
              <w:t>3</w:t>
            </w:r>
          </w:p>
        </w:tc>
        <w:tc>
          <w:tcPr>
            <w:tcW w:w="620" w:type="dxa"/>
            <w:vAlign w:val="bottom"/>
            <w:tcBorders>
              <w:bottom w:val="single" w:sz="8" w:color="auto"/>
            </w:tcBorders>
          </w:tcPr>
          <w:p>
            <w:pPr>
              <w:jc w:val="right"/>
              <w:ind w:right="218"/>
              <w:spacing w:after="0" w:line="134" w:lineRule="exact"/>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9</w:t>
            </w:r>
          </w:p>
        </w:tc>
      </w:tr>
      <w:tr>
        <w:trPr>
          <w:trHeight w:val="125"/>
        </w:trPr>
        <w:tc>
          <w:tcPr>
            <w:tcW w:w="7120" w:type="dxa"/>
            <w:vAlign w:val="bottom"/>
            <w:gridSpan w:val="2"/>
          </w:tcPr>
          <w:p>
            <w:pPr>
              <w:spacing w:after="0" w:line="126" w:lineRule="exact"/>
              <w:rPr>
                <w:sz w:val="20"/>
                <w:szCs w:val="20"/>
                <w:color w:val="auto"/>
              </w:rPr>
            </w:pPr>
            <w:r>
              <w:rPr>
                <w:rFonts w:ascii="Arial" w:cs="Arial" w:eastAsia="Arial" w:hAnsi="Arial"/>
                <w:sz w:val="12"/>
                <w:szCs w:val="12"/>
                <w:color w:val="auto"/>
              </w:rPr>
              <w:t>Change in unrealized gains relating to</w:t>
            </w:r>
          </w:p>
        </w:tc>
        <w:tc>
          <w:tcPr>
            <w:tcW w:w="7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44"/>
        </w:trPr>
        <w:tc>
          <w:tcPr>
            <w:tcW w:w="20" w:type="dxa"/>
            <w:vAlign w:val="bottom"/>
          </w:tcPr>
          <w:p>
            <w:pPr>
              <w:spacing w:after="0"/>
              <w:rPr>
                <w:sz w:val="12"/>
                <w:szCs w:val="12"/>
                <w:color w:val="auto"/>
              </w:rPr>
            </w:pPr>
          </w:p>
        </w:tc>
        <w:tc>
          <w:tcPr>
            <w:tcW w:w="71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instruments still held at March 31</w:t>
            </w:r>
          </w:p>
        </w:tc>
        <w:tc>
          <w:tcPr>
            <w:tcW w:w="7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164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There were no transfers into or out of Level 3 during the periods presented.</w:t>
      </w:r>
    </w:p>
    <w:p>
      <w:pPr>
        <w:spacing w:after="0" w:line="170" w:lineRule="exact"/>
        <w:rPr>
          <w:sz w:val="20"/>
          <w:szCs w:val="20"/>
          <w:color w:val="auto"/>
        </w:rPr>
      </w:pPr>
    </w:p>
    <w:p>
      <w:pPr>
        <w:ind w:right="60"/>
        <w:spacing w:after="0" w:line="285" w:lineRule="auto"/>
        <w:rPr>
          <w:sz w:val="20"/>
          <w:szCs w:val="20"/>
          <w:color w:val="auto"/>
        </w:rPr>
      </w:pPr>
      <w:r>
        <w:rPr>
          <w:rFonts w:ascii="Arial" w:cs="Arial" w:eastAsia="Arial" w:hAnsi="Arial"/>
          <w:sz w:val="13"/>
          <w:szCs w:val="13"/>
          <w:color w:val="auto"/>
        </w:rPr>
        <w:t>Level 3 recurring items are related to CRRs. These instruments are recorded at fair value based on the most current annual auction prices published by the California Independent System Operator (ISO). The earnings impact of CRRs are deferred and recorded in regulatory accounts to the extent they are recoverable or refundable through rates. Upon settlement, CRRs are included in Cost of Electric Fuel and Purchased Power on the Condensed Consolidated Statements of Operations for the three months ended March 31, 2011 and 2010.</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Non-Recurring Fair Value Measures – Sempra Energy Consolidated</w:t>
      </w:r>
    </w:p>
    <w:p>
      <w:pPr>
        <w:spacing w:after="0" w:line="160" w:lineRule="exact"/>
        <w:rPr>
          <w:sz w:val="20"/>
          <w:szCs w:val="20"/>
          <w:color w:val="auto"/>
        </w:rPr>
      </w:pPr>
    </w:p>
    <w:p>
      <w:pPr>
        <w:ind w:right="600"/>
        <w:spacing w:after="0" w:line="267" w:lineRule="auto"/>
        <w:rPr>
          <w:sz w:val="20"/>
          <w:szCs w:val="20"/>
          <w:color w:val="auto"/>
        </w:rPr>
      </w:pPr>
      <w:r>
        <w:rPr>
          <w:rFonts w:ascii="Arial" w:cs="Arial" w:eastAsia="Arial" w:hAnsi="Arial"/>
          <w:sz w:val="14"/>
          <w:szCs w:val="14"/>
          <w:color w:val="auto"/>
        </w:rPr>
        <w:t>We discuss non-recurring fair value measures and the associated accounting impact on our investments in RBS Sempra Commodities and Argentina in Note 4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252095</wp:posOffset>
            </wp:positionV>
            <wp:extent cx="7291705"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1705" cy="635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NOTE 9. SEMPRA UTILITIES' REGULATORY MATTERS</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POWER PROCUREMENT AND RESOURCE PLANNING</w:t>
      </w: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Renewable Energy</w:t>
      </w:r>
    </w:p>
    <w:p>
      <w:pPr>
        <w:spacing w:after="0" w:line="160" w:lineRule="exact"/>
        <w:rPr>
          <w:sz w:val="20"/>
          <w:szCs w:val="20"/>
          <w:color w:val="auto"/>
        </w:rPr>
      </w:pPr>
    </w:p>
    <w:p>
      <w:pPr>
        <w:ind w:right="160"/>
        <w:spacing w:after="0" w:line="336" w:lineRule="auto"/>
        <w:rPr>
          <w:sz w:val="20"/>
          <w:szCs w:val="20"/>
          <w:color w:val="auto"/>
        </w:rPr>
      </w:pPr>
      <w:r>
        <w:rPr>
          <w:rFonts w:ascii="Arial" w:cs="Arial" w:eastAsia="Arial" w:hAnsi="Arial"/>
          <w:sz w:val="11"/>
          <w:szCs w:val="11"/>
          <w:color w:val="auto"/>
        </w:rPr>
        <w:t>In 2010, certain California electric retail sellers, including SDG&amp;E, were required to deliver 20 percent of their retail energy sales from renewable energy sources. The rules governing this requirement, administered by both the California Public Utilities Commission (CPUC) and the California Energy Commission (CEC), are known as the Renewables Portfolio Standard (RPS) Program. In April 2011, the Governor of California signed Senate Bill X1 2 (2011 RPS Program) which, when in effect, will supersede the RPS Program and require each California utility to procure 33 percent of its annual electric energy requirements from renewable energy sources by 2020, with an average of 20 percent required from January 1, 2011 to December 31, 2013; 25 percent by December 31, 2016; and 33 percent by December 31, 2020. We expect the 2011 RPS Program to become effective in the second quarter of 2011, and certain implementation details will be addressed by the CPUC.</w:t>
      </w:r>
    </w:p>
    <w:p>
      <w:pPr>
        <w:spacing w:after="0" w:line="107" w:lineRule="exact"/>
        <w:rPr>
          <w:sz w:val="20"/>
          <w:szCs w:val="20"/>
          <w:color w:val="auto"/>
        </w:rPr>
      </w:pPr>
    </w:p>
    <w:p>
      <w:pPr>
        <w:jc w:val="both"/>
        <w:ind w:right="320"/>
        <w:spacing w:after="0" w:line="256" w:lineRule="auto"/>
        <w:rPr>
          <w:sz w:val="20"/>
          <w:szCs w:val="20"/>
          <w:color w:val="auto"/>
        </w:rPr>
      </w:pPr>
      <w:r>
        <w:rPr>
          <w:rFonts w:ascii="Arial" w:cs="Arial" w:eastAsia="Arial" w:hAnsi="Arial"/>
          <w:sz w:val="14"/>
          <w:szCs w:val="14"/>
          <w:color w:val="auto"/>
        </w:rPr>
        <w:t>The 2011 RPS Program contains new flexible compliance mechanisms, more restrictive than the prior mechanisms, that can be used to comply with or meet the 2011 RPS Program mandates in 2011 and beyond. The new mechanisms provide for a CPUC waiver under certain conditions, including: 1) a finding of inadequate transmission or 2) delays in the start-up of commercial operations of renewable energy projects due to permitting or interconnection.</w:t>
      </w:r>
    </w:p>
    <w:p>
      <w:pPr>
        <w:spacing w:after="0" w:line="146" w:lineRule="exact"/>
        <w:rPr>
          <w:sz w:val="20"/>
          <w:szCs w:val="20"/>
          <w:color w:val="auto"/>
        </w:rPr>
      </w:pPr>
    </w:p>
    <w:p>
      <w:pPr>
        <w:ind w:right="560"/>
        <w:spacing w:after="0" w:line="267" w:lineRule="auto"/>
        <w:rPr>
          <w:sz w:val="20"/>
          <w:szCs w:val="20"/>
          <w:color w:val="auto"/>
        </w:rPr>
      </w:pPr>
      <w:r>
        <w:rPr>
          <w:rFonts w:ascii="Arial" w:cs="Arial" w:eastAsia="Arial" w:hAnsi="Arial"/>
          <w:sz w:val="14"/>
          <w:szCs w:val="14"/>
          <w:color w:val="auto"/>
        </w:rPr>
        <w:t>SDG&amp;E continues to procure renewable energy supplies to achieve the 2011 RPS Program requirements. A substantial number of these supply contracts, however, are contingent upon many factors, including:</w:t>
      </w:r>
    </w:p>
    <w:p>
      <w:pPr>
        <w:spacing w:after="0" w:line="138" w:lineRule="exact"/>
        <w:rPr>
          <w:sz w:val="20"/>
          <w:szCs w:val="20"/>
          <w:color w:val="auto"/>
        </w:rPr>
      </w:pPr>
    </w:p>
    <w:p>
      <w:pPr>
        <w:ind w:left="260" w:hanging="147"/>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access to electric transmission infrastructure;</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timely regulatory approval of contracted renewable energy projects;</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renewable energy project developers' ability to obtain project financing and permitting; and</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successful development and implementation of the renewable energy technologies.</w:t>
      </w:r>
    </w:p>
    <w:p>
      <w:pPr>
        <w:spacing w:after="0" w:line="190"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color w:val="auto"/>
        </w:rPr>
        <w:t>For 2010, SDG&amp;E satisfied its RPS procurement requirements through a combination of contracted deliveries and application of the flexible compliance mechanism, including the application of certain mechanisms that are no longer available under the 2011 RPS Program. For 2011 and beyond, SDG&amp;E believes it will be able to comply with the 2011 RPS Program requirements based on its contracting activity and, if necessary, application of the new flexible compliance mechanisms. SDG&amp;E's failure to comply with the RPS Program requirements could subject it to a CPUC-imposed penalty of 5 cents per kilowatt hour of renewable energy under-delivery.</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RATE CASE (GRC)</w:t>
      </w:r>
    </w:p>
    <w:p>
      <w:pPr>
        <w:spacing w:after="0" w:line="176"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color w:val="auto"/>
        </w:rPr>
        <w:t>The CPUC uses a general rate case proceeding to prospectively set rates sufficient to allow the Sempra Utilities to recover their reasonable cost of operations and to provide the opportunity to realize their authorized rates of return on their investment. In December 2010, the Sempra Utilities filed their 2012 General Rate Case (GRC) applications to establish their authorized 2012 revenue requirements and the ratemaking mechanisms by which those requirements will change on an annual basis over the subsequent three-year (2013-2015) period. The CPUC issued a ruling in March 2011 setting the proceeding scope and schedule that projected a final CPUC decision around the month of March 2012 and granted the utilities' requests to establish regulatory accounts to allow recovery of their authorized 2012 revenue requirements retroactive to January 1, 2012.</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We provide further detail about the GRC applications in Note 15 of the Notes to Consolidated Financial Statements in the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UTILITY INCENTIVE MECHANISMS</w:t>
      </w:r>
    </w:p>
    <w:p>
      <w:pPr>
        <w:spacing w:after="0" w:line="176"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The CPUC applies performance-based measures and incentive mechanisms to all California utilities, under which the Sempra Utilities have earnings potential above authorized base margins if they achieve or exceed specific performance and operating goals.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We provide additional information regarding these incentive mechanisms in Note 15 of the Notes to Consolidated Financial Statements in the Annual Report, and updates below.</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Natural Gas Procurement</w:t>
      </w:r>
    </w:p>
    <w:p>
      <w:pPr>
        <w:spacing w:after="0" w:line="160"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In June 2010, SoCalGas applied to the CPUC for approval of a Gas Cost Incentive Mechanism (GCIM) award of $6 million for natural gas procured for our core customers during the 12-month period ending March 31, 2010. SoCalGas expects a CPUC decision in the third quarter of 2011.</w:t>
      </w:r>
    </w:p>
    <w:p>
      <w:pPr>
        <w:sectPr>
          <w:pgSz w:w="11900" w:h="16838" w:orient="portrait"/>
          <w:cols w:equalWidth="0" w:num="1">
            <w:col w:w="11460"/>
          </w:cols>
          <w:pgMar w:left="220" w:top="137" w:right="219" w:bottom="0" w:gutter="0" w:footer="0" w:header="0"/>
        </w:sectPr>
      </w:pPr>
    </w:p>
    <w:bookmarkStart w:id="37" w:name="page38"/>
    <w:bookmarkEnd w:id="37"/>
    <w:p>
      <w:pPr>
        <w:spacing w:after="0" w:line="135" w:lineRule="exact"/>
        <w:rPr>
          <w:sz w:val="20"/>
          <w:szCs w:val="20"/>
          <w:color w:val="auto"/>
        </w:rPr>
      </w:pPr>
    </w:p>
    <w:p>
      <w:pPr>
        <w:ind w:right="280"/>
        <w:spacing w:after="0" w:line="267" w:lineRule="auto"/>
        <w:rPr>
          <w:sz w:val="20"/>
          <w:szCs w:val="20"/>
          <w:color w:val="auto"/>
        </w:rPr>
      </w:pPr>
      <w:r>
        <w:rPr>
          <w:rFonts w:ascii="Arial" w:cs="Arial" w:eastAsia="Arial" w:hAnsi="Arial"/>
          <w:sz w:val="14"/>
          <w:szCs w:val="14"/>
          <w:color w:val="auto"/>
        </w:rPr>
        <w:t>In the first quarter of 2010, SoCalGas recorded a GCIM award of $12 million for SoCalGas' procurement activities during the 12-month period ending March 31, 2009, approved by the CPUC in January 2010.</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Energy Efficiency</w:t>
      </w:r>
    </w:p>
    <w:p>
      <w:pPr>
        <w:spacing w:after="0" w:line="160"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The CPUC established incentive mechanisms that are based on the effectiveness of energy efficiency and demand side management programs. The Sempra Utilities plan to file requests with the CPUC in June 2011 for any incentive awards for the 2009 program year with a decision expected in 2012. The CPUC is also considering modifications to the incentive mechanism that would apply to the 2012 – 2014 program period. We expect a decision on these program modifications in 2011.</w:t>
      </w: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SDG&amp;E REQUEST FOR AUTHORITY TO INVEST IN WIND FARM</w:t>
      </w:r>
    </w:p>
    <w:p>
      <w:pPr>
        <w:spacing w:after="0" w:line="176"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In July 2010, SDG&amp;E filed a request with the CPUC seeking authority to make a tax equity investment in the holding company of a wind farm project. In April 2011, SDG&amp;E filed a settlement agreement with the CPUC resolving all issues with the parties in the proceeding. If the CPUC approves the settlement agreement as filed, SDG&amp;E would make an investment, after the wind farm project has met all of the conditions precedent set forth in the definitive documents and upon the initiation of commercial operation of the project, which would be included in the utility’s rate base in an amount not to exceed 64.99 percent of the project costs or an aggregate amount of $250 million. SDG&amp;E would also make an incremental investment, to be excluded from the utility’s rate base, of no less than 10 percent of the project costs. We expect a CPUC decision on the settlement agreement in mid-2011, and the project to be in commercial operation in the second half of 2012.</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INSURANCE COST RECOVERY</w:t>
      </w:r>
    </w:p>
    <w:p>
      <w:pPr>
        <w:spacing w:after="0" w:line="176" w:lineRule="exact"/>
        <w:rPr>
          <w:sz w:val="20"/>
          <w:szCs w:val="20"/>
          <w:color w:val="auto"/>
        </w:rPr>
      </w:pPr>
    </w:p>
    <w:p>
      <w:pPr>
        <w:ind w:right="20"/>
        <w:spacing w:after="0" w:line="270" w:lineRule="auto"/>
        <w:rPr>
          <w:sz w:val="20"/>
          <w:szCs w:val="20"/>
          <w:color w:val="auto"/>
        </w:rPr>
      </w:pPr>
      <w:r>
        <w:rPr>
          <w:rFonts w:ascii="Arial" w:cs="Arial" w:eastAsia="Arial" w:hAnsi="Arial"/>
          <w:sz w:val="13"/>
          <w:szCs w:val="13"/>
          <w:color w:val="auto"/>
        </w:rPr>
        <w:t>SDG&amp;E filed a request with the CPUC in August 2009 seeking authorization to recover higher liability insurance premiums (amounts in excess of those authorized to be recovered in the 2008 GRC), which SDG&amp;E began incurring commencing July 1, 2009, and any losses realized due to higher deductibles associated with the new policies. SDG&amp;E requested a $29 million revenue requirement for the incremental increase in its general liability and wildfire liability insurance premium costs for the 2009/2010 policy period and proposed a mechanism for recovery of future liability insurance costs incurred in the 2010/2011 policy period and the first six months of the 2011/2012 policy period. SDG&amp;E made the filing under the CPUC’s rules allowing utilities to seek recovery of significant cost increases incurred between GRC filings resulting from unforeseen circumstances. The CPUC's rules allow a utility to seek recovery of incurred costs that meet certain criteria, subject to a $5 million deductible per event. In December 2010, the CPUC approved SDG&amp;E’s request for the $29 million revenue requirement, which was implemented in rates effective January 1, 2011, and authorized SDG&amp;E to request recovery of any incremental insurance premiums for future policy periods, with a $5 million deductible applied to each policy renewal period. SDG&amp;E filed a request in April 2011 for an incremental revenue requirement of $63 million for the 2010/2011 policy period. We expect a CPUC decision on the request in the second half of 2011. SDG&amp;E also plans to file a request in the third quarter of 2011 for any incremental insurance premiums incurred for the first six months of the 2011/2012 policy period.</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EXCESS WILDFIRE CLAIMS COST RECOVERY</w:t>
      </w:r>
    </w:p>
    <w:p>
      <w:pPr>
        <w:spacing w:after="0" w:line="176" w:lineRule="exact"/>
        <w:rPr>
          <w:sz w:val="20"/>
          <w:szCs w:val="20"/>
          <w:color w:val="auto"/>
        </w:rPr>
      </w:pPr>
    </w:p>
    <w:p>
      <w:pPr>
        <w:ind w:right="20"/>
        <w:spacing w:after="0" w:line="336" w:lineRule="auto"/>
        <w:rPr>
          <w:sz w:val="20"/>
          <w:szCs w:val="20"/>
          <w:color w:val="auto"/>
        </w:rPr>
      </w:pPr>
      <w:r>
        <w:rPr>
          <w:rFonts w:ascii="Arial" w:cs="Arial" w:eastAsia="Arial" w:hAnsi="Arial"/>
          <w:sz w:val="11"/>
          <w:szCs w:val="11"/>
          <w:color w:val="auto"/>
        </w:rPr>
        <w:t>SDG&amp;E and SoCalGas filed an application, along with other related filings, with the CPUC in August 2009 proposing a new mechanism for the future recovery of all wildfire-related expenses for claims, litigation expenses and insurance premiums that are in excess of amounts authorized by the CPUC for recovery in rates. This application was made jointly with Southern California Edison (SCE) and Pacific Gas &amp; Electric (PG&amp;E). In July 2010, the CPUC approved SDG&amp;E's and SoCalGas' requests for separate regulatory accounts to record the subject expenses while the joint utility application is pending before the CPUC. Several parties protested the original application and, in response, the four utilities jointly submitted an amended application in August 2010. A February 2011 ruling directing the utilities to show cause why the application should not be dismissed was stayed to permit continued settlement discussions between the four utilities and the CPUC and with the other parties to the proceeding.</w:t>
      </w:r>
    </w:p>
    <w:p>
      <w:pPr>
        <w:spacing w:after="0" w:line="107" w:lineRule="exact"/>
        <w:rPr>
          <w:sz w:val="20"/>
          <w:szCs w:val="20"/>
          <w:color w:val="auto"/>
        </w:rPr>
      </w:pPr>
    </w:p>
    <w:p>
      <w:pPr>
        <w:ind w:right="420"/>
        <w:spacing w:after="0" w:line="306" w:lineRule="auto"/>
        <w:rPr>
          <w:sz w:val="20"/>
          <w:szCs w:val="20"/>
          <w:color w:val="auto"/>
        </w:rPr>
      </w:pPr>
      <w:r>
        <w:rPr>
          <w:rFonts w:ascii="Arial" w:cs="Arial" w:eastAsia="Arial" w:hAnsi="Arial"/>
          <w:sz w:val="13"/>
          <w:szCs w:val="13"/>
          <w:color w:val="auto"/>
        </w:rPr>
        <w:t>SDG&amp;E will also seek the recovery of costs incurred by SDG&amp;E for the 2007 wildfire losses that are in excess of amounts recovered from its insurance coverage and other potentially responsible third parties. SDG&amp;E believes that the approval of a new mechanism for cost recovery for future wildfires will provide a framework for discussions on recovery of these costs.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We provide additional information about 2007 wildfire litigation costs and their recovery in Note 10.</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NATURAL GAS PIPELINE OPERATIONS SAFETY ASSESSMENTS</w:t>
      </w:r>
    </w:p>
    <w:p>
      <w:pPr>
        <w:spacing w:after="0" w:line="176" w:lineRule="exact"/>
        <w:rPr>
          <w:sz w:val="20"/>
          <w:szCs w:val="20"/>
          <w:color w:val="auto"/>
        </w:rPr>
      </w:pPr>
    </w:p>
    <w:p>
      <w:pPr>
        <w:ind w:right="500"/>
        <w:spacing w:after="0" w:line="267" w:lineRule="auto"/>
        <w:rPr>
          <w:sz w:val="20"/>
          <w:szCs w:val="20"/>
          <w:color w:val="auto"/>
        </w:rPr>
      </w:pPr>
      <w:r>
        <w:rPr>
          <w:rFonts w:ascii="Arial" w:cs="Arial" w:eastAsia="Arial" w:hAnsi="Arial"/>
          <w:sz w:val="14"/>
          <w:szCs w:val="14"/>
          <w:color w:val="auto"/>
        </w:rPr>
        <w:t>As a result of recent natural gas pipeline explosions in the U.S., including the September 2010 rupture in San Bruno, California of a natural gas pipeline owned and operated by PG&amp;E (the San Bruno incident), various regulatory agencies, including the CPUC, are evaluating natural gas pipeline safety regulations, practices and procedures.</w:t>
      </w:r>
    </w:p>
    <w:p>
      <w:pPr>
        <w:spacing w:after="0" w:line="138" w:lineRule="exact"/>
        <w:rPr>
          <w:sz w:val="20"/>
          <w:szCs w:val="20"/>
          <w:color w:val="auto"/>
        </w:rPr>
      </w:pPr>
    </w:p>
    <w:p>
      <w:pPr>
        <w:ind w:right="80"/>
        <w:spacing w:after="0" w:line="359" w:lineRule="auto"/>
        <w:rPr>
          <w:sz w:val="20"/>
          <w:szCs w:val="20"/>
          <w:color w:val="auto"/>
        </w:rPr>
      </w:pPr>
      <w:r>
        <w:rPr>
          <w:rFonts w:ascii="Arial" w:cs="Arial" w:eastAsia="Arial" w:hAnsi="Arial"/>
          <w:sz w:val="11"/>
          <w:szCs w:val="11"/>
          <w:color w:val="auto"/>
        </w:rPr>
        <w:t>In February 2011, the CPUC opened a forward-looking proceeding to examine what changes should be made to existing pipeline safety regulations for California natural gas pipelines. The Sempra Utilities are parties to this proceeding. The CPUC also appointed an independent review panel to make recommendations for possible actions by the CPUC in light of the San Bruno incident. Those recommendations may include changes to design, construction, operation and maintenance practices of natural gas facilities in California. The report of the independent review panel is expected in the second quarter of 2011.</w:t>
      </w:r>
    </w:p>
    <w:p>
      <w:pPr>
        <w:spacing w:after="0" w:line="94" w:lineRule="exact"/>
        <w:rPr>
          <w:sz w:val="20"/>
          <w:szCs w:val="20"/>
          <w:color w:val="auto"/>
        </w:rPr>
      </w:pPr>
    </w:p>
    <w:p>
      <w:pPr>
        <w:ind w:right="20"/>
        <w:spacing w:after="0" w:line="250" w:lineRule="auto"/>
        <w:rPr>
          <w:sz w:val="20"/>
          <w:szCs w:val="20"/>
          <w:color w:val="auto"/>
        </w:rPr>
      </w:pPr>
      <w:r>
        <w:rPr>
          <w:rFonts w:ascii="Arial" w:cs="Arial" w:eastAsia="Arial" w:hAnsi="Arial"/>
          <w:sz w:val="14"/>
          <w:szCs w:val="14"/>
          <w:color w:val="auto"/>
        </w:rPr>
        <w:t>In January 2011, the National Transportation Safety Board (NTSB) issued seven safety recommendations in connection with its investigation into the cause of the San Bruno incident. According to the NTSB, these safety recommendations “were issued to address record-keeping problems that could create conditions in which a pipeline is operated at a higher pressure than the pipe was built to withstand.” In response to a request from the CPUC, each of the Sempra Utilities reviewed its pipeline facilities located or operating in populated or high consequence areas, as defined by the NTSB, to identify those segments that have not had the maximum allowable operating pressure (MAOP) established through prior hydrostatic testing. Federal and state regulations allow natural gas pipelines installed prior to July 1, 1970 to establish MAOPs through prior operating history rather than through a strength test, but strength tests are required on natural gas pipelines installed subsequent to June 30, 1970 as an element in establishing MAOPs.</w:t>
      </w:r>
    </w:p>
    <w:p>
      <w:pPr>
        <w:spacing w:after="0" w:line="151" w:lineRule="exact"/>
        <w:rPr>
          <w:sz w:val="20"/>
          <w:szCs w:val="20"/>
          <w:color w:val="auto"/>
        </w:rPr>
      </w:pPr>
    </w:p>
    <w:p>
      <w:pPr>
        <w:ind w:right="120"/>
        <w:spacing w:after="0" w:line="306" w:lineRule="auto"/>
        <w:rPr>
          <w:sz w:val="20"/>
          <w:szCs w:val="20"/>
          <w:color w:val="auto"/>
        </w:rPr>
      </w:pPr>
      <w:r>
        <w:rPr>
          <w:rFonts w:ascii="Arial" w:cs="Arial" w:eastAsia="Arial" w:hAnsi="Arial"/>
          <w:sz w:val="13"/>
          <w:szCs w:val="13"/>
          <w:color w:val="auto"/>
        </w:rPr>
        <w:t>In response to the CPUC’s request, the Sempra Utilities conducted a detailed review of 1,622 miles of pipelines (1,416 miles for SoCalGas and 206 miles for SDG&amp;E) installed in the subject class locations, and on April 15, 2011, the Sempra Utilities submitted a report to the CPUC on the results of their review and the actions they are taking in response to the NTSB recommendations.</w:t>
      </w:r>
    </w:p>
    <w:p>
      <w:pPr>
        <w:spacing w:after="0" w:line="115" w:lineRule="exact"/>
        <w:rPr>
          <w:sz w:val="20"/>
          <w:szCs w:val="20"/>
          <w:color w:val="auto"/>
        </w:rPr>
      </w:pPr>
    </w:p>
    <w:p>
      <w:pPr>
        <w:ind w:right="400"/>
        <w:spacing w:after="0" w:line="267" w:lineRule="auto"/>
        <w:rPr>
          <w:sz w:val="20"/>
          <w:szCs w:val="20"/>
          <w:color w:val="auto"/>
        </w:rPr>
      </w:pPr>
      <w:r>
        <w:rPr>
          <w:rFonts w:ascii="Arial" w:cs="Arial" w:eastAsia="Arial" w:hAnsi="Arial"/>
          <w:sz w:val="14"/>
          <w:szCs w:val="14"/>
          <w:color w:val="auto"/>
        </w:rPr>
        <w:t>The Sempra Utilities’ records review process did not reveal any significant concerns with the currently established MAOP for their pipelines, and the Sempra Utilities intend to continue to operate their pipelines in a safe and prudent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252095</wp:posOffset>
            </wp:positionV>
            <wp:extent cx="729170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1705" cy="635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NOTE 10. COMMITMENTS AND CONTINGENCIES</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176"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We accrue losses for legal proceedings when it is probable that a loss has been incurred and the amounts of the loss can be reasonably estimated. However, the uncertainties inherent in legal proceedings make it difficult to estimate with reasonable certainty the costs and effects of resolving these matters. Accordingly, actual costs incurred may differ materially from amounts accrued, may exceed applicable insurance coverages and could materially adversely affect our business, cash flows, results of operations, and financial condition.</w:t>
      </w:r>
    </w:p>
    <w:p>
      <w:pPr>
        <w:spacing w:after="0" w:line="146"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At March 31, 2011, Sempra Energy’s accrued liabilities for material legal proceedings, on a consolidated basis, were $764 million, of which $48 million is for resolved matters. We provide detail regarding the resolved matters in Note 16 of the Notes to Consolidated Financial Statements in the Annual Report. At March 31, 2011, accrued liabilities for material legal proceedings for SDG&amp;E and SoCalGas were $684 million and $25 million, respectively.</w:t>
      </w:r>
    </w:p>
    <w:p>
      <w:pPr>
        <w:spacing w:after="0" w:line="146" w:lineRule="exact"/>
        <w:rPr>
          <w:sz w:val="20"/>
          <w:szCs w:val="20"/>
          <w:color w:val="auto"/>
        </w:rPr>
      </w:pPr>
    </w:p>
    <w:p>
      <w:pPr>
        <w:ind w:right="220"/>
        <w:spacing w:after="0" w:line="267" w:lineRule="auto"/>
        <w:rPr>
          <w:sz w:val="20"/>
          <w:szCs w:val="20"/>
          <w:color w:val="auto"/>
        </w:rPr>
      </w:pPr>
      <w:r>
        <w:rPr>
          <w:rFonts w:ascii="Arial" w:cs="Arial" w:eastAsia="Arial" w:hAnsi="Arial"/>
          <w:sz w:val="14"/>
          <w:szCs w:val="14"/>
          <w:color w:val="auto"/>
        </w:rPr>
        <w:t>At March 31, 2011, liabilities of $683 million at Sempra Energy and SDG&amp;E related to wildfire litigation may be paid using restricted cash of $312 million received in connection with a wildfire litigation settlement discussed below.</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SDG&amp;E</w:t>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2007 Wildfire Litigation</w:t>
      </w:r>
    </w:p>
    <w:p>
      <w:pPr>
        <w:spacing w:after="0" w:line="160" w:lineRule="exact"/>
        <w:rPr>
          <w:sz w:val="20"/>
          <w:szCs w:val="20"/>
          <w:color w:val="auto"/>
        </w:rPr>
      </w:pPr>
    </w:p>
    <w:p>
      <w:pPr>
        <w:ind w:right="200"/>
        <w:spacing w:after="0" w:line="344" w:lineRule="auto"/>
        <w:rPr>
          <w:sz w:val="20"/>
          <w:szCs w:val="20"/>
          <w:color w:val="auto"/>
        </w:rPr>
      </w:pPr>
      <w:r>
        <w:rPr>
          <w:rFonts w:ascii="Arial" w:cs="Arial" w:eastAsia="Arial" w:hAnsi="Arial"/>
          <w:sz w:val="11"/>
          <w:szCs w:val="11"/>
          <w:color w:val="auto"/>
        </w:rPr>
        <w:t>In October 2007, San Diego County experienced several catastrophic wildfires. Reports issued by the California Department of Forestry and Fire Protection (Cal Fire) concluded that two of these fires (the Witch and Rice fires) were SDG&amp;E "power line caused" and that a third fire (the Guejito fire) occurred when a wire securing a Cox Communications' (Cox) fiber optic cable came into contact with an SDG&amp;E power line "causing an arc and starting the fire." Cal Fire reported that the Rice fire burned approximately 9,500 acres and damaged 206 homes and two commercial properties, and the Witch and Guejito fires merged and eventually burned approximately 198,000 acres, resulting in two fatalities, approximately 40 firefighters injured and approximately 1,141 homes destroyed.</w:t>
      </w:r>
    </w:p>
    <w:p>
      <w:pPr>
        <w:spacing w:after="0" w:line="102" w:lineRule="exact"/>
        <w:rPr>
          <w:sz w:val="20"/>
          <w:szCs w:val="20"/>
          <w:color w:val="auto"/>
        </w:rPr>
      </w:pPr>
    </w:p>
    <w:p>
      <w:pPr>
        <w:spacing w:after="0" w:line="405" w:lineRule="auto"/>
        <w:rPr>
          <w:sz w:val="20"/>
          <w:szCs w:val="20"/>
          <w:color w:val="auto"/>
        </w:rPr>
      </w:pPr>
      <w:r>
        <w:rPr>
          <w:rFonts w:ascii="Arial" w:cs="Arial" w:eastAsia="Arial" w:hAnsi="Arial"/>
          <w:sz w:val="11"/>
          <w:szCs w:val="11"/>
          <w:color w:val="auto"/>
        </w:rPr>
        <w:t>A September 2008 staff report issued by the Consumer Protection and Safety Division of the CPUC reached substantially the same conclusions as the Cal Fire reports, but also contended that the power lines involved in the Witch and Rice fires and the lashing wire involved in the Guejito fire were not properly designed, constructed and maintained. In April 2010, proceedings initiated by the CPUC to determine if</w:t>
      </w:r>
    </w:p>
    <w:p>
      <w:pPr>
        <w:sectPr>
          <w:pgSz w:w="11900" w:h="16973" w:orient="portrait"/>
          <w:cols w:equalWidth="0" w:num="1">
            <w:col w:w="11460"/>
          </w:cols>
          <w:pgMar w:left="220" w:top="129" w:right="219" w:bottom="0" w:gutter="0" w:footer="0" w:header="0"/>
        </w:sectPr>
      </w:pPr>
    </w:p>
    <w:bookmarkStart w:id="38" w:name="page39"/>
    <w:bookmarkEnd w:id="38"/>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any of its rules were violated were settled with SDG&amp;E’s payment of $14.75 million.</w:t>
      </w:r>
    </w:p>
    <w:p>
      <w:pPr>
        <w:spacing w:after="0" w:line="170" w:lineRule="exact"/>
        <w:rPr>
          <w:sz w:val="20"/>
          <w:szCs w:val="20"/>
          <w:color w:val="auto"/>
        </w:rPr>
      </w:pPr>
    </w:p>
    <w:p>
      <w:pPr>
        <w:ind w:right="160"/>
        <w:spacing w:after="0" w:line="253" w:lineRule="auto"/>
        <w:rPr>
          <w:sz w:val="20"/>
          <w:szCs w:val="20"/>
          <w:color w:val="auto"/>
        </w:rPr>
      </w:pPr>
      <w:r>
        <w:rPr>
          <w:rFonts w:ascii="Arial" w:cs="Arial" w:eastAsia="Arial" w:hAnsi="Arial"/>
          <w:sz w:val="14"/>
          <w:szCs w:val="14"/>
          <w:color w:val="auto"/>
        </w:rPr>
        <w:t>Numerous parties have sued SDG&amp;E and Sempra Energy in San Diego County Superior Court seeking recovery of unspecified amounts of damages, including punitive damages, from the three fires. These include owners and insurers of properties that were destroyed or damaged in the fires and public entities seeking recovery of firefighting, emergency response, and environmental costs. They assert various bases for recovery, including inverse condemnation based upon a California Court of Appeal decision finding that another California investor-owned utility was subject to strict liability, without regard to foreseeability or negligence, for property damages resulting from a wildfire ignited by power lines.</w:t>
      </w:r>
    </w:p>
    <w:p>
      <w:pPr>
        <w:spacing w:after="0" w:line="148" w:lineRule="exact"/>
        <w:rPr>
          <w:sz w:val="20"/>
          <w:szCs w:val="20"/>
          <w:color w:val="auto"/>
        </w:rPr>
      </w:pPr>
    </w:p>
    <w:p>
      <w:pPr>
        <w:ind w:right="460"/>
        <w:spacing w:after="0" w:line="405" w:lineRule="auto"/>
        <w:rPr>
          <w:sz w:val="20"/>
          <w:szCs w:val="20"/>
          <w:color w:val="auto"/>
        </w:rPr>
      </w:pPr>
      <w:r>
        <w:rPr>
          <w:rFonts w:ascii="Arial" w:cs="Arial" w:eastAsia="Arial" w:hAnsi="Arial"/>
          <w:sz w:val="11"/>
          <w:szCs w:val="11"/>
          <w:color w:val="auto"/>
        </w:rPr>
        <w:t>In October 2010, the Court of Appeal affirmed the trial court's ruling that these claims must be pursued in individual lawsuits, rather than as class actions on behalf of all persons who incurred wildfire damages. In February 2011, the California Supreme Court denied a petition for review of the affirmance. The trial court has scheduled a Witch fire and Guejito fire trial to begin in February 2012.</w:t>
      </w:r>
    </w:p>
    <w:p>
      <w:pPr>
        <w:spacing w:after="0" w:line="69" w:lineRule="exact"/>
        <w:rPr>
          <w:sz w:val="20"/>
          <w:szCs w:val="20"/>
          <w:color w:val="auto"/>
        </w:rPr>
      </w:pPr>
    </w:p>
    <w:p>
      <w:pPr>
        <w:ind w:right="520"/>
        <w:spacing w:after="0" w:line="267" w:lineRule="auto"/>
        <w:rPr>
          <w:sz w:val="20"/>
          <w:szCs w:val="20"/>
          <w:color w:val="auto"/>
        </w:rPr>
      </w:pPr>
      <w:r>
        <w:rPr>
          <w:rFonts w:ascii="Arial" w:cs="Arial" w:eastAsia="Arial" w:hAnsi="Arial"/>
          <w:sz w:val="14"/>
          <w:szCs w:val="14"/>
          <w:color w:val="auto"/>
        </w:rPr>
        <w:t>SDG&amp;E filed cross-complaints against Cox seeking indemnification for any liability that SDG&amp;E might incur in connection with the Guejito fire, two SDG&amp;E contractors seeking indemnification in connection with the Witch fire, and one SDG&amp;E contractor seeking indemnification in connection with the Rice fire.</w:t>
      </w:r>
    </w:p>
    <w:p>
      <w:pPr>
        <w:spacing w:after="0" w:line="138"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In December 2010, SDG&amp;E and Cox reached an agreement settling SDG&amp;E's claims against Cox and Cox’s insurers in the wildfire litigation (Cox Settlement). Among other things, the settlement agreement provides that SDG&amp;E will receive approximately $444 million, which it will use for wildfire related expenditures, and SDG&amp;E will defend and indemnify Cox against all compensatory damage claims and related costs arising out of the wildfires.</w:t>
      </w:r>
    </w:p>
    <w:p>
      <w:pPr>
        <w:spacing w:after="0" w:line="146" w:lineRule="exact"/>
        <w:rPr>
          <w:sz w:val="20"/>
          <w:szCs w:val="20"/>
          <w:color w:val="auto"/>
        </w:rPr>
      </w:pPr>
    </w:p>
    <w:p>
      <w:pPr>
        <w:jc w:val="both"/>
        <w:ind w:right="600"/>
        <w:spacing w:after="0" w:line="285" w:lineRule="auto"/>
        <w:rPr>
          <w:sz w:val="20"/>
          <w:szCs w:val="20"/>
          <w:color w:val="auto"/>
        </w:rPr>
      </w:pPr>
      <w:r>
        <w:rPr>
          <w:rFonts w:ascii="Arial" w:cs="Arial" w:eastAsia="Arial" w:hAnsi="Arial"/>
          <w:sz w:val="13"/>
          <w:szCs w:val="13"/>
          <w:color w:val="auto"/>
        </w:rPr>
        <w:t>At December 31, 2010, the $300 million Settlement Receivable Related to Wildfire Litigation on the Condensed Consolidated Balance Sheets of Sempra Energy and SDG&amp;E represented cash to be received in accordance with the terms of the Cox Settlement in several payments through March 2011 and which was received. Restricted cash of $312 million at March 31, 2011 on the Condensed Consolidated Balance Sheets of Sempra Energy and SDG&amp;E represents amounts received from Cox not yet applied to wildfire related expenditures.</w:t>
      </w:r>
    </w:p>
    <w:p>
      <w:pPr>
        <w:spacing w:after="0" w:line="129" w:lineRule="exact"/>
        <w:rPr>
          <w:sz w:val="20"/>
          <w:szCs w:val="20"/>
          <w:color w:val="auto"/>
        </w:rPr>
      </w:pPr>
    </w:p>
    <w:p>
      <w:pPr>
        <w:ind w:right="200"/>
        <w:spacing w:after="0" w:line="405" w:lineRule="auto"/>
        <w:rPr>
          <w:sz w:val="20"/>
          <w:szCs w:val="20"/>
          <w:color w:val="auto"/>
        </w:rPr>
      </w:pPr>
      <w:r>
        <w:rPr>
          <w:rFonts w:ascii="Arial" w:cs="Arial" w:eastAsia="Arial" w:hAnsi="Arial"/>
          <w:sz w:val="11"/>
          <w:szCs w:val="11"/>
          <w:color w:val="auto"/>
        </w:rPr>
        <w:t>SDG&amp;E has settled substantially all of the 19,000 claims of homeowner insurers relating to the three fires. Under the settlement agreements, SDG&amp;E has paid or will pay 57.5 percent of the approximately $1.6 billion paid or reserved for payment by the insurers to their policyholders and received an assignment of the insurers’ claims against other parties potentially responsible for the fires.</w:t>
      </w:r>
    </w:p>
    <w:p>
      <w:pPr>
        <w:spacing w:after="0" w:line="69" w:lineRule="exact"/>
        <w:rPr>
          <w:sz w:val="20"/>
          <w:szCs w:val="20"/>
          <w:color w:val="auto"/>
        </w:rPr>
      </w:pPr>
    </w:p>
    <w:p>
      <w:pPr>
        <w:ind w:right="40"/>
        <w:spacing w:after="0" w:line="279" w:lineRule="auto"/>
        <w:rPr>
          <w:sz w:val="20"/>
          <w:szCs w:val="20"/>
          <w:color w:val="auto"/>
        </w:rPr>
      </w:pPr>
      <w:r>
        <w:rPr>
          <w:rFonts w:ascii="Arial" w:cs="Arial" w:eastAsia="Arial" w:hAnsi="Arial"/>
          <w:sz w:val="13"/>
          <w:szCs w:val="13"/>
          <w:color w:val="auto"/>
        </w:rPr>
        <w:t>The wildfire litigation also includes claims of non-insurer plaintiffs for damage to uninsured and underinsured structures, business interruption, evacuation expenses, agricultural damage, emotional harm, personal injuries and other losses. SDG&amp;E has settled the claims of approximately 1,190 of these plaintiffs. Approximately 1,000 of the approximately 2,000 remaining individual and business plaintiffs have submitted settlement demands and damage estimates totaling approximately $800 million and government entity claims total approximately $140 million. SDG&amp;E expects to receive additional settlement demands and damage estimates as settlement negotiations continue. SDG&amp;E has established reserves for the wildfire litigation as we discuss below.</w:t>
      </w:r>
    </w:p>
    <w:p>
      <w:pPr>
        <w:spacing w:after="0" w:line="132" w:lineRule="exact"/>
        <w:rPr>
          <w:sz w:val="20"/>
          <w:szCs w:val="20"/>
          <w:color w:val="auto"/>
        </w:rPr>
      </w:pPr>
    </w:p>
    <w:p>
      <w:pPr>
        <w:ind w:right="40"/>
        <w:spacing w:after="0" w:line="306" w:lineRule="auto"/>
        <w:rPr>
          <w:sz w:val="20"/>
          <w:szCs w:val="20"/>
          <w:color w:val="auto"/>
        </w:rPr>
      </w:pPr>
      <w:r>
        <w:rPr>
          <w:rFonts w:ascii="Arial" w:cs="Arial" w:eastAsia="Arial" w:hAnsi="Arial"/>
          <w:sz w:val="13"/>
          <w:szCs w:val="13"/>
          <w:color w:val="auto"/>
        </w:rPr>
        <w:t>SDG&amp;E's settlement of claims and defense costs have exceeded its $1.1 billion of liability insurance coverage. It expects that its wildfire reserves and amounts paid to resolve wildfire claims will continue to increase as it obtains additional information; it is presently unable to reasonably estimate the amount or timing of recoveries from other potentially responsible parties, other than Cox.</w:t>
      </w:r>
    </w:p>
    <w:p>
      <w:pPr>
        <w:spacing w:after="0" w:line="115" w:lineRule="exact"/>
        <w:rPr>
          <w:sz w:val="20"/>
          <w:szCs w:val="20"/>
          <w:color w:val="auto"/>
        </w:rPr>
      </w:pPr>
    </w:p>
    <w:p>
      <w:pPr>
        <w:ind w:right="60"/>
        <w:spacing w:after="0" w:line="251" w:lineRule="auto"/>
        <w:rPr>
          <w:sz w:val="20"/>
          <w:szCs w:val="20"/>
          <w:color w:val="auto"/>
        </w:rPr>
      </w:pPr>
      <w:r>
        <w:rPr>
          <w:rFonts w:ascii="Arial" w:cs="Arial" w:eastAsia="Arial" w:hAnsi="Arial"/>
          <w:sz w:val="14"/>
          <w:szCs w:val="14"/>
          <w:color w:val="auto"/>
        </w:rPr>
        <w:t>SDG&amp;E has concluded, however, that it is probable that it will be permitted to recover from its utility customers substantially all reasonably incurred costs of resolving wildfire claims in excess of its liability insurance coverage and any amounts recovered from other potentially responsible parties. Accordingly, although such recovery will require future regulatory actions, as of December 31, 2010 and March 31, 2011, SDG&amp;E recorded a regulatory asset in an amount substantially equal to the aggregate amount it has paid or reserved for payment for the resolution of wildfire claims and related costs in excess of its liability insurance coverage and amounts received or to be received from Cox. SDG&amp;E will increase the regulatory asset as additional amounts are paid or reserves are recorded and reduce it by any amounts recovered from other potentially responsible parties.</w:t>
      </w:r>
    </w:p>
    <w:p>
      <w:pPr>
        <w:spacing w:after="0" w:line="150" w:lineRule="exact"/>
        <w:rPr>
          <w:sz w:val="20"/>
          <w:szCs w:val="20"/>
          <w:color w:val="auto"/>
        </w:rPr>
      </w:pPr>
    </w:p>
    <w:p>
      <w:pPr>
        <w:ind w:right="200"/>
        <w:spacing w:after="0" w:line="279" w:lineRule="auto"/>
        <w:rPr>
          <w:sz w:val="20"/>
          <w:szCs w:val="20"/>
          <w:color w:val="auto"/>
        </w:rPr>
      </w:pPr>
      <w:r>
        <w:rPr>
          <w:rFonts w:ascii="Arial" w:cs="Arial" w:eastAsia="Arial" w:hAnsi="Arial"/>
          <w:sz w:val="13"/>
          <w:szCs w:val="13"/>
          <w:color w:val="auto"/>
        </w:rPr>
        <w:t>As a consequence of the expected recovery of wildfire costs from utility customers, Sempra Energy and SDG&amp;E expect no significant earnings impact from the resolution of the remaining wildfire claims. However, SDG&amp;E’s cash flow may be adversely affected due to the timing differences between the resolution of claims and the recoveries from other potentially responsible parties and utility customers, which may extend over a number of years. Also, recovery from customers will require future regulatory actions, and a failure to obtain recovery, or any negative assessment of the likelihood of recovery, would likely have a material adverse effect on Sempra Energy's and SDG&amp;E's cash flows and results of operations.</w:t>
      </w:r>
    </w:p>
    <w:p>
      <w:pPr>
        <w:spacing w:after="0" w:line="132" w:lineRule="exact"/>
        <w:rPr>
          <w:sz w:val="20"/>
          <w:szCs w:val="20"/>
          <w:color w:val="auto"/>
        </w:rPr>
      </w:pPr>
    </w:p>
    <w:p>
      <w:pPr>
        <w:ind w:right="300"/>
        <w:spacing w:after="0" w:line="267" w:lineRule="auto"/>
        <w:rPr>
          <w:sz w:val="20"/>
          <w:szCs w:val="20"/>
          <w:color w:val="auto"/>
        </w:rPr>
      </w:pPr>
      <w:r>
        <w:rPr>
          <w:rFonts w:ascii="Arial" w:cs="Arial" w:eastAsia="Arial" w:hAnsi="Arial"/>
          <w:sz w:val="14"/>
          <w:szCs w:val="14"/>
          <w:color w:val="auto"/>
        </w:rPr>
        <w:t>SDG&amp;E will continue to gather information to evaluate and assess the remaining wildfire claims and the likelihood, amount and timing of related recoveries from other potentially responsible parties and utility customers and will make appropriate adjustments to wildfire reserves and the related regulatory asset as additional information becomes available.</w:t>
      </w:r>
    </w:p>
    <w:p>
      <w:pPr>
        <w:spacing w:after="0" w:line="138"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In 2010 and 2011, as liabilities for wildfire litigation have become reasonably estimable in the form of settlement demands, damage estimates, and other damage information, SDG&amp;E has recorded related reserves as a liability. The impact of this liability at December 31, 2010 and March 31, 2011 is offset by (1) current receivables for amounts to be received from Cox (December 31, 2010), (2) $312 million of restricted cash received from Cox (March 31, 2011) and (3) the recognition of a regulatory asset, as discussed above, for reserves in excess of the insurance coverage and the Cox settlement. The impact of the reserves on SDG&amp;E's and Sempra Energy's after-tax earnings for the three months ended March 31, 2011 and 2010, was $1 million and $3 million, respectively. At March 31, 2011, wildfire litigation reserves were $683 million ($489 million in current and $194 million in long-term).</w:t>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Sunrise Powerlink Electric Transmission Line</w:t>
      </w:r>
    </w:p>
    <w:p>
      <w:pPr>
        <w:spacing w:after="0" w:line="160" w:lineRule="exact"/>
        <w:rPr>
          <w:sz w:val="20"/>
          <w:szCs w:val="20"/>
          <w:color w:val="auto"/>
        </w:rPr>
      </w:pPr>
    </w:p>
    <w:p>
      <w:pPr>
        <w:jc w:val="both"/>
        <w:ind w:right="140"/>
        <w:spacing w:after="0" w:line="256" w:lineRule="auto"/>
        <w:rPr>
          <w:sz w:val="20"/>
          <w:szCs w:val="20"/>
          <w:color w:val="auto"/>
        </w:rPr>
      </w:pPr>
      <w:r>
        <w:rPr>
          <w:rFonts w:ascii="Arial" w:cs="Arial" w:eastAsia="Arial" w:hAnsi="Arial"/>
          <w:sz w:val="14"/>
          <w:szCs w:val="14"/>
          <w:color w:val="auto"/>
        </w:rPr>
        <w:t>SDG&amp;E commenced construction on the Sunrise Powerlink in the fall of 2010. The Sunrise Powerlink is a new 117-mile, 500-kilovolt (kV) electric transmission line that is being built between the Imperial Valley and the San Diego region, along a route that generally runs south of the Anza-Borrego Desert State Park. The current project plan provides for the transmission line to be completed and in-service in the second half of 2012.</w:t>
      </w:r>
    </w:p>
    <w:p>
      <w:pPr>
        <w:spacing w:after="0" w:line="146" w:lineRule="exact"/>
        <w:rPr>
          <w:sz w:val="20"/>
          <w:szCs w:val="20"/>
          <w:color w:val="auto"/>
        </w:rPr>
      </w:pPr>
    </w:p>
    <w:p>
      <w:pPr>
        <w:ind w:right="360"/>
        <w:spacing w:after="0" w:line="267" w:lineRule="auto"/>
        <w:rPr>
          <w:sz w:val="20"/>
          <w:szCs w:val="20"/>
          <w:color w:val="auto"/>
        </w:rPr>
      </w:pPr>
      <w:r>
        <w:rPr>
          <w:rFonts w:ascii="Arial" w:cs="Arial" w:eastAsia="Arial" w:hAnsi="Arial"/>
          <w:sz w:val="14"/>
          <w:szCs w:val="14"/>
          <w:color w:val="auto"/>
        </w:rPr>
        <w:t>The Sunrise Powerlink project was originally approved by the CPUC in December 2008, including approval of the environmental impact review conducted jointly with the Bureau of Land Management (BLM). The CPUC has subsequently denied or dismissed all requests for rehearing of its approval of the project.</w:t>
      </w:r>
    </w:p>
    <w:p>
      <w:pPr>
        <w:spacing w:after="0" w:line="138" w:lineRule="exact"/>
        <w:rPr>
          <w:sz w:val="20"/>
          <w:szCs w:val="20"/>
          <w:color w:val="auto"/>
        </w:rPr>
      </w:pPr>
    </w:p>
    <w:p>
      <w:pPr>
        <w:ind w:right="120"/>
        <w:spacing w:after="0" w:line="256" w:lineRule="auto"/>
        <w:rPr>
          <w:sz w:val="20"/>
          <w:szCs w:val="20"/>
          <w:color w:val="auto"/>
        </w:rPr>
      </w:pPr>
      <w:r>
        <w:rPr>
          <w:rFonts w:ascii="Arial" w:cs="Arial" w:eastAsia="Arial" w:hAnsi="Arial"/>
          <w:sz w:val="14"/>
          <w:szCs w:val="14"/>
          <w:color w:val="auto"/>
        </w:rPr>
        <w:t>In February 2011, the California Supreme Court denied a petition filed jointly by the Utility Consumers' Action Network (UCAN) and the Center for Biological Diversity/Sierra Club (CBD). The petition challenged the CPUC's decision with regard to implementation of the California Environmental Quality Act (CEQA). In addition, in August 2010 the California Court of Appeal denied a petition previously filed by UCAN with the Court of Appeal challenging the CPUC decision on other legal grounds.</w:t>
      </w:r>
    </w:p>
    <w:p>
      <w:pPr>
        <w:spacing w:after="0" w:line="146"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In January 2009, the BLM issued its decision approving the portions of the project, route and environmental review within its jurisdiction. The Interior Board of Land Appeals (IBLA) subsequently denied or dismissed all administrative appeals that were filed challenging the BLM’s approval of the project.</w:t>
      </w:r>
    </w:p>
    <w:p>
      <w:pPr>
        <w:spacing w:after="0" w:line="138"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color w:val="auto"/>
        </w:rPr>
        <w:t>The CPUC and BLM jointly approved the final Project Modification Report for Sunrise Powerlink in September 2010, accepting all of the proposed modifications to the approved route and finding that no additional environmental review was required. In December 2010, the IBLA dismissed an appeal challenging the BLM’s approval of the Project Modification Report. On March 3, 2011, opponents of the Sunrise Powerlink filed a petition for writ of review or mandamus with the California Supreme Court challenging the CPUC’s acceptance of the Project Modification Report. The California Supreme Court denied the petition on April 13, 2011.</w:t>
      </w:r>
    </w:p>
    <w:p>
      <w:pPr>
        <w:spacing w:after="0" w:line="148"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In February 2010, parties opposed to the project filed a lawsuit in Federal District Court in San Diego seeking declaratory and injunctive relief and alleging that the BLM failed to properly assess the environmental impacts of the approved Sunrise Powerlink route and the related potential development of renewable resources in east San Diego County and Imperial County. The plaintiffs have filed a motion for a preliminary injunction regarding construction on BLM land and the plaintiffs, the federal government and SDG&amp;E have each filed separate motions for summary judgment with the Court.</w:t>
      </w:r>
    </w:p>
    <w:p>
      <w:pPr>
        <w:spacing w:after="0" w:line="129" w:lineRule="exact"/>
        <w:rPr>
          <w:sz w:val="20"/>
          <w:szCs w:val="20"/>
          <w:color w:val="auto"/>
        </w:rPr>
      </w:pPr>
    </w:p>
    <w:p>
      <w:pPr>
        <w:ind w:right="160"/>
        <w:spacing w:after="0" w:line="267" w:lineRule="auto"/>
        <w:rPr>
          <w:sz w:val="20"/>
          <w:szCs w:val="20"/>
          <w:color w:val="auto"/>
        </w:rPr>
      </w:pPr>
      <w:r>
        <w:rPr>
          <w:rFonts w:ascii="Arial" w:cs="Arial" w:eastAsia="Arial" w:hAnsi="Arial"/>
          <w:sz w:val="14"/>
          <w:szCs w:val="14"/>
          <w:color w:val="auto"/>
        </w:rPr>
        <w:t>In July 2010, the United States Forest Service (USFS) issued its decision approving the portions of the project, route and environmental review within its jurisdiction. The USFS has subsequently denied all administrative appeals challenging its approval of the project.</w:t>
      </w:r>
    </w:p>
    <w:p>
      <w:pPr>
        <w:spacing w:after="0" w:line="138" w:lineRule="exact"/>
        <w:rPr>
          <w:sz w:val="20"/>
          <w:szCs w:val="20"/>
          <w:color w:val="auto"/>
        </w:rPr>
      </w:pPr>
    </w:p>
    <w:p>
      <w:pPr>
        <w:ind w:right="140"/>
        <w:spacing w:after="0" w:line="256" w:lineRule="auto"/>
        <w:rPr>
          <w:sz w:val="20"/>
          <w:szCs w:val="20"/>
          <w:color w:val="auto"/>
        </w:rPr>
      </w:pPr>
      <w:r>
        <w:rPr>
          <w:rFonts w:ascii="Arial" w:cs="Arial" w:eastAsia="Arial" w:hAnsi="Arial"/>
          <w:sz w:val="14"/>
          <w:szCs w:val="14"/>
          <w:color w:val="auto"/>
        </w:rPr>
        <w:t>In January 2011, project opponents filed a lawsuit in Federal District Court in San Diego alleging that the federal approvals for construction of the project on USFS land and BLM land violated the National Environmental Policy Act and other federal environmental laws. The lawsuit asks the Court for injunctive relief preventing the USFS and the BLM from approving any ongoing or future construction activities.</w:t>
      </w:r>
    </w:p>
    <w:p>
      <w:pPr>
        <w:spacing w:after="0" w:line="146" w:lineRule="exact"/>
        <w:rPr>
          <w:sz w:val="20"/>
          <w:szCs w:val="20"/>
          <w:color w:val="auto"/>
        </w:rPr>
      </w:pPr>
    </w:p>
    <w:p>
      <w:pPr>
        <w:ind w:right="40"/>
        <w:spacing w:after="0" w:line="306" w:lineRule="auto"/>
        <w:rPr>
          <w:sz w:val="20"/>
          <w:szCs w:val="20"/>
          <w:color w:val="auto"/>
        </w:rPr>
      </w:pPr>
      <w:r>
        <w:rPr>
          <w:rFonts w:ascii="Arial" w:cs="Arial" w:eastAsia="Arial" w:hAnsi="Arial"/>
          <w:sz w:val="13"/>
          <w:szCs w:val="13"/>
          <w:color w:val="auto"/>
        </w:rPr>
        <w:t>On February 7, 2011, opponents of the Sunrise Powerlink filed a lawsuit in California Superior Court in Sacramento, California against the State Water Resources Control Board and SDG&amp;E alleging that the water quality certification issued by the Board under the Federal Clean Water Act violated CEQA. The complaint seeks to have the certification set aside and requests an injunction be issued.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We provide additional information concerning Sunrise Powerlink in Note 14 of the Notes to Consolidated Financial Statements in the Annual Report.</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SoCalGas</w:t>
      </w:r>
    </w:p>
    <w:p>
      <w:pPr>
        <w:spacing w:after="0" w:line="160" w:lineRule="exact"/>
        <w:rPr>
          <w:sz w:val="20"/>
          <w:szCs w:val="20"/>
          <w:color w:val="auto"/>
        </w:rPr>
      </w:pPr>
    </w:p>
    <w:p>
      <w:pPr>
        <w:ind w:right="120"/>
        <w:spacing w:after="0" w:line="253" w:lineRule="auto"/>
        <w:rPr>
          <w:sz w:val="20"/>
          <w:szCs w:val="20"/>
          <w:color w:val="auto"/>
        </w:rPr>
      </w:pPr>
      <w:r>
        <w:rPr>
          <w:rFonts w:ascii="Arial" w:cs="Arial" w:eastAsia="Arial" w:hAnsi="Arial"/>
          <w:sz w:val="14"/>
          <w:szCs w:val="14"/>
          <w:color w:val="auto"/>
        </w:rPr>
        <w:t>SoCalGas, along with Monsanto Co., Solutia, Inc., Pharmacia Corp., and Pfizer, Inc., are defendants in two Los Angeles County Superior Court lawsuits filed in April 2011 seeking recovery of unspecified amounts of damages, including punitive damages, as a result of plaintiffs' exposure to PCBs (polychlorinated biphenyls). The lawsuits allege plaintiffs were exposed to PCBs not only through the food chain and other various sources but from PCB-contaminated natural gas pipelines owned and operated by SoCalGas. This contamination allegedly caused plaintiffs to develop cancer and other serious illnesses. Plaintiffs assert various bases for recovery, including negligence and products liability.</w:t>
      </w:r>
    </w:p>
    <w:p>
      <w:pPr>
        <w:sectPr>
          <w:pgSz w:w="11900" w:h="16849" w:orient="portrait"/>
          <w:cols w:equalWidth="0" w:num="1">
            <w:col w:w="11460"/>
          </w:cols>
          <w:pgMar w:left="220" w:top="129" w:right="219" w:bottom="0" w:gutter="0" w:footer="0" w:header="0"/>
        </w:sectPr>
      </w:pPr>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Sempra Pipelines &amp; Storage</w:t>
      </w:r>
    </w:p>
    <w:p>
      <w:pPr>
        <w:sectPr>
          <w:pgSz w:w="11900" w:h="16849" w:orient="portrait"/>
          <w:cols w:equalWidth="0" w:num="1">
            <w:col w:w="11460"/>
          </w:cols>
          <w:pgMar w:left="220" w:top="129" w:right="219" w:bottom="0" w:gutter="0" w:footer="0" w:header="0"/>
          <w:type w:val="continuous"/>
        </w:sectPr>
      </w:pPr>
    </w:p>
    <w:bookmarkStart w:id="39" w:name="page40"/>
    <w:bookmarkEnd w:id="39"/>
    <w:p>
      <w:pPr>
        <w:jc w:val="both"/>
        <w:ind w:right="60"/>
        <w:spacing w:after="0" w:line="285" w:lineRule="auto"/>
        <w:rPr>
          <w:sz w:val="20"/>
          <w:szCs w:val="20"/>
          <w:color w:val="auto"/>
        </w:rPr>
      </w:pPr>
      <w:r>
        <w:rPr>
          <w:rFonts w:ascii="Arial" w:cs="Arial" w:eastAsia="Arial" w:hAnsi="Arial"/>
          <w:sz w:val="13"/>
          <w:szCs w:val="13"/>
          <w:color w:val="auto"/>
        </w:rPr>
        <w:t>Liberty Gas Storage, LLC (Liberty) received a demand for arbitration from Williams Midstream Natural Gas Liquids, Inc. in February 2011 related to a sublease agreement. Williams alleges that Liberty was negligent in its attempt to convert certain salt caverns to natural gas storage and seeks damages of $56.7 million. Liberty filed a counterclaim alleging breach of contract in the inducement and seeks damages of more than $215 million. We discuss other matters related to these caverns in Note 1 of the Notes to Consolidated Financial Statements in the Annual Report.</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LNG</w:t>
      </w:r>
    </w:p>
    <w:p>
      <w:pPr>
        <w:spacing w:after="0" w:line="160" w:lineRule="exact"/>
        <w:rPr>
          <w:sz w:val="20"/>
          <w:szCs w:val="20"/>
          <w:color w:val="auto"/>
        </w:rPr>
      </w:pPr>
    </w:p>
    <w:p>
      <w:pPr>
        <w:spacing w:after="0" w:line="273" w:lineRule="auto"/>
        <w:rPr>
          <w:sz w:val="20"/>
          <w:szCs w:val="20"/>
          <w:color w:val="auto"/>
        </w:rPr>
      </w:pPr>
      <w:r>
        <w:rPr>
          <w:rFonts w:ascii="Arial" w:cs="Arial" w:eastAsia="Arial" w:hAnsi="Arial"/>
          <w:sz w:val="13"/>
          <w:szCs w:val="13"/>
          <w:color w:val="auto"/>
        </w:rPr>
        <w:t>Sempra LNG has been engaged in a long-running land dispute relating to property adjacent to its Energía Costa Azul liquefied natural gas (LNG) receipt terminal near Ensenada, Mexico. The adjacent property is not required by environmental or other regulatory permits for the operation of the terminal. A claimant to the adjacent property has nonetheless asserted that his health and safety are endangered by the operation of the facility. In June 2010, a Mexican federal appeals court revoked a district court order, issued at the behest of the claimant, directing Mexican regulatory authorities to provisionally suspend authorizations for the operation of the LNG terminal. In February 2011, based on a complaint by the claimant, the new Ensenada Mayor attempted to temporarily close the terminal based on claims of irregularities in municipal permits issued six years earlier. This attempt was promptly countermanded by Mexican federal and Baja California state authorities. No terminal permits or operations were affected as a result of these proceedings or events and the terminal has continued to operate normally.</w:t>
      </w:r>
    </w:p>
    <w:p>
      <w:pPr>
        <w:spacing w:after="0" w:line="137" w:lineRule="exact"/>
        <w:rPr>
          <w:sz w:val="20"/>
          <w:szCs w:val="20"/>
          <w:color w:val="auto"/>
        </w:rPr>
      </w:pPr>
    </w:p>
    <w:p>
      <w:pPr>
        <w:spacing w:after="0"/>
        <w:rPr>
          <w:sz w:val="20"/>
          <w:szCs w:val="20"/>
          <w:color w:val="auto"/>
        </w:rPr>
      </w:pPr>
      <w:r>
        <w:rPr>
          <w:rFonts w:ascii="Arial" w:cs="Arial" w:eastAsia="Arial" w:hAnsi="Arial"/>
          <w:sz w:val="11"/>
          <w:szCs w:val="11"/>
          <w:color w:val="auto"/>
        </w:rPr>
        <w:t>Sempra LNG expects additional Mexican court proceedings and governmental actions regarding the claimant’s assertions as to whether the terminal’s permits should be modified or revoked in any manner.</w:t>
      </w:r>
    </w:p>
    <w:p>
      <w:pPr>
        <w:spacing w:after="0" w:line="204" w:lineRule="exact"/>
        <w:rPr>
          <w:sz w:val="20"/>
          <w:szCs w:val="20"/>
          <w:color w:val="auto"/>
        </w:rPr>
      </w:pPr>
    </w:p>
    <w:p>
      <w:pPr>
        <w:ind w:right="320"/>
        <w:spacing w:after="0" w:line="306" w:lineRule="auto"/>
        <w:rPr>
          <w:sz w:val="20"/>
          <w:szCs w:val="20"/>
          <w:color w:val="auto"/>
        </w:rPr>
      </w:pPr>
      <w:r>
        <w:rPr>
          <w:rFonts w:ascii="Arial" w:cs="Arial" w:eastAsia="Arial" w:hAnsi="Arial"/>
          <w:sz w:val="13"/>
          <w:szCs w:val="13"/>
          <w:color w:val="auto"/>
        </w:rPr>
        <w:t>The property claimant has also filed a lawsuit against Sempra Energy in Federal District Court in San Diego seeking compensatory and punitive damages and earnings from the Energía Costa Azul LNG terminal based on his allegations that he was wrongfully evicted from the adjacent property and that he has been harmed by other allegedly improper actions.</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Litigation</w:t>
      </w:r>
    </w:p>
    <w:p>
      <w:pPr>
        <w:spacing w:after="0" w:line="160" w:lineRule="exact"/>
        <w:rPr>
          <w:sz w:val="20"/>
          <w:szCs w:val="20"/>
          <w:color w:val="auto"/>
        </w:rPr>
      </w:pPr>
    </w:p>
    <w:p>
      <w:pPr>
        <w:ind w:right="60"/>
        <w:spacing w:after="0" w:line="251" w:lineRule="auto"/>
        <w:rPr>
          <w:sz w:val="20"/>
          <w:szCs w:val="20"/>
          <w:color w:val="auto"/>
        </w:rPr>
      </w:pPr>
      <w:r>
        <w:rPr>
          <w:rFonts w:ascii="Arial" w:cs="Arial" w:eastAsia="Arial" w:hAnsi="Arial"/>
          <w:sz w:val="14"/>
          <w:szCs w:val="14"/>
          <w:color w:val="auto"/>
        </w:rPr>
        <w:t>In August 2007, the U.S. Court of Appeals for the Ninth Circuit issued a decision reversing and remanding certain Federal Energy Regulatory Commission (FERC) orders declining to provide refunds regarding short-term bilateral sales up to one month in the Pacific Northwest for the December 2000 to June 2001 time period. The FERC has not yet acted on the court’s order. In December 2010, the FERC approved a comprehensive settlement previously reached by Sempra Energy and RBS Sempra Commodities with the State of California. The settlement resolves all issues with regard to sales between the California Department of Water Resources (DWR) and Sempra Commodities (see Note 11) in the Pacific Northwest, but potential claims may exist regarding sales between Sempra Commodities and other buyers in the Pacific Northwest.</w:t>
      </w:r>
    </w:p>
    <w:p>
      <w:pPr>
        <w:spacing w:after="0" w:line="150"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Pursuant to the agreements related to the formation of RBS Sempra Commodities, we have indemnified RBS should the liability from the final resolution of these matters be greater than the reserves related to Sempra Commodities. Pursuant to our agreement with the Noble Group, we have also indemnified Noble Americas Gas &amp; Power Corp. and its affiliates for all losses incurred by such parties resulting from these proceedings as related to Sempra Commodities.</w:t>
      </w:r>
    </w:p>
    <w:p>
      <w:pPr>
        <w:spacing w:after="0" w:line="146" w:lineRule="exact"/>
        <w:rPr>
          <w:sz w:val="20"/>
          <w:szCs w:val="20"/>
          <w:color w:val="auto"/>
        </w:rPr>
      </w:pPr>
    </w:p>
    <w:p>
      <w:pPr>
        <w:ind w:right="20"/>
        <w:spacing w:after="0" w:line="273" w:lineRule="auto"/>
        <w:rPr>
          <w:sz w:val="20"/>
          <w:szCs w:val="20"/>
          <w:color w:val="auto"/>
        </w:rPr>
      </w:pPr>
      <w:r>
        <w:rPr>
          <w:rFonts w:ascii="Arial" w:cs="Arial" w:eastAsia="Arial" w:hAnsi="Arial"/>
          <w:sz w:val="13"/>
          <w:szCs w:val="13"/>
          <w:color w:val="auto"/>
        </w:rPr>
        <w:t>Sempra Energy and several subsidiaries, along with three oil and natural gas companies, the City of Beverly Hills, and the Beverly Hills Unified School District, are defendants in a toxic tort lawsuit filed in Los Angeles County Superior Court by approximately 1,000 plaintiffs. This lawsuit claims that various emissions resulted in cancer or fear of cancer. We have submitted the case to our insurers, who have reserved their rights with respect to coverage. In November 2006, the court granted the defendants' summary judgment motions based on lack of medical causation for the 12 initial plaintiffs scheduled to go to trial first. The court also granted summary judgment excluding punitive damages. The court has stayed the case as to the remaining plaintiffs pending the appeal of the rulings. A mediation occurred in June 2010, after which the plaintiffs’ counsel agreed to recommend a settlement of the lawsuits as to Sempra Energy and its subsidiaries for an amount that is not significant. Any such settlement will require approval by each of the plaintiffs. If approval is obtained, finalization of the settlement is expected to occur within six months.</w:t>
      </w:r>
    </w:p>
    <w:p>
      <w:pPr>
        <w:spacing w:after="0" w:line="137" w:lineRule="exact"/>
        <w:rPr>
          <w:sz w:val="20"/>
          <w:szCs w:val="20"/>
          <w:color w:val="auto"/>
        </w:rPr>
      </w:pPr>
    </w:p>
    <w:p>
      <w:pPr>
        <w:ind w:right="500"/>
        <w:spacing w:after="0" w:line="267" w:lineRule="auto"/>
        <w:rPr>
          <w:sz w:val="20"/>
          <w:szCs w:val="20"/>
          <w:color w:val="auto"/>
        </w:rPr>
      </w:pPr>
      <w:r>
        <w:rPr>
          <w:rFonts w:ascii="Arial" w:cs="Arial" w:eastAsia="Arial" w:hAnsi="Arial"/>
          <w:sz w:val="14"/>
          <w:szCs w:val="14"/>
          <w:color w:val="auto"/>
        </w:rPr>
        <w:t>We are also defendants in ordinary routine litigation incidental to our businesses, including personal injury, product liability, property damage and other claims. California juries have demonstrated an increasing willingness to grant large awards, including punitive damages, in these cases.</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NUCLEAR INSURANCE</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SDG&amp;E and the other owners of San Onofre Nuclear Generating Station (SONGS) have insurance to cover claims from nuclear liability incidents arising at SONGS. This insurance provides $375 million in coverage limits, the maximum amount available, including coverage for acts of terrorism. In addition, the Price-Anderson Act provides for up to $12.2 billion of secondary financial protection (SFP). If a nuclear liability loss occurring at any U.S. licensed/commercial reactor exceeds the $375 million insurance limit, all nuclear reactor owners could be required to contribute to the SFP. SDG&amp;E's contribution would be up to $47 million. This amount is subject to an annual maximum of $7 million, unless a default occurs by any other SONGS owner. If the SFP is insufficient to cover the liability loss, SDG&amp;E could be subject to an additional assessment.</w:t>
      </w:r>
    </w:p>
    <w:p>
      <w:pPr>
        <w:spacing w:after="0" w:line="150" w:lineRule="exact"/>
        <w:rPr>
          <w:sz w:val="20"/>
          <w:szCs w:val="20"/>
          <w:color w:val="auto"/>
        </w:rPr>
      </w:pPr>
    </w:p>
    <w:p>
      <w:pPr>
        <w:ind w:right="220"/>
        <w:spacing w:after="0" w:line="253" w:lineRule="auto"/>
        <w:rPr>
          <w:sz w:val="20"/>
          <w:szCs w:val="20"/>
          <w:color w:val="auto"/>
        </w:rPr>
      </w:pPr>
      <w:r>
        <w:rPr>
          <w:rFonts w:ascii="Arial" w:cs="Arial" w:eastAsia="Arial" w:hAnsi="Arial"/>
          <w:sz w:val="14"/>
          <w:szCs w:val="14"/>
          <w:color w:val="auto"/>
        </w:rPr>
        <w:t>The SONGS owners, including SDG&amp;E, also have $2.75 billion of nuclear property, decontamination, and debris removal insurance. In addition, the SONGS owners have up to $490 million insurance coverage for outage expenses and replacement power costs due to accidental property damage. This coverage is limited to $3.5 million per week for the first 52 weeks, then $2.8 million per week for up to 110 additional weeks. There is a 12-week waiting period deductible. These insurance coverages are provided through a mutual insurance company. Insured members are subject to retrospective premium assessments. SDG&amp;E could be assessed up to $8.5 million.</w:t>
      </w:r>
    </w:p>
    <w:p>
      <w:pPr>
        <w:spacing w:after="0" w:line="148" w:lineRule="exact"/>
        <w:rPr>
          <w:sz w:val="20"/>
          <w:szCs w:val="20"/>
          <w:color w:val="auto"/>
        </w:rPr>
      </w:pPr>
    </w:p>
    <w:p>
      <w:pPr>
        <w:ind w:right="120"/>
        <w:spacing w:after="0" w:line="256" w:lineRule="auto"/>
        <w:rPr>
          <w:sz w:val="20"/>
          <w:szCs w:val="20"/>
          <w:color w:val="auto"/>
        </w:rPr>
      </w:pPr>
      <w:r>
        <w:rPr>
          <w:rFonts w:ascii="Arial" w:cs="Arial" w:eastAsia="Arial" w:hAnsi="Arial"/>
          <w:sz w:val="14"/>
          <w:szCs w:val="14"/>
          <w:color w:val="auto"/>
        </w:rPr>
        <w:t>The nuclear property insurance program includes an industry aggregate loss limit for non-certified acts of terrorism (as defined by the Terrorism Risk Insurance Act). The industry aggregate loss limit for property claims arising from non-certified acts of terrorism is $3.24 billion. This is the maximum amount that will be paid to insured members who suffer losses or damages from these non-certified terrorist acts.</w:t>
      </w: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COMMITMENTS</w:t>
      </w: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Energy Consolidated</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In the first quarter of 2011, significant increases in commitments at Sempra Energy were</w:t>
      </w:r>
    </w:p>
    <w:p>
      <w:pPr>
        <w:spacing w:after="0" w:line="170" w:lineRule="exact"/>
        <w:rPr>
          <w:sz w:val="20"/>
          <w:szCs w:val="20"/>
          <w:color w:val="auto"/>
        </w:rPr>
      </w:pPr>
    </w:p>
    <w:p>
      <w:pPr>
        <w:ind w:left="260" w:hanging="147"/>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issuance of $500 million of 2.0-percent notes and $300 million of floating rate notes, both maturing in 2014, at Sempra Energy;</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$62 million for purchased-power contracts at SDG&amp;E;</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$23 million for costs related to the replacement of the steam generators and other construction projects at SONGS;</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$45 million for electric distribution systems, advanced metering infrastructure and electric generation plant and equipment at SDG&amp;E;</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$321 million at SDG&amp;E for engineering, material procurement and construction costs associated with the Sunrise Powerlink project; and</w:t>
      </w:r>
    </w:p>
    <w:p>
      <w:pPr>
        <w:spacing w:after="0" w:line="186" w:lineRule="exact"/>
        <w:rPr>
          <w:rFonts w:ascii="Arial" w:cs="Arial" w:eastAsia="Arial" w:hAnsi="Arial"/>
          <w:sz w:val="14"/>
          <w:szCs w:val="14"/>
          <w:color w:val="auto"/>
        </w:rPr>
      </w:pPr>
    </w:p>
    <w:p>
      <w:pPr>
        <w:ind w:left="260" w:hanging="147"/>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$42 million for construction and infrastructure improvements for natural gas transmission and distribution operations and advanced metering at SoCalGas; </w:t>
      </w:r>
      <w:r>
        <w:rPr>
          <w:rFonts w:ascii="Arial" w:cs="Arial" w:eastAsia="Arial" w:hAnsi="Arial"/>
          <w:sz w:val="14"/>
          <w:szCs w:val="14"/>
          <w:b w:val="1"/>
          <w:bCs w:val="1"/>
          <w:color w:val="auto"/>
        </w:rPr>
        <w:t>offset by</w:t>
      </w:r>
    </w:p>
    <w:p>
      <w:pPr>
        <w:spacing w:after="0" w:line="194" w:lineRule="exact"/>
        <w:rPr>
          <w:rFonts w:ascii="Arial" w:cs="Arial" w:eastAsia="Arial" w:hAnsi="Arial"/>
          <w:sz w:val="14"/>
          <w:szCs w:val="14"/>
          <w:color w:val="auto"/>
        </w:rPr>
      </w:pPr>
    </w:p>
    <w:p>
      <w:pPr>
        <w:ind w:left="260" w:hanging="147"/>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$51 million in reductions at Sempra Generation for natural gas contracts.</w:t>
      </w:r>
    </w:p>
    <w:p>
      <w:pPr>
        <w:spacing w:after="0" w:line="190" w:lineRule="exact"/>
        <w:rPr>
          <w:sz w:val="20"/>
          <w:szCs w:val="20"/>
          <w:color w:val="auto"/>
        </w:rPr>
      </w:pPr>
    </w:p>
    <w:p>
      <w:pPr>
        <w:ind w:right="120"/>
        <w:spacing w:after="0" w:line="405" w:lineRule="auto"/>
        <w:rPr>
          <w:sz w:val="20"/>
          <w:szCs w:val="20"/>
          <w:color w:val="auto"/>
        </w:rPr>
      </w:pPr>
      <w:r>
        <w:rPr>
          <w:rFonts w:ascii="Arial" w:cs="Arial" w:eastAsia="Arial" w:hAnsi="Arial"/>
          <w:sz w:val="11"/>
          <w:szCs w:val="11"/>
          <w:color w:val="auto"/>
        </w:rPr>
        <w:t>We expect future payments for the contractual commitments listed above to be $341 million for 2011, $85 million for 2012, $31 million for 2013, $778 million for 2014, $2 million for 2015 and $57 million thereafter. These amounts include expected interest payments on the notes using the stated interest rate for the fixed-rate notes and forward rates in effect at March 31, 2011 for the floating rate notes.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We discuss reserves for Sempra Energy and SDG&amp;E related to wildfire litigation above in “SDG&amp;E – 2007 Wildfire Litigation.”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We discuss changes to SoCalGas’ natural gas purchase and pipeline capacity commitments below.</w:t>
      </w:r>
    </w:p>
    <w:p>
      <w:pPr>
        <w:spacing w:after="0" w:line="170" w:lineRule="exact"/>
        <w:rPr>
          <w:sz w:val="20"/>
          <w:szCs w:val="20"/>
          <w:color w:val="auto"/>
        </w:rPr>
      </w:pPr>
    </w:p>
    <w:p>
      <w:pPr>
        <w:ind w:right="120"/>
        <w:spacing w:after="0" w:line="344" w:lineRule="auto"/>
        <w:rPr>
          <w:sz w:val="20"/>
          <w:szCs w:val="20"/>
          <w:color w:val="auto"/>
        </w:rPr>
      </w:pPr>
      <w:r>
        <w:rPr>
          <w:rFonts w:ascii="Arial" w:cs="Arial" w:eastAsia="Arial" w:hAnsi="Arial"/>
          <w:sz w:val="11"/>
          <w:szCs w:val="11"/>
          <w:color w:val="auto"/>
        </w:rPr>
        <w:t>At March 31, 2011, Sempra LNG has various purchase agreements with major international companies for the supply of LNG to its Energía Costa Azul and Cameron receipt terminals. We discuss these agreements further in Note 16 of the Notes to Consolidated Financial Statements in the Annual Report. Sempra LNG’s commitments under all LNG purchase agreements, reflecting the termination effective September 2011 of an LNG supply option agreement by one of the suppliers, changes in forward prices since December 31, 2010, and actual transactions for the first three months of 2011, are expected to decrease by $336 million in 2011, $366 million in 2012, and $145 million in 2013, and to increase by $50 million in 2014, $83 million in 2015 and $2.3 billion thereafter compared to December 31, 2010.</w:t>
      </w:r>
    </w:p>
    <w:p>
      <w:pPr>
        <w:spacing w:after="0" w:line="102"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The LNG commitment amounts above are based on Sempra LNG’s commitment to accept the maximum possible delivery of cargoes under the agreements. Actual LNG purchases for the three months ended March 31, 2011 have been significantly lower than the maximum amounts possible.</w:t>
      </w:r>
    </w:p>
    <w:p>
      <w:pPr>
        <w:sectPr>
          <w:pgSz w:w="11900" w:h="16838" w:orient="portrait"/>
          <w:cols w:equalWidth="0" w:num="1">
            <w:col w:w="11460"/>
          </w:cols>
          <w:pgMar w:left="220" w:top="294" w:right="219" w:bottom="0" w:gutter="0" w:footer="0" w:header="0"/>
        </w:sectPr>
      </w:pPr>
    </w:p>
    <w:bookmarkStart w:id="40" w:name="page41"/>
    <w:bookmarkEnd w:id="40"/>
    <w:p>
      <w:pPr>
        <w:spacing w:after="0"/>
        <w:rPr>
          <w:sz w:val="20"/>
          <w:szCs w:val="20"/>
          <w:color w:val="auto"/>
        </w:rPr>
      </w:pPr>
      <w:r>
        <w:rPr>
          <w:rFonts w:ascii="Arial" w:cs="Arial" w:eastAsia="Arial" w:hAnsi="Arial"/>
          <w:sz w:val="15"/>
          <w:szCs w:val="15"/>
          <w:b w:val="1"/>
          <w:bCs w:val="1"/>
          <w:i w:val="1"/>
          <w:iCs w:val="1"/>
          <w:color w:val="auto"/>
        </w:rPr>
        <w:t>SDG&amp;E</w:t>
      </w:r>
    </w:p>
    <w:p>
      <w:pPr>
        <w:spacing w:after="0" w:line="162" w:lineRule="exact"/>
        <w:rPr>
          <w:sz w:val="20"/>
          <w:szCs w:val="20"/>
          <w:color w:val="auto"/>
        </w:rPr>
      </w:pPr>
    </w:p>
    <w:p>
      <w:pPr>
        <w:jc w:val="both"/>
        <w:ind w:right="540"/>
        <w:spacing w:after="0" w:line="256" w:lineRule="auto"/>
        <w:rPr>
          <w:sz w:val="20"/>
          <w:szCs w:val="20"/>
          <w:color w:val="auto"/>
        </w:rPr>
      </w:pPr>
      <w:r>
        <w:rPr>
          <w:rFonts w:ascii="Arial" w:cs="Arial" w:eastAsia="Arial" w:hAnsi="Arial"/>
          <w:sz w:val="14"/>
          <w:szCs w:val="14"/>
          <w:color w:val="auto"/>
        </w:rPr>
        <w:t>In the first quarter of 2011, significant increases to contractual commitments at SDG&amp;E were $62 million for purchased-power contracts, $23 million for costs related to the replacement of the steam generators and other construction projects at SONGS, $45 million for electric distribution systems, advanced metering infrastructure and electric generation plant and equipment and $321 million for engineering, material procurement and construction costs associated with the Sunrise Powerlink project.</w:t>
      </w:r>
    </w:p>
    <w:p>
      <w:pPr>
        <w:spacing w:after="0" w:line="146" w:lineRule="exact"/>
        <w:rPr>
          <w:sz w:val="20"/>
          <w:szCs w:val="20"/>
          <w:color w:val="auto"/>
        </w:rPr>
      </w:pPr>
    </w:p>
    <w:p>
      <w:pPr>
        <w:jc w:val="both"/>
        <w:ind w:right="540"/>
        <w:spacing w:after="0" w:line="267" w:lineRule="auto"/>
        <w:rPr>
          <w:sz w:val="20"/>
          <w:szCs w:val="20"/>
          <w:color w:val="auto"/>
        </w:rPr>
      </w:pPr>
      <w:r>
        <w:rPr>
          <w:rFonts w:ascii="Arial" w:cs="Arial" w:eastAsia="Arial" w:hAnsi="Arial"/>
          <w:sz w:val="14"/>
          <w:szCs w:val="14"/>
          <w:color w:val="auto"/>
        </w:rPr>
        <w:t>The future payments for these contractual commitments are expected to be $331 million for 2011, $56 million for 2012, $3 million for 2013, $2 million for 2014, $2 million for 2015 and $57 million thereafter.</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SoCalGas</w:t>
      </w:r>
    </w:p>
    <w:p>
      <w:pPr>
        <w:spacing w:after="0" w:line="160" w:lineRule="exact"/>
        <w:rPr>
          <w:sz w:val="20"/>
          <w:szCs w:val="20"/>
          <w:color w:val="auto"/>
        </w:rPr>
      </w:pPr>
    </w:p>
    <w:p>
      <w:pPr>
        <w:ind w:right="340"/>
        <w:spacing w:after="0" w:line="405" w:lineRule="auto"/>
        <w:rPr>
          <w:sz w:val="20"/>
          <w:szCs w:val="20"/>
          <w:color w:val="auto"/>
        </w:rPr>
      </w:pPr>
      <w:r>
        <w:rPr>
          <w:rFonts w:ascii="Arial" w:cs="Arial" w:eastAsia="Arial" w:hAnsi="Arial"/>
          <w:sz w:val="11"/>
          <w:szCs w:val="11"/>
          <w:color w:val="auto"/>
        </w:rPr>
        <w:t>In the first quarter of 2011, significant increases to contractual commitments at SoCalGas were $42 million for construction and infrastructure improvements for natural gas transmission and distribution operations and advanced metering at SoCalGas. The future payments for these contractual commitments are expected to be $25 million for 2011, $12 million for 2012 and $5 million for 2013.</w:t>
      </w:r>
    </w:p>
    <w:p>
      <w:pPr>
        <w:spacing w:after="0" w:line="69"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SoCalGas’ natural gas purchase and pipeline capacity commitments have decreased by $97 million since December 31, 2010. The decrease, primarily due to a reduction of $237 million based on actual transactions for the first quarter of 2011, is offset by new natural gas purchase and pipeline capacity contracts of $140 million. Net future payments are therefore expected to decrease by $114 million for 2011 and to increase by $16 million for 2012 and $1 million for 2014 compared to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493395</wp:posOffset>
            </wp:positionV>
            <wp:extent cx="729170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170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NOTE 11. SEGMENT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We have five separately managed reportable segments, as follows:</w:t>
      </w:r>
    </w:p>
    <w:p>
      <w:pPr>
        <w:spacing w:after="0" w:line="170" w:lineRule="exact"/>
        <w:rPr>
          <w:sz w:val="20"/>
          <w:szCs w:val="20"/>
          <w:color w:val="auto"/>
        </w:rPr>
      </w:pPr>
    </w:p>
    <w:p>
      <w:pPr>
        <w:ind w:left="500" w:hanging="173"/>
        <w:spacing w:after="0"/>
        <w:tabs>
          <w:tab w:leader="none" w:pos="50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SDG&amp;E </w:t>
      </w:r>
      <w:r>
        <w:rPr>
          <w:rFonts w:ascii="Arial" w:cs="Arial" w:eastAsia="Arial" w:hAnsi="Arial"/>
          <w:sz w:val="14"/>
          <w:szCs w:val="14"/>
          <w:color w:val="auto"/>
        </w:rPr>
        <w:t>provides electric service to San Diego and southern Orange counties and natural gas service to San Diego County.</w:t>
      </w:r>
    </w:p>
    <w:p>
      <w:pPr>
        <w:spacing w:after="0" w:line="190" w:lineRule="exact"/>
        <w:rPr>
          <w:rFonts w:ascii="Arial" w:cs="Arial" w:eastAsia="Arial" w:hAnsi="Arial"/>
          <w:sz w:val="14"/>
          <w:szCs w:val="14"/>
          <w:i w:val="1"/>
          <w:iCs w:val="1"/>
          <w:color w:val="auto"/>
        </w:rPr>
      </w:pPr>
    </w:p>
    <w:p>
      <w:pPr>
        <w:ind w:left="500" w:hanging="173"/>
        <w:spacing w:after="0"/>
        <w:tabs>
          <w:tab w:leader="none" w:pos="50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SoCalGas </w:t>
      </w:r>
      <w:r>
        <w:rPr>
          <w:rFonts w:ascii="Arial" w:cs="Arial" w:eastAsia="Arial" w:hAnsi="Arial"/>
          <w:sz w:val="14"/>
          <w:szCs w:val="14"/>
          <w:color w:val="auto"/>
        </w:rPr>
        <w:t>is a natural gas distribution utility, serving customers throughout most of Southern California and part of central California.</w:t>
      </w:r>
    </w:p>
    <w:p>
      <w:pPr>
        <w:spacing w:after="0" w:line="190" w:lineRule="exact"/>
        <w:rPr>
          <w:rFonts w:ascii="Arial" w:cs="Arial" w:eastAsia="Arial" w:hAnsi="Arial"/>
          <w:sz w:val="14"/>
          <w:szCs w:val="14"/>
          <w:i w:val="1"/>
          <w:iCs w:val="1"/>
          <w:color w:val="auto"/>
        </w:rPr>
      </w:pPr>
    </w:p>
    <w:p>
      <w:pPr>
        <w:jc w:val="both"/>
        <w:ind w:left="500" w:hanging="173"/>
        <w:spacing w:after="0" w:line="256" w:lineRule="auto"/>
        <w:tabs>
          <w:tab w:leader="none" w:pos="50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Sempra Generation </w:t>
      </w:r>
      <w:r>
        <w:rPr>
          <w:rFonts w:ascii="Arial" w:cs="Arial" w:eastAsia="Arial" w:hAnsi="Arial"/>
          <w:sz w:val="14"/>
          <w:szCs w:val="14"/>
          <w:color w:val="auto"/>
        </w:rPr>
        <w:t>develops, owns and operates, or holds interests in, electric power plants and energy projects in Arizona, California, Colorado, Nevada, Indiana, Hawaii and Mexico to serve</w:t>
      </w:r>
      <w:r>
        <w:rPr>
          <w:rFonts w:ascii="Arial" w:cs="Arial" w:eastAsia="Arial" w:hAnsi="Arial"/>
          <w:sz w:val="14"/>
          <w:szCs w:val="14"/>
          <w:i w:val="1"/>
          <w:iCs w:val="1"/>
          <w:color w:val="auto"/>
        </w:rPr>
        <w:t xml:space="preserve"> </w:t>
      </w:r>
      <w:r>
        <w:rPr>
          <w:rFonts w:ascii="Arial" w:cs="Arial" w:eastAsia="Arial" w:hAnsi="Arial"/>
          <w:sz w:val="14"/>
          <w:szCs w:val="14"/>
          <w:color w:val="auto"/>
        </w:rPr>
        <w:t>wholesale electricity markets in the United States and Mexico. Sempra Generation also includes the operating results of Sempra Rockies Marketing, which holds firm service capacity on the Rockies Express Pipeline.</w:t>
      </w:r>
    </w:p>
    <w:p>
      <w:pPr>
        <w:spacing w:after="0" w:line="166" w:lineRule="exact"/>
        <w:rPr>
          <w:rFonts w:ascii="Arial" w:cs="Arial" w:eastAsia="Arial" w:hAnsi="Arial"/>
          <w:sz w:val="14"/>
          <w:szCs w:val="14"/>
          <w:i w:val="1"/>
          <w:iCs w:val="1"/>
          <w:color w:val="auto"/>
        </w:rPr>
      </w:pPr>
    </w:p>
    <w:p>
      <w:pPr>
        <w:jc w:val="both"/>
        <w:ind w:left="500" w:hanging="173"/>
        <w:spacing w:after="0" w:line="285" w:lineRule="auto"/>
        <w:tabs>
          <w:tab w:leader="none" w:pos="500" w:val="left"/>
        </w:tabs>
        <w:numPr>
          <w:ilvl w:val="0"/>
          <w:numId w:val="22"/>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Sempra Pipelines &amp; Storage </w:t>
      </w:r>
      <w:r>
        <w:rPr>
          <w:rFonts w:ascii="Arial" w:cs="Arial" w:eastAsia="Arial" w:hAnsi="Arial"/>
          <w:sz w:val="13"/>
          <w:szCs w:val="13"/>
          <w:color w:val="auto"/>
        </w:rPr>
        <w:t>develops, owns and operates, or holds interests in, natural gas and propane pipelines and natural gas storage facilities in the United States and Mexico, and companies</w:t>
      </w:r>
      <w:r>
        <w:rPr>
          <w:rFonts w:ascii="Arial" w:cs="Arial" w:eastAsia="Arial" w:hAnsi="Arial"/>
          <w:sz w:val="13"/>
          <w:szCs w:val="13"/>
          <w:i w:val="1"/>
          <w:iCs w:val="1"/>
          <w:color w:val="auto"/>
        </w:rPr>
        <w:t xml:space="preserve"> </w:t>
      </w:r>
      <w:r>
        <w:rPr>
          <w:rFonts w:ascii="Arial" w:cs="Arial" w:eastAsia="Arial" w:hAnsi="Arial"/>
          <w:sz w:val="13"/>
          <w:szCs w:val="13"/>
          <w:color w:val="auto"/>
        </w:rPr>
        <w:t>that provide natural gas or electricity services in Argentina, Chile, Mexico and Peru. We are currently pursuing the sale of our interests in the Argentine utilities, which we discuss further in Note 4 of the Notes to Consolidated Financial Statements in the Annual Report. Sempra Pipelines &amp; Storage also operates a natural gas distribution utility in Alabama.</w:t>
      </w:r>
    </w:p>
    <w:p>
      <w:pPr>
        <w:spacing w:after="0" w:line="149" w:lineRule="exact"/>
        <w:rPr>
          <w:rFonts w:ascii="Arial" w:cs="Arial" w:eastAsia="Arial" w:hAnsi="Arial"/>
          <w:sz w:val="13"/>
          <w:szCs w:val="13"/>
          <w:i w:val="1"/>
          <w:iCs w:val="1"/>
          <w:color w:val="auto"/>
        </w:rPr>
      </w:pPr>
    </w:p>
    <w:p>
      <w:pPr>
        <w:ind w:left="500"/>
        <w:spacing w:after="0"/>
        <w:rPr>
          <w:rFonts w:ascii="Arial" w:cs="Arial" w:eastAsia="Arial" w:hAnsi="Arial"/>
          <w:sz w:val="13"/>
          <w:szCs w:val="13"/>
          <w:i w:val="1"/>
          <w:iCs w:val="1"/>
          <w:color w:val="auto"/>
        </w:rPr>
      </w:pPr>
      <w:r>
        <w:rPr>
          <w:rFonts w:ascii="Arial" w:cs="Arial" w:eastAsia="Arial" w:hAnsi="Arial"/>
          <w:sz w:val="14"/>
          <w:szCs w:val="14"/>
          <w:color w:val="auto"/>
        </w:rPr>
        <w:t>In April 2011, Sempra Pipelines &amp; Storage increased its interests in Chile and Peru, as we discuss in Note 12.</w:t>
      </w:r>
    </w:p>
    <w:p>
      <w:pPr>
        <w:spacing w:after="0" w:line="149" w:lineRule="exact"/>
        <w:rPr>
          <w:rFonts w:ascii="Arial" w:cs="Arial" w:eastAsia="Arial" w:hAnsi="Arial"/>
          <w:sz w:val="13"/>
          <w:szCs w:val="13"/>
          <w:i w:val="1"/>
          <w:iCs w:val="1"/>
          <w:color w:val="auto"/>
        </w:rPr>
      </w:pPr>
    </w:p>
    <w:p>
      <w:pPr>
        <w:ind w:left="500" w:hanging="173"/>
        <w:spacing w:after="0"/>
        <w:tabs>
          <w:tab w:leader="none" w:pos="500" w:val="left"/>
        </w:tabs>
        <w:numPr>
          <w:ilvl w:val="0"/>
          <w:numId w:val="22"/>
        </w:numPr>
        <w:rPr>
          <w:rFonts w:ascii="Arial" w:cs="Arial" w:eastAsia="Arial" w:hAnsi="Arial"/>
          <w:sz w:val="11"/>
          <w:szCs w:val="11"/>
          <w:i w:val="1"/>
          <w:iCs w:val="1"/>
          <w:color w:val="auto"/>
        </w:rPr>
      </w:pPr>
      <w:r>
        <w:rPr>
          <w:rFonts w:ascii="Arial" w:cs="Arial" w:eastAsia="Arial" w:hAnsi="Arial"/>
          <w:sz w:val="11"/>
          <w:szCs w:val="11"/>
          <w:i w:val="1"/>
          <w:iCs w:val="1"/>
          <w:color w:val="auto"/>
        </w:rPr>
        <w:t xml:space="preserve">Sempra LNG </w:t>
      </w:r>
      <w:r>
        <w:rPr>
          <w:rFonts w:ascii="Arial" w:cs="Arial" w:eastAsia="Arial" w:hAnsi="Arial"/>
          <w:sz w:val="11"/>
          <w:szCs w:val="11"/>
          <w:color w:val="auto"/>
        </w:rPr>
        <w:t>develops, owns and operates receipt terminals for importing LNG into the U.S. and Mexico, and has supply and marketing agreements to purchase and sell LNG and natural gas.</w:t>
      </w:r>
    </w:p>
    <w:p>
      <w:pPr>
        <w:spacing w:after="0" w:line="225" w:lineRule="exact"/>
        <w:rPr>
          <w:sz w:val="20"/>
          <w:szCs w:val="20"/>
          <w:color w:val="auto"/>
        </w:rPr>
      </w:pPr>
    </w:p>
    <w:p>
      <w:pPr>
        <w:jc w:val="both"/>
        <w:ind w:right="300"/>
        <w:spacing w:after="0" w:line="256" w:lineRule="auto"/>
        <w:rPr>
          <w:sz w:val="20"/>
          <w:szCs w:val="20"/>
          <w:color w:val="auto"/>
        </w:rPr>
      </w:pPr>
      <w:r>
        <w:rPr>
          <w:rFonts w:ascii="Arial" w:cs="Arial" w:eastAsia="Arial" w:hAnsi="Arial"/>
          <w:sz w:val="14"/>
          <w:szCs w:val="14"/>
          <w:color w:val="auto"/>
        </w:rPr>
        <w:t>We evaluate each segment's performance based on its contribution to Sempra Energy's reported earnings. The Sempra Utilities operate in essentially separate service territories, under separate regulatory frameworks and rate structures set by the CPUC. The Sempra Utilities' operations are based on rates set by the CPUC and the FERC. We describe the accounting policies of our segments in Note 1 of the Notes to Consolidated Financial Statements in the Annual Report.</w:t>
      </w:r>
    </w:p>
    <w:p>
      <w:pPr>
        <w:spacing w:after="0" w:line="146"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color w:val="auto"/>
        </w:rPr>
        <w:t>Prior to 2011, our Sempra Commodities segment contained our investment in RBS Sempra Commodities LLP (RBS Sempra Commodities), which held commodities-marketing businesses previously owned by us. Our investment in the partnership is reported on the equity method. We and RBS, our partner in the joint venture, sold substantially all of the partnership’s businesses and assets in four separate transactions completed in July, November and December of 2010 and February of 2011. We discuss these transactions and other matters concerning the partnership in Note 4 above and in Note 4 of the Notes to Consolidated Financial Statements in the Annual Report.</w:t>
      </w:r>
    </w:p>
    <w:p>
      <w:pPr>
        <w:spacing w:after="0" w:line="148" w:lineRule="exact"/>
        <w:rPr>
          <w:sz w:val="20"/>
          <w:szCs w:val="20"/>
          <w:color w:val="auto"/>
        </w:rPr>
      </w:pPr>
    </w:p>
    <w:p>
      <w:pPr>
        <w:ind w:right="100"/>
        <w:spacing w:after="0" w:line="256" w:lineRule="auto"/>
        <w:rPr>
          <w:sz w:val="20"/>
          <w:szCs w:val="20"/>
          <w:color w:val="auto"/>
        </w:rPr>
      </w:pPr>
      <w:r>
        <w:rPr>
          <w:rFonts w:ascii="Arial" w:cs="Arial" w:eastAsia="Arial" w:hAnsi="Arial"/>
          <w:sz w:val="14"/>
          <w:szCs w:val="14"/>
          <w:color w:val="auto"/>
        </w:rPr>
        <w:t>The activity in the partnership no longer meets the quantitative thresholds that require Sempra Commodities to be reported as a reportable segment under applicable generally accepted accounting principles, and we do not consider the remaining wind-down activities of the partnership to be of continuing significance. As a result, effective January 1, 2011, we are reporting the former Sempra Commodities segment in "All other" in the following tables and have restated prior year information to be consistent with this treatment.</w:t>
      </w:r>
    </w:p>
    <w:p>
      <w:pPr>
        <w:spacing w:after="0" w:line="146"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color w:val="auto"/>
        </w:rPr>
        <w:t>Also, in the fourth quarter of 2010, we changed the composition of our reporting segments to include Sempra Rockies Marketing, which was previously included in the Sempra Commodities segment, in the Sempra Generation segment. We have revised segment disclosures for 2010 to reflect this.</w:t>
      </w:r>
    </w:p>
    <w:p>
      <w:pPr>
        <w:spacing w:after="0" w:line="138" w:lineRule="exact"/>
        <w:rPr>
          <w:sz w:val="20"/>
          <w:szCs w:val="20"/>
          <w:color w:val="auto"/>
        </w:rPr>
      </w:pPr>
    </w:p>
    <w:p>
      <w:pPr>
        <w:ind w:right="160"/>
        <w:spacing w:after="0" w:line="267" w:lineRule="auto"/>
        <w:rPr>
          <w:sz w:val="20"/>
          <w:szCs w:val="20"/>
          <w:color w:val="auto"/>
        </w:rPr>
      </w:pPr>
      <w:r>
        <w:rPr>
          <w:rFonts w:ascii="Arial" w:cs="Arial" w:eastAsia="Arial" w:hAnsi="Arial"/>
          <w:sz w:val="14"/>
          <w:szCs w:val="14"/>
          <w:color w:val="auto"/>
        </w:rPr>
        <w:t>The following tables show selected information by segment from our Condensed Consolidated Statements of Operations and Condensed Consolidated Balance Sheets. Amounts labeled as "All other" in the following tables consist primarily of parent organizations and the former commodities-marketing businesses.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(Dollars in millions)</w:t>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gridSpan w:val="3"/>
          </w:tcPr>
          <w:p>
            <w:pPr>
              <w:jc w:val="right"/>
              <w:ind w:right="258"/>
              <w:spacing w:after="0" w:line="121" w:lineRule="exact"/>
              <w:rPr>
                <w:sz w:val="20"/>
                <w:szCs w:val="20"/>
                <w:color w:val="auto"/>
              </w:rPr>
            </w:pPr>
            <w:r>
              <w:rPr>
                <w:rFonts w:ascii="Arial" w:cs="Arial" w:eastAsia="Arial" w:hAnsi="Arial"/>
                <w:sz w:val="11"/>
                <w:szCs w:val="11"/>
                <w:color w:val="auto"/>
              </w:rPr>
              <w:t>Three months ended March 31,</w:t>
            </w:r>
          </w:p>
        </w:tc>
        <w:tc>
          <w:tcPr>
            <w:tcW w:w="9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50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color w:val="auto"/>
              </w:rPr>
              <w:t>2011</w:t>
            </w:r>
          </w:p>
        </w:tc>
        <w:tc>
          <w:tcPr>
            <w:tcW w:w="6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color w:val="auto"/>
              </w:rPr>
              <w:t>2010</w:t>
            </w:r>
          </w:p>
        </w:tc>
        <w:tc>
          <w:tcPr>
            <w:tcW w:w="6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5080" w:type="dxa"/>
            <w:vAlign w:val="bottom"/>
          </w:tcPr>
          <w:p>
            <w:pPr>
              <w:spacing w:after="0" w:line="126" w:lineRule="exact"/>
              <w:rPr>
                <w:sz w:val="20"/>
                <w:szCs w:val="20"/>
                <w:color w:val="auto"/>
              </w:rPr>
            </w:pPr>
            <w:r>
              <w:rPr>
                <w:rFonts w:ascii="Arial" w:cs="Arial" w:eastAsia="Arial" w:hAnsi="Arial"/>
                <w:sz w:val="12"/>
                <w:szCs w:val="12"/>
                <w:color w:val="auto"/>
              </w:rPr>
              <w:t>REVENUES</w:t>
            </w:r>
          </w:p>
        </w:tc>
        <w:tc>
          <w:tcPr>
            <w:tcW w:w="7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60"/>
              <w:spacing w:after="0" w:line="134" w:lineRule="exact"/>
              <w:rPr>
                <w:sz w:val="20"/>
                <w:szCs w:val="20"/>
                <w:color w:val="auto"/>
              </w:rPr>
            </w:pPr>
            <w:r>
              <w:rPr>
                <w:rFonts w:ascii="Arial" w:cs="Arial" w:eastAsia="Arial" w:hAnsi="Arial"/>
                <w:sz w:val="12"/>
                <w:szCs w:val="12"/>
                <w:color w:val="auto"/>
              </w:rPr>
              <w:t>SDG&amp;E</w:t>
            </w:r>
          </w:p>
        </w:tc>
        <w:tc>
          <w:tcPr>
            <w:tcW w:w="740" w:type="dxa"/>
            <w:vAlign w:val="bottom"/>
          </w:tcPr>
          <w:p>
            <w:pPr>
              <w:jc w:val="right"/>
              <w:ind w:right="628"/>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840</w:t>
            </w:r>
          </w:p>
        </w:tc>
        <w:tc>
          <w:tcPr>
            <w:tcW w:w="640" w:type="dxa"/>
            <w:vAlign w:val="bottom"/>
          </w:tcPr>
          <w:p>
            <w:pPr>
              <w:jc w:val="right"/>
              <w:ind w:right="58"/>
              <w:spacing w:after="0" w:line="134" w:lineRule="exact"/>
              <w:rPr>
                <w:sz w:val="20"/>
                <w:szCs w:val="20"/>
                <w:color w:val="auto"/>
              </w:rPr>
            </w:pPr>
            <w:r>
              <w:rPr>
                <w:rFonts w:ascii="Arial" w:cs="Arial" w:eastAsia="Arial" w:hAnsi="Arial"/>
                <w:sz w:val="12"/>
                <w:szCs w:val="12"/>
                <w:color w:val="auto"/>
              </w:rPr>
              <w:t>35</w:t>
            </w:r>
          </w:p>
        </w:tc>
        <w:tc>
          <w:tcPr>
            <w:tcW w:w="260" w:type="dxa"/>
            <w:vAlign w:val="bottom"/>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1260" w:type="dxa"/>
            <w:vAlign w:val="bottom"/>
          </w:tcPr>
          <w:p>
            <w:pPr>
              <w:jc w:val="right"/>
              <w:ind w:right="1058"/>
              <w:spacing w:after="0" w:line="134"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742</w:t>
            </w:r>
          </w:p>
        </w:tc>
        <w:tc>
          <w:tcPr>
            <w:tcW w:w="660" w:type="dxa"/>
            <w:vAlign w:val="bottom"/>
          </w:tcPr>
          <w:p>
            <w:pPr>
              <w:jc w:val="right"/>
              <w:ind w:right="78"/>
              <w:spacing w:after="0" w:line="134" w:lineRule="exact"/>
              <w:rPr>
                <w:sz w:val="20"/>
                <w:szCs w:val="20"/>
                <w:color w:val="auto"/>
              </w:rPr>
            </w:pPr>
            <w:r>
              <w:rPr>
                <w:rFonts w:ascii="Arial" w:cs="Arial" w:eastAsia="Arial" w:hAnsi="Arial"/>
                <w:sz w:val="12"/>
                <w:szCs w:val="12"/>
                <w:color w:val="auto"/>
              </w:rPr>
              <w:t>29</w:t>
            </w:r>
          </w:p>
        </w:tc>
        <w:tc>
          <w:tcPr>
            <w:tcW w:w="460" w:type="dxa"/>
            <w:vAlign w:val="bottom"/>
          </w:tcPr>
          <w:p>
            <w:pPr>
              <w:jc w:val="right"/>
              <w:ind w:right="158"/>
              <w:spacing w:after="0" w:line="134" w:lineRule="exact"/>
              <w:rPr>
                <w:sz w:val="20"/>
                <w:szCs w:val="20"/>
                <w:color w:val="auto"/>
              </w:rPr>
            </w:pPr>
            <w:r>
              <w:rPr>
                <w:rFonts w:ascii="Arial" w:cs="Arial" w:eastAsia="Arial" w:hAnsi="Arial"/>
                <w:sz w:val="12"/>
                <w:szCs w:val="12"/>
                <w:color w:val="auto"/>
              </w:rPr>
              <w:t>%</w:t>
            </w:r>
          </w:p>
        </w:tc>
      </w:tr>
      <w:tr>
        <w:trPr>
          <w:trHeight w:val="134"/>
        </w:trPr>
        <w:tc>
          <w:tcPr>
            <w:tcW w:w="20" w:type="dxa"/>
            <w:vAlign w:val="bottom"/>
          </w:tcPr>
          <w:p>
            <w:pPr>
              <w:spacing w:after="0"/>
              <w:rPr>
                <w:sz w:val="11"/>
                <w:szCs w:val="11"/>
                <w:color w:val="auto"/>
              </w:rPr>
            </w:pPr>
          </w:p>
        </w:tc>
        <w:tc>
          <w:tcPr>
            <w:tcW w:w="5080" w:type="dxa"/>
            <w:vAlign w:val="bottom"/>
          </w:tcPr>
          <w:p>
            <w:pPr>
              <w:ind w:left="60"/>
              <w:spacing w:after="0" w:line="134" w:lineRule="exact"/>
              <w:rPr>
                <w:sz w:val="20"/>
                <w:szCs w:val="20"/>
                <w:color w:val="auto"/>
              </w:rPr>
            </w:pPr>
            <w:r>
              <w:rPr>
                <w:rFonts w:ascii="Arial" w:cs="Arial" w:eastAsia="Arial" w:hAnsi="Arial"/>
                <w:sz w:val="12"/>
                <w:szCs w:val="12"/>
                <w:color w:val="auto"/>
              </w:rPr>
              <w:t>SoCalGas</w:t>
            </w:r>
          </w:p>
        </w:tc>
        <w:tc>
          <w:tcPr>
            <w:tcW w:w="740" w:type="dxa"/>
            <w:vAlign w:val="bottom"/>
          </w:tcPr>
          <w:p>
            <w:pPr>
              <w:spacing w:after="0"/>
              <w:rPr>
                <w:sz w:val="11"/>
                <w:szCs w:val="11"/>
                <w:color w:val="auto"/>
              </w:rPr>
            </w:pPr>
          </w:p>
        </w:tc>
        <w:tc>
          <w:tcPr>
            <w:tcW w:w="138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1,056</w:t>
            </w:r>
          </w:p>
        </w:tc>
        <w:tc>
          <w:tcPr>
            <w:tcW w:w="640" w:type="dxa"/>
            <w:vAlign w:val="bottom"/>
          </w:tcPr>
          <w:p>
            <w:pPr>
              <w:jc w:val="right"/>
              <w:ind w:right="58"/>
              <w:spacing w:after="0" w:line="134" w:lineRule="exact"/>
              <w:rPr>
                <w:sz w:val="20"/>
                <w:szCs w:val="20"/>
                <w:color w:val="auto"/>
              </w:rPr>
            </w:pPr>
            <w:r>
              <w:rPr>
                <w:rFonts w:ascii="Arial" w:cs="Arial" w:eastAsia="Arial" w:hAnsi="Arial"/>
                <w:sz w:val="12"/>
                <w:szCs w:val="12"/>
                <w:color w:val="auto"/>
              </w:rPr>
              <w:t>43</w:t>
            </w: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1,182</w:t>
            </w:r>
          </w:p>
        </w:tc>
        <w:tc>
          <w:tcPr>
            <w:tcW w:w="660" w:type="dxa"/>
            <w:vAlign w:val="bottom"/>
          </w:tcPr>
          <w:p>
            <w:pPr>
              <w:jc w:val="right"/>
              <w:ind w:right="78"/>
              <w:spacing w:after="0" w:line="134" w:lineRule="exact"/>
              <w:rPr>
                <w:sz w:val="20"/>
                <w:szCs w:val="20"/>
                <w:color w:val="auto"/>
              </w:rPr>
            </w:pPr>
            <w:r>
              <w:rPr>
                <w:rFonts w:ascii="Arial" w:cs="Arial" w:eastAsia="Arial" w:hAnsi="Arial"/>
                <w:sz w:val="12"/>
                <w:szCs w:val="12"/>
                <w:color w:val="auto"/>
              </w:rPr>
              <w:t>47</w:t>
            </w:r>
          </w:p>
        </w:tc>
        <w:tc>
          <w:tcPr>
            <w:tcW w:w="46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60"/>
              <w:spacing w:after="0" w:line="134" w:lineRule="exact"/>
              <w:rPr>
                <w:sz w:val="20"/>
                <w:szCs w:val="20"/>
                <w:color w:val="auto"/>
              </w:rPr>
            </w:pPr>
            <w:r>
              <w:rPr>
                <w:rFonts w:ascii="Arial" w:cs="Arial" w:eastAsia="Arial" w:hAnsi="Arial"/>
                <w:sz w:val="12"/>
                <w:szCs w:val="12"/>
                <w:color w:val="auto"/>
              </w:rPr>
              <w:t>Sempra Generation</w:t>
            </w:r>
          </w:p>
        </w:tc>
        <w:tc>
          <w:tcPr>
            <w:tcW w:w="740" w:type="dxa"/>
            <w:vAlign w:val="bottom"/>
          </w:tcPr>
          <w:p>
            <w:pPr>
              <w:spacing w:after="0"/>
              <w:rPr>
                <w:sz w:val="11"/>
                <w:szCs w:val="11"/>
                <w:color w:val="auto"/>
              </w:rPr>
            </w:pPr>
          </w:p>
        </w:tc>
        <w:tc>
          <w:tcPr>
            <w:tcW w:w="138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269</w:t>
            </w:r>
          </w:p>
        </w:tc>
        <w:tc>
          <w:tcPr>
            <w:tcW w:w="64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11</w:t>
            </w: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318</w:t>
            </w:r>
          </w:p>
        </w:tc>
        <w:tc>
          <w:tcPr>
            <w:tcW w:w="660" w:type="dxa"/>
            <w:vAlign w:val="bottom"/>
          </w:tcPr>
          <w:p>
            <w:pPr>
              <w:jc w:val="right"/>
              <w:ind w:right="78"/>
              <w:spacing w:after="0" w:line="134" w:lineRule="exact"/>
              <w:rPr>
                <w:sz w:val="20"/>
                <w:szCs w:val="20"/>
                <w:color w:val="auto"/>
              </w:rPr>
            </w:pPr>
            <w:r>
              <w:rPr>
                <w:rFonts w:ascii="Arial" w:cs="Arial" w:eastAsia="Arial" w:hAnsi="Arial"/>
                <w:sz w:val="12"/>
                <w:szCs w:val="12"/>
                <w:color w:val="auto"/>
              </w:rPr>
              <w:t>13</w:t>
            </w:r>
          </w:p>
        </w:tc>
        <w:tc>
          <w:tcPr>
            <w:tcW w:w="46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60"/>
              <w:spacing w:after="0" w:line="134" w:lineRule="exact"/>
              <w:rPr>
                <w:sz w:val="20"/>
                <w:szCs w:val="20"/>
                <w:color w:val="auto"/>
              </w:rPr>
            </w:pPr>
            <w:r>
              <w:rPr>
                <w:rFonts w:ascii="Arial" w:cs="Arial" w:eastAsia="Arial" w:hAnsi="Arial"/>
                <w:sz w:val="12"/>
                <w:szCs w:val="12"/>
                <w:color w:val="auto"/>
              </w:rPr>
              <w:t>Sempra Pipelines &amp; Storage</w:t>
            </w:r>
          </w:p>
        </w:tc>
        <w:tc>
          <w:tcPr>
            <w:tcW w:w="740" w:type="dxa"/>
            <w:vAlign w:val="bottom"/>
          </w:tcPr>
          <w:p>
            <w:pPr>
              <w:spacing w:after="0"/>
              <w:rPr>
                <w:sz w:val="11"/>
                <w:szCs w:val="11"/>
                <w:color w:val="auto"/>
              </w:rPr>
            </w:pPr>
          </w:p>
        </w:tc>
        <w:tc>
          <w:tcPr>
            <w:tcW w:w="138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109</w:t>
            </w:r>
          </w:p>
        </w:tc>
        <w:tc>
          <w:tcPr>
            <w:tcW w:w="640" w:type="dxa"/>
            <w:vAlign w:val="bottom"/>
          </w:tcPr>
          <w:p>
            <w:pPr>
              <w:jc w:val="right"/>
              <w:ind w:right="58"/>
              <w:spacing w:after="0" w:line="134" w:lineRule="exact"/>
              <w:rPr>
                <w:sz w:val="20"/>
                <w:szCs w:val="20"/>
                <w:color w:val="auto"/>
              </w:rPr>
            </w:pPr>
            <w:r>
              <w:rPr>
                <w:rFonts w:ascii="Arial" w:cs="Arial" w:eastAsia="Arial" w:hAnsi="Arial"/>
                <w:sz w:val="12"/>
                <w:szCs w:val="12"/>
                <w:color w:val="auto"/>
              </w:rPr>
              <w:t>4</w:t>
            </w: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110</w:t>
            </w:r>
          </w:p>
        </w:tc>
        <w:tc>
          <w:tcPr>
            <w:tcW w:w="660" w:type="dxa"/>
            <w:vAlign w:val="bottom"/>
          </w:tcPr>
          <w:p>
            <w:pPr>
              <w:jc w:val="right"/>
              <w:ind w:right="78"/>
              <w:spacing w:after="0" w:line="134" w:lineRule="exact"/>
              <w:rPr>
                <w:sz w:val="20"/>
                <w:szCs w:val="20"/>
                <w:color w:val="auto"/>
              </w:rPr>
            </w:pPr>
            <w:r>
              <w:rPr>
                <w:rFonts w:ascii="Arial" w:cs="Arial" w:eastAsia="Arial" w:hAnsi="Arial"/>
                <w:sz w:val="12"/>
                <w:szCs w:val="12"/>
                <w:color w:val="auto"/>
              </w:rPr>
              <w:t>4</w:t>
            </w:r>
          </w:p>
        </w:tc>
        <w:tc>
          <w:tcPr>
            <w:tcW w:w="46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60"/>
              <w:spacing w:after="0" w:line="134" w:lineRule="exact"/>
              <w:rPr>
                <w:sz w:val="20"/>
                <w:szCs w:val="20"/>
                <w:color w:val="auto"/>
              </w:rPr>
            </w:pPr>
            <w:r>
              <w:rPr>
                <w:rFonts w:ascii="Arial" w:cs="Arial" w:eastAsia="Arial" w:hAnsi="Arial"/>
                <w:sz w:val="12"/>
                <w:szCs w:val="12"/>
                <w:color w:val="auto"/>
              </w:rPr>
              <w:t>Sempra LNG</w:t>
            </w:r>
          </w:p>
        </w:tc>
        <w:tc>
          <w:tcPr>
            <w:tcW w:w="740" w:type="dxa"/>
            <w:vAlign w:val="bottom"/>
          </w:tcPr>
          <w:p>
            <w:pPr>
              <w:spacing w:after="0"/>
              <w:rPr>
                <w:sz w:val="11"/>
                <w:szCs w:val="11"/>
                <w:color w:val="auto"/>
              </w:rPr>
            </w:pPr>
          </w:p>
        </w:tc>
        <w:tc>
          <w:tcPr>
            <w:tcW w:w="138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186</w:t>
            </w:r>
          </w:p>
        </w:tc>
        <w:tc>
          <w:tcPr>
            <w:tcW w:w="640" w:type="dxa"/>
            <w:vAlign w:val="bottom"/>
          </w:tcPr>
          <w:p>
            <w:pPr>
              <w:jc w:val="right"/>
              <w:ind w:right="58"/>
              <w:spacing w:after="0" w:line="134" w:lineRule="exact"/>
              <w:rPr>
                <w:sz w:val="20"/>
                <w:szCs w:val="20"/>
                <w:color w:val="auto"/>
              </w:rPr>
            </w:pPr>
            <w:r>
              <w:rPr>
                <w:rFonts w:ascii="Arial" w:cs="Arial" w:eastAsia="Arial" w:hAnsi="Arial"/>
                <w:sz w:val="12"/>
                <w:szCs w:val="12"/>
                <w:color w:val="auto"/>
              </w:rPr>
              <w:t>8</w:t>
            </w: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205</w:t>
            </w:r>
          </w:p>
        </w:tc>
        <w:tc>
          <w:tcPr>
            <w:tcW w:w="660" w:type="dxa"/>
            <w:vAlign w:val="bottom"/>
          </w:tcPr>
          <w:p>
            <w:pPr>
              <w:jc w:val="right"/>
              <w:ind w:right="78"/>
              <w:spacing w:after="0" w:line="134" w:lineRule="exact"/>
              <w:rPr>
                <w:sz w:val="20"/>
                <w:szCs w:val="20"/>
                <w:color w:val="auto"/>
              </w:rPr>
            </w:pPr>
            <w:r>
              <w:rPr>
                <w:rFonts w:ascii="Arial" w:cs="Arial" w:eastAsia="Arial" w:hAnsi="Arial"/>
                <w:sz w:val="12"/>
                <w:szCs w:val="12"/>
                <w:color w:val="auto"/>
              </w:rPr>
              <w:t>8</w:t>
            </w:r>
          </w:p>
        </w:tc>
        <w:tc>
          <w:tcPr>
            <w:tcW w:w="46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40"/>
              <w:spacing w:after="0" w:line="134" w:lineRule="exact"/>
              <w:rPr>
                <w:sz w:val="20"/>
                <w:szCs w:val="20"/>
                <w:color w:val="auto"/>
              </w:rPr>
            </w:pPr>
            <w:r>
              <w:rPr>
                <w:rFonts w:ascii="Arial" w:cs="Arial" w:eastAsia="Arial" w:hAnsi="Arial"/>
                <w:sz w:val="12"/>
                <w:szCs w:val="12"/>
                <w:color w:val="auto"/>
              </w:rPr>
              <w:t>Adjustments and eliminations</w:t>
            </w:r>
          </w:p>
        </w:tc>
        <w:tc>
          <w:tcPr>
            <w:tcW w:w="740" w:type="dxa"/>
            <w:vAlign w:val="bottom"/>
          </w:tcPr>
          <w:p>
            <w:pPr>
              <w:spacing w:after="0"/>
              <w:rPr>
                <w:sz w:val="11"/>
                <w:szCs w:val="11"/>
                <w:color w:val="auto"/>
              </w:rPr>
            </w:pPr>
          </w:p>
        </w:tc>
        <w:tc>
          <w:tcPr>
            <w:tcW w:w="138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58"/>
              <w:spacing w:after="0" w:line="134"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3</w:t>
            </w:r>
          </w:p>
        </w:tc>
        <w:tc>
          <w:tcPr>
            <w:tcW w:w="660" w:type="dxa"/>
            <w:vAlign w:val="bottom"/>
          </w:tcPr>
          <w:p>
            <w:pPr>
              <w:jc w:val="right"/>
              <w:ind w:right="78"/>
              <w:spacing w:after="0" w:line="134"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5080" w:type="dxa"/>
            <w:vAlign w:val="bottom"/>
          </w:tcPr>
          <w:p>
            <w:pPr>
              <w:ind w:left="60"/>
              <w:spacing w:after="0"/>
              <w:rPr>
                <w:sz w:val="20"/>
                <w:szCs w:val="20"/>
                <w:color w:val="auto"/>
              </w:rPr>
            </w:pPr>
            <w:r>
              <w:rPr>
                <w:rFonts w:ascii="Arial" w:cs="Arial" w:eastAsia="Arial" w:hAnsi="Arial"/>
                <w:sz w:val="12"/>
                <w:szCs w:val="12"/>
                <w:color w:val="auto"/>
              </w:rPr>
              <w:t>Intersegment revenues(1)</w:t>
            </w:r>
          </w:p>
        </w:tc>
        <w:tc>
          <w:tcPr>
            <w:tcW w:w="7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(26)</w:t>
            </w: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w:t>
            </w:r>
          </w:p>
        </w:tc>
        <w:tc>
          <w:tcPr>
            <w:tcW w:w="2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(26)</w:t>
            </w:r>
          </w:p>
        </w:tc>
        <w:tc>
          <w:tcPr>
            <w:tcW w:w="6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w:t>
            </w:r>
          </w:p>
        </w:tc>
        <w:tc>
          <w:tcPr>
            <w:tcW w:w="460" w:type="dxa"/>
            <w:vAlign w:val="bottom"/>
            <w:tcBorders>
              <w:bottom w:val="single" w:sz="8" w:color="auto"/>
            </w:tcBorders>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5080" w:type="dxa"/>
            <w:vAlign w:val="bottom"/>
            <w:tcBorders>
              <w:bottom w:val="single" w:sz="8" w:color="auto"/>
            </w:tcBorders>
          </w:tcPr>
          <w:p>
            <w:pPr>
              <w:ind w:left="180"/>
              <w:spacing w:after="0" w:line="134" w:lineRule="exact"/>
              <w:rPr>
                <w:sz w:val="20"/>
                <w:szCs w:val="20"/>
                <w:color w:val="auto"/>
              </w:rPr>
            </w:pPr>
            <w:r>
              <w:rPr>
                <w:rFonts w:ascii="Arial" w:cs="Arial" w:eastAsia="Arial" w:hAnsi="Arial"/>
                <w:sz w:val="12"/>
                <w:szCs w:val="12"/>
                <w:color w:val="auto"/>
              </w:rPr>
              <w:t>Total</w:t>
            </w:r>
          </w:p>
        </w:tc>
        <w:tc>
          <w:tcPr>
            <w:tcW w:w="740" w:type="dxa"/>
            <w:vAlign w:val="bottom"/>
            <w:tcBorders>
              <w:bottom w:val="single" w:sz="8" w:color="auto"/>
            </w:tcBorders>
          </w:tcPr>
          <w:p>
            <w:pPr>
              <w:jc w:val="right"/>
              <w:ind w:right="628"/>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ind w:right="258"/>
              <w:spacing w:after="0" w:line="134" w:lineRule="exact"/>
              <w:rPr>
                <w:sz w:val="20"/>
                <w:szCs w:val="20"/>
                <w:color w:val="auto"/>
              </w:rPr>
            </w:pPr>
            <w:r>
              <w:rPr>
                <w:rFonts w:ascii="Arial" w:cs="Arial" w:eastAsia="Arial" w:hAnsi="Arial"/>
                <w:sz w:val="12"/>
                <w:szCs w:val="12"/>
                <w:color w:val="auto"/>
              </w:rPr>
              <w:t>2,434</w:t>
            </w:r>
          </w:p>
        </w:tc>
        <w:tc>
          <w:tcPr>
            <w:tcW w:w="640" w:type="dxa"/>
            <w:vAlign w:val="bottom"/>
            <w:tcBorders>
              <w:bottom w:val="single" w:sz="8" w:color="auto"/>
            </w:tcBorders>
          </w:tcPr>
          <w:p>
            <w:pPr>
              <w:jc w:val="right"/>
              <w:ind w:right="58"/>
              <w:spacing w:after="0" w:line="134" w:lineRule="exact"/>
              <w:rPr>
                <w:sz w:val="20"/>
                <w:szCs w:val="20"/>
                <w:color w:val="auto"/>
              </w:rPr>
            </w:pPr>
            <w:r>
              <w:rPr>
                <w:rFonts w:ascii="Arial" w:cs="Arial" w:eastAsia="Arial" w:hAnsi="Arial"/>
                <w:sz w:val="12"/>
                <w:szCs w:val="12"/>
                <w:color w:val="auto"/>
              </w:rPr>
              <w:t>100</w:t>
            </w:r>
          </w:p>
        </w:tc>
        <w:tc>
          <w:tcPr>
            <w:tcW w:w="260" w:type="dxa"/>
            <w:vAlign w:val="bottom"/>
            <w:tcBorders>
              <w:bottom w:val="single" w:sz="8" w:color="auto"/>
            </w:tcBorders>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1260" w:type="dxa"/>
            <w:vAlign w:val="bottom"/>
            <w:tcBorders>
              <w:bottom w:val="single" w:sz="8" w:color="auto"/>
            </w:tcBorders>
          </w:tcPr>
          <w:p>
            <w:pPr>
              <w:jc w:val="right"/>
              <w:ind w:right="1058"/>
              <w:spacing w:after="0" w:line="134" w:lineRule="exact"/>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278"/>
              <w:spacing w:after="0" w:line="134" w:lineRule="exact"/>
              <w:rPr>
                <w:sz w:val="20"/>
                <w:szCs w:val="20"/>
                <w:color w:val="auto"/>
              </w:rPr>
            </w:pPr>
            <w:r>
              <w:rPr>
                <w:rFonts w:ascii="Arial" w:cs="Arial" w:eastAsia="Arial" w:hAnsi="Arial"/>
                <w:sz w:val="12"/>
                <w:szCs w:val="12"/>
                <w:color w:val="auto"/>
              </w:rPr>
              <w:t>2,534</w:t>
            </w:r>
          </w:p>
        </w:tc>
        <w:tc>
          <w:tcPr>
            <w:tcW w:w="660" w:type="dxa"/>
            <w:vAlign w:val="bottom"/>
            <w:tcBorders>
              <w:bottom w:val="single" w:sz="8" w:color="auto"/>
            </w:tcBorders>
          </w:tcPr>
          <w:p>
            <w:pPr>
              <w:jc w:val="right"/>
              <w:ind w:right="78"/>
              <w:spacing w:after="0" w:line="134" w:lineRule="exact"/>
              <w:rPr>
                <w:sz w:val="20"/>
                <w:szCs w:val="20"/>
                <w:color w:val="auto"/>
              </w:rPr>
            </w:pPr>
            <w:r>
              <w:rPr>
                <w:rFonts w:ascii="Arial" w:cs="Arial" w:eastAsia="Arial" w:hAnsi="Arial"/>
                <w:sz w:val="12"/>
                <w:szCs w:val="12"/>
                <w:color w:val="auto"/>
              </w:rPr>
              <w:t>100</w:t>
            </w:r>
          </w:p>
        </w:tc>
        <w:tc>
          <w:tcPr>
            <w:tcW w:w="460" w:type="dxa"/>
            <w:vAlign w:val="bottom"/>
            <w:tcBorders>
              <w:bottom w:val="single" w:sz="8" w:color="auto"/>
            </w:tcBorders>
          </w:tcPr>
          <w:p>
            <w:pPr>
              <w:jc w:val="right"/>
              <w:ind w:right="158"/>
              <w:spacing w:after="0" w:line="134" w:lineRule="exact"/>
              <w:rPr>
                <w:sz w:val="20"/>
                <w:szCs w:val="20"/>
                <w:color w:val="auto"/>
              </w:rPr>
            </w:pPr>
            <w:r>
              <w:rPr>
                <w:rFonts w:ascii="Arial" w:cs="Arial" w:eastAsia="Arial" w:hAnsi="Arial"/>
                <w:sz w:val="12"/>
                <w:szCs w:val="12"/>
                <w:color w:val="auto"/>
              </w:rPr>
              <w:t>%</w:t>
            </w:r>
          </w:p>
        </w:tc>
      </w:tr>
      <w:tr>
        <w:trPr>
          <w:trHeight w:val="125"/>
        </w:trPr>
        <w:tc>
          <w:tcPr>
            <w:tcW w:w="20" w:type="dxa"/>
            <w:vAlign w:val="bottom"/>
          </w:tcPr>
          <w:p>
            <w:pPr>
              <w:spacing w:after="0"/>
              <w:rPr>
                <w:sz w:val="10"/>
                <w:szCs w:val="10"/>
                <w:color w:val="auto"/>
              </w:rPr>
            </w:pPr>
          </w:p>
        </w:tc>
        <w:tc>
          <w:tcPr>
            <w:tcW w:w="5080" w:type="dxa"/>
            <w:vAlign w:val="bottom"/>
          </w:tcPr>
          <w:p>
            <w:pPr>
              <w:spacing w:after="0" w:line="126" w:lineRule="exact"/>
              <w:rPr>
                <w:sz w:val="20"/>
                <w:szCs w:val="20"/>
                <w:color w:val="auto"/>
              </w:rPr>
            </w:pPr>
            <w:r>
              <w:rPr>
                <w:rFonts w:ascii="Arial" w:cs="Arial" w:eastAsia="Arial" w:hAnsi="Arial"/>
                <w:sz w:val="12"/>
                <w:szCs w:val="12"/>
                <w:color w:val="auto"/>
              </w:rPr>
              <w:t>INTEREST EXPENSE</w:t>
            </w:r>
          </w:p>
        </w:tc>
        <w:tc>
          <w:tcPr>
            <w:tcW w:w="7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60"/>
              <w:spacing w:after="0" w:line="134" w:lineRule="exact"/>
              <w:rPr>
                <w:sz w:val="20"/>
                <w:szCs w:val="20"/>
                <w:color w:val="auto"/>
              </w:rPr>
            </w:pPr>
            <w:r>
              <w:rPr>
                <w:rFonts w:ascii="Arial" w:cs="Arial" w:eastAsia="Arial" w:hAnsi="Arial"/>
                <w:sz w:val="12"/>
                <w:szCs w:val="12"/>
                <w:color w:val="auto"/>
              </w:rPr>
              <w:t>SDG&amp;E</w:t>
            </w:r>
          </w:p>
        </w:tc>
        <w:tc>
          <w:tcPr>
            <w:tcW w:w="740" w:type="dxa"/>
            <w:vAlign w:val="bottom"/>
          </w:tcPr>
          <w:p>
            <w:pPr>
              <w:jc w:val="right"/>
              <w:ind w:right="628"/>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36</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right"/>
              <w:ind w:right="1058"/>
              <w:spacing w:after="0" w:line="134"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31</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60"/>
              <w:spacing w:after="0" w:line="134" w:lineRule="exact"/>
              <w:rPr>
                <w:sz w:val="20"/>
                <w:szCs w:val="20"/>
                <w:color w:val="auto"/>
              </w:rPr>
            </w:pPr>
            <w:r>
              <w:rPr>
                <w:rFonts w:ascii="Arial" w:cs="Arial" w:eastAsia="Arial" w:hAnsi="Arial"/>
                <w:sz w:val="12"/>
                <w:szCs w:val="12"/>
                <w:color w:val="auto"/>
              </w:rPr>
              <w:t>SoCalGas</w:t>
            </w:r>
          </w:p>
        </w:tc>
        <w:tc>
          <w:tcPr>
            <w:tcW w:w="740" w:type="dxa"/>
            <w:vAlign w:val="bottom"/>
          </w:tcPr>
          <w:p>
            <w:pPr>
              <w:spacing w:after="0"/>
              <w:rPr>
                <w:sz w:val="11"/>
                <w:szCs w:val="11"/>
                <w:color w:val="auto"/>
              </w:rPr>
            </w:pPr>
          </w:p>
        </w:tc>
        <w:tc>
          <w:tcPr>
            <w:tcW w:w="138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17</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17</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60"/>
              <w:spacing w:after="0" w:line="134" w:lineRule="exact"/>
              <w:rPr>
                <w:sz w:val="20"/>
                <w:szCs w:val="20"/>
                <w:color w:val="auto"/>
              </w:rPr>
            </w:pPr>
            <w:r>
              <w:rPr>
                <w:rFonts w:ascii="Arial" w:cs="Arial" w:eastAsia="Arial" w:hAnsi="Arial"/>
                <w:sz w:val="12"/>
                <w:szCs w:val="12"/>
                <w:color w:val="auto"/>
              </w:rPr>
              <w:t>Sempra Generation</w:t>
            </w:r>
          </w:p>
        </w:tc>
        <w:tc>
          <w:tcPr>
            <w:tcW w:w="740" w:type="dxa"/>
            <w:vAlign w:val="bottom"/>
          </w:tcPr>
          <w:p>
            <w:pPr>
              <w:spacing w:after="0"/>
              <w:rPr>
                <w:sz w:val="11"/>
                <w:szCs w:val="11"/>
                <w:color w:val="auto"/>
              </w:rPr>
            </w:pPr>
          </w:p>
        </w:tc>
        <w:tc>
          <w:tcPr>
            <w:tcW w:w="138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2</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4</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60"/>
              <w:spacing w:after="0" w:line="134" w:lineRule="exact"/>
              <w:rPr>
                <w:sz w:val="20"/>
                <w:szCs w:val="20"/>
                <w:color w:val="auto"/>
              </w:rPr>
            </w:pPr>
            <w:r>
              <w:rPr>
                <w:rFonts w:ascii="Arial" w:cs="Arial" w:eastAsia="Arial" w:hAnsi="Arial"/>
                <w:sz w:val="12"/>
                <w:szCs w:val="12"/>
                <w:color w:val="auto"/>
              </w:rPr>
              <w:t>Sempra Pipelines &amp; Storage</w:t>
            </w:r>
          </w:p>
        </w:tc>
        <w:tc>
          <w:tcPr>
            <w:tcW w:w="740" w:type="dxa"/>
            <w:vAlign w:val="bottom"/>
          </w:tcPr>
          <w:p>
            <w:pPr>
              <w:spacing w:after="0"/>
              <w:rPr>
                <w:sz w:val="11"/>
                <w:szCs w:val="11"/>
                <w:color w:val="auto"/>
              </w:rPr>
            </w:pPr>
          </w:p>
        </w:tc>
        <w:tc>
          <w:tcPr>
            <w:tcW w:w="138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8</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9</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60"/>
              <w:spacing w:after="0" w:line="134" w:lineRule="exact"/>
              <w:rPr>
                <w:sz w:val="20"/>
                <w:szCs w:val="20"/>
                <w:color w:val="auto"/>
              </w:rPr>
            </w:pPr>
            <w:r>
              <w:rPr>
                <w:rFonts w:ascii="Arial" w:cs="Arial" w:eastAsia="Arial" w:hAnsi="Arial"/>
                <w:sz w:val="12"/>
                <w:szCs w:val="12"/>
                <w:color w:val="auto"/>
              </w:rPr>
              <w:t>Sempra LNG</w:t>
            </w:r>
          </w:p>
        </w:tc>
        <w:tc>
          <w:tcPr>
            <w:tcW w:w="740" w:type="dxa"/>
            <w:vAlign w:val="bottom"/>
          </w:tcPr>
          <w:p>
            <w:pPr>
              <w:spacing w:after="0"/>
              <w:rPr>
                <w:sz w:val="11"/>
                <w:szCs w:val="11"/>
                <w:color w:val="auto"/>
              </w:rPr>
            </w:pPr>
          </w:p>
        </w:tc>
        <w:tc>
          <w:tcPr>
            <w:tcW w:w="138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11</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12</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40"/>
              <w:spacing w:after="0" w:line="134" w:lineRule="exact"/>
              <w:rPr>
                <w:sz w:val="20"/>
                <w:szCs w:val="20"/>
                <w:color w:val="auto"/>
              </w:rPr>
            </w:pPr>
            <w:r>
              <w:rPr>
                <w:rFonts w:ascii="Arial" w:cs="Arial" w:eastAsia="Arial" w:hAnsi="Arial"/>
                <w:sz w:val="12"/>
                <w:szCs w:val="12"/>
                <w:color w:val="auto"/>
              </w:rPr>
              <w:t>All other</w:t>
            </w:r>
          </w:p>
        </w:tc>
        <w:tc>
          <w:tcPr>
            <w:tcW w:w="740" w:type="dxa"/>
            <w:vAlign w:val="bottom"/>
          </w:tcPr>
          <w:p>
            <w:pPr>
              <w:spacing w:after="0"/>
              <w:rPr>
                <w:sz w:val="11"/>
                <w:szCs w:val="11"/>
                <w:color w:val="auto"/>
              </w:rPr>
            </w:pPr>
          </w:p>
        </w:tc>
        <w:tc>
          <w:tcPr>
            <w:tcW w:w="138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67</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88</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5080" w:type="dxa"/>
            <w:vAlign w:val="bottom"/>
          </w:tcPr>
          <w:p>
            <w:pPr>
              <w:ind w:left="60"/>
              <w:spacing w:after="0"/>
              <w:rPr>
                <w:sz w:val="20"/>
                <w:szCs w:val="20"/>
                <w:color w:val="auto"/>
              </w:rPr>
            </w:pPr>
            <w:r>
              <w:rPr>
                <w:rFonts w:ascii="Arial" w:cs="Arial" w:eastAsia="Arial" w:hAnsi="Arial"/>
                <w:sz w:val="12"/>
                <w:szCs w:val="12"/>
                <w:color w:val="auto"/>
              </w:rPr>
              <w:t>Intercompany eliminations</w:t>
            </w:r>
          </w:p>
        </w:tc>
        <w:tc>
          <w:tcPr>
            <w:tcW w:w="7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(33)</w:t>
            </w:r>
          </w:p>
        </w:tc>
        <w:tc>
          <w:tcPr>
            <w:tcW w:w="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(52)</w:t>
            </w:r>
          </w:p>
        </w:tc>
        <w:tc>
          <w:tcPr>
            <w:tcW w:w="6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5080" w:type="dxa"/>
            <w:vAlign w:val="bottom"/>
            <w:tcBorders>
              <w:bottom w:val="single" w:sz="8" w:color="auto"/>
            </w:tcBorders>
          </w:tcPr>
          <w:p>
            <w:pPr>
              <w:ind w:left="180"/>
              <w:spacing w:after="0" w:line="134" w:lineRule="exact"/>
              <w:rPr>
                <w:sz w:val="20"/>
                <w:szCs w:val="20"/>
                <w:color w:val="auto"/>
              </w:rPr>
            </w:pPr>
            <w:r>
              <w:rPr>
                <w:rFonts w:ascii="Arial" w:cs="Arial" w:eastAsia="Arial" w:hAnsi="Arial"/>
                <w:sz w:val="12"/>
                <w:szCs w:val="12"/>
                <w:color w:val="auto"/>
              </w:rPr>
              <w:t>Total</w:t>
            </w:r>
          </w:p>
        </w:tc>
        <w:tc>
          <w:tcPr>
            <w:tcW w:w="740" w:type="dxa"/>
            <w:vAlign w:val="bottom"/>
            <w:tcBorders>
              <w:bottom w:val="single" w:sz="8" w:color="auto"/>
            </w:tcBorders>
          </w:tcPr>
          <w:p>
            <w:pPr>
              <w:jc w:val="right"/>
              <w:ind w:right="628"/>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ind w:right="258"/>
              <w:spacing w:after="0" w:line="134" w:lineRule="exact"/>
              <w:rPr>
                <w:sz w:val="20"/>
                <w:szCs w:val="20"/>
                <w:color w:val="auto"/>
              </w:rPr>
            </w:pPr>
            <w:r>
              <w:rPr>
                <w:rFonts w:ascii="Arial" w:cs="Arial" w:eastAsia="Arial" w:hAnsi="Arial"/>
                <w:sz w:val="12"/>
                <w:szCs w:val="12"/>
                <w:color w:val="auto"/>
              </w:rPr>
              <w:t>108</w:t>
            </w:r>
          </w:p>
        </w:tc>
        <w:tc>
          <w:tcPr>
            <w:tcW w:w="6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1058"/>
              <w:spacing w:after="0" w:line="134" w:lineRule="exact"/>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278"/>
              <w:spacing w:after="0" w:line="134" w:lineRule="exact"/>
              <w:rPr>
                <w:sz w:val="20"/>
                <w:szCs w:val="20"/>
                <w:color w:val="auto"/>
              </w:rPr>
            </w:pPr>
            <w:r>
              <w:rPr>
                <w:rFonts w:ascii="Arial" w:cs="Arial" w:eastAsia="Arial" w:hAnsi="Arial"/>
                <w:sz w:val="12"/>
                <w:szCs w:val="12"/>
                <w:color w:val="auto"/>
              </w:rPr>
              <w:t>109</w:t>
            </w:r>
          </w:p>
        </w:tc>
        <w:tc>
          <w:tcPr>
            <w:tcW w:w="6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5080" w:type="dxa"/>
            <w:vAlign w:val="bottom"/>
          </w:tcPr>
          <w:p>
            <w:pPr>
              <w:spacing w:after="0" w:line="126" w:lineRule="exact"/>
              <w:rPr>
                <w:sz w:val="20"/>
                <w:szCs w:val="20"/>
                <w:color w:val="auto"/>
              </w:rPr>
            </w:pPr>
            <w:r>
              <w:rPr>
                <w:rFonts w:ascii="Arial" w:cs="Arial" w:eastAsia="Arial" w:hAnsi="Arial"/>
                <w:sz w:val="12"/>
                <w:szCs w:val="12"/>
                <w:color w:val="auto"/>
              </w:rPr>
              <w:t>INTEREST INCOME</w:t>
            </w:r>
          </w:p>
        </w:tc>
        <w:tc>
          <w:tcPr>
            <w:tcW w:w="7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60"/>
              <w:spacing w:after="0" w:line="134" w:lineRule="exact"/>
              <w:rPr>
                <w:sz w:val="20"/>
                <w:szCs w:val="20"/>
                <w:color w:val="auto"/>
              </w:rPr>
            </w:pPr>
            <w:r>
              <w:rPr>
                <w:rFonts w:ascii="Arial" w:cs="Arial" w:eastAsia="Arial" w:hAnsi="Arial"/>
                <w:sz w:val="12"/>
                <w:szCs w:val="12"/>
                <w:color w:val="auto"/>
              </w:rPr>
              <w:t>Sempra Generation</w:t>
            </w:r>
          </w:p>
        </w:tc>
        <w:tc>
          <w:tcPr>
            <w:tcW w:w="740" w:type="dxa"/>
            <w:vAlign w:val="bottom"/>
          </w:tcPr>
          <w:p>
            <w:pPr>
              <w:jc w:val="right"/>
              <w:ind w:right="628"/>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5</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right"/>
              <w:ind w:right="1058"/>
              <w:spacing w:after="0" w:line="134"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2</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60"/>
              <w:spacing w:after="0" w:line="134" w:lineRule="exact"/>
              <w:rPr>
                <w:sz w:val="20"/>
                <w:szCs w:val="20"/>
                <w:color w:val="auto"/>
              </w:rPr>
            </w:pPr>
            <w:r>
              <w:rPr>
                <w:rFonts w:ascii="Arial" w:cs="Arial" w:eastAsia="Arial" w:hAnsi="Arial"/>
                <w:sz w:val="12"/>
                <w:szCs w:val="12"/>
                <w:color w:val="auto"/>
              </w:rPr>
              <w:t>Sempra Pipelines &amp; Storage</w:t>
            </w:r>
          </w:p>
        </w:tc>
        <w:tc>
          <w:tcPr>
            <w:tcW w:w="740" w:type="dxa"/>
            <w:vAlign w:val="bottom"/>
          </w:tcPr>
          <w:p>
            <w:pPr>
              <w:spacing w:after="0"/>
              <w:rPr>
                <w:sz w:val="11"/>
                <w:szCs w:val="11"/>
                <w:color w:val="auto"/>
              </w:rPr>
            </w:pPr>
          </w:p>
        </w:tc>
        <w:tc>
          <w:tcPr>
            <w:tcW w:w="138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2</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4</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60"/>
              <w:spacing w:after="0" w:line="134" w:lineRule="exact"/>
              <w:rPr>
                <w:sz w:val="20"/>
                <w:szCs w:val="20"/>
                <w:color w:val="auto"/>
              </w:rPr>
            </w:pPr>
            <w:r>
              <w:rPr>
                <w:rFonts w:ascii="Arial" w:cs="Arial" w:eastAsia="Arial" w:hAnsi="Arial"/>
                <w:sz w:val="12"/>
                <w:szCs w:val="12"/>
                <w:color w:val="auto"/>
              </w:rPr>
              <w:t>Sempra LNG</w:t>
            </w:r>
          </w:p>
        </w:tc>
        <w:tc>
          <w:tcPr>
            <w:tcW w:w="740" w:type="dxa"/>
            <w:vAlign w:val="bottom"/>
          </w:tcPr>
          <w:p>
            <w:pPr>
              <w:spacing w:after="0"/>
              <w:rPr>
                <w:sz w:val="11"/>
                <w:szCs w:val="11"/>
                <w:color w:val="auto"/>
              </w:rPr>
            </w:pPr>
          </w:p>
        </w:tc>
        <w:tc>
          <w:tcPr>
            <w:tcW w:w="138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1</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40"/>
              <w:spacing w:after="0" w:line="134" w:lineRule="exact"/>
              <w:rPr>
                <w:sz w:val="20"/>
                <w:szCs w:val="20"/>
                <w:color w:val="auto"/>
              </w:rPr>
            </w:pPr>
            <w:r>
              <w:rPr>
                <w:rFonts w:ascii="Arial" w:cs="Arial" w:eastAsia="Arial" w:hAnsi="Arial"/>
                <w:sz w:val="12"/>
                <w:szCs w:val="12"/>
                <w:color w:val="auto"/>
              </w:rPr>
              <w:t>All other</w:t>
            </w:r>
          </w:p>
        </w:tc>
        <w:tc>
          <w:tcPr>
            <w:tcW w:w="740" w:type="dxa"/>
            <w:vAlign w:val="bottom"/>
          </w:tcPr>
          <w:p>
            <w:pPr>
              <w:spacing w:after="0"/>
              <w:rPr>
                <w:sz w:val="11"/>
                <w:szCs w:val="11"/>
                <w:color w:val="auto"/>
              </w:rPr>
            </w:pPr>
          </w:p>
        </w:tc>
        <w:tc>
          <w:tcPr>
            <w:tcW w:w="138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28</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50</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5080" w:type="dxa"/>
            <w:vAlign w:val="bottom"/>
          </w:tcPr>
          <w:p>
            <w:pPr>
              <w:ind w:left="60"/>
              <w:spacing w:after="0"/>
              <w:rPr>
                <w:sz w:val="20"/>
                <w:szCs w:val="20"/>
                <w:color w:val="auto"/>
              </w:rPr>
            </w:pPr>
            <w:r>
              <w:rPr>
                <w:rFonts w:ascii="Arial" w:cs="Arial" w:eastAsia="Arial" w:hAnsi="Arial"/>
                <w:sz w:val="12"/>
                <w:szCs w:val="12"/>
                <w:color w:val="auto"/>
              </w:rPr>
              <w:t>Intercompany eliminations</w:t>
            </w:r>
          </w:p>
        </w:tc>
        <w:tc>
          <w:tcPr>
            <w:tcW w:w="7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(33)</w:t>
            </w:r>
          </w:p>
        </w:tc>
        <w:tc>
          <w:tcPr>
            <w:tcW w:w="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(52)</w:t>
            </w:r>
          </w:p>
        </w:tc>
        <w:tc>
          <w:tcPr>
            <w:tcW w:w="6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5080" w:type="dxa"/>
            <w:vAlign w:val="bottom"/>
            <w:tcBorders>
              <w:bottom w:val="single" w:sz="8" w:color="auto"/>
            </w:tcBorders>
          </w:tcPr>
          <w:p>
            <w:pPr>
              <w:ind w:left="180"/>
              <w:spacing w:after="0" w:line="134" w:lineRule="exact"/>
              <w:rPr>
                <w:sz w:val="20"/>
                <w:szCs w:val="20"/>
                <w:color w:val="auto"/>
              </w:rPr>
            </w:pPr>
            <w:r>
              <w:rPr>
                <w:rFonts w:ascii="Arial" w:cs="Arial" w:eastAsia="Arial" w:hAnsi="Arial"/>
                <w:sz w:val="12"/>
                <w:szCs w:val="12"/>
                <w:color w:val="auto"/>
              </w:rPr>
              <w:t>Total</w:t>
            </w:r>
          </w:p>
        </w:tc>
        <w:tc>
          <w:tcPr>
            <w:tcW w:w="740" w:type="dxa"/>
            <w:vAlign w:val="bottom"/>
            <w:tcBorders>
              <w:bottom w:val="single" w:sz="8" w:color="auto"/>
            </w:tcBorders>
          </w:tcPr>
          <w:p>
            <w:pPr>
              <w:jc w:val="right"/>
              <w:ind w:right="628"/>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ind w:right="258"/>
              <w:spacing w:after="0" w:line="134" w:lineRule="exact"/>
              <w:rPr>
                <w:sz w:val="20"/>
                <w:szCs w:val="20"/>
                <w:color w:val="auto"/>
              </w:rPr>
            </w:pPr>
            <w:r>
              <w:rPr>
                <w:rFonts w:ascii="Arial" w:cs="Arial" w:eastAsia="Arial" w:hAnsi="Arial"/>
                <w:sz w:val="12"/>
                <w:szCs w:val="12"/>
                <w:color w:val="auto"/>
              </w:rPr>
              <w:t>3</w:t>
            </w:r>
          </w:p>
        </w:tc>
        <w:tc>
          <w:tcPr>
            <w:tcW w:w="6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1058"/>
              <w:spacing w:after="0" w:line="134" w:lineRule="exact"/>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278"/>
              <w:spacing w:after="0" w:line="134" w:lineRule="exact"/>
              <w:rPr>
                <w:sz w:val="20"/>
                <w:szCs w:val="20"/>
                <w:color w:val="auto"/>
              </w:rPr>
            </w:pPr>
            <w:r>
              <w:rPr>
                <w:rFonts w:ascii="Arial" w:cs="Arial" w:eastAsia="Arial" w:hAnsi="Arial"/>
                <w:sz w:val="12"/>
                <w:szCs w:val="12"/>
                <w:color w:val="auto"/>
              </w:rPr>
              <w:t>4</w:t>
            </w:r>
          </w:p>
        </w:tc>
        <w:tc>
          <w:tcPr>
            <w:tcW w:w="6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5080" w:type="dxa"/>
            <w:vAlign w:val="bottom"/>
          </w:tcPr>
          <w:p>
            <w:pPr>
              <w:spacing w:after="0" w:line="126" w:lineRule="exact"/>
              <w:rPr>
                <w:sz w:val="20"/>
                <w:szCs w:val="20"/>
                <w:color w:val="auto"/>
              </w:rPr>
            </w:pPr>
            <w:r>
              <w:rPr>
                <w:rFonts w:ascii="Arial" w:cs="Arial" w:eastAsia="Arial" w:hAnsi="Arial"/>
                <w:sz w:val="12"/>
                <w:szCs w:val="12"/>
                <w:color w:val="auto"/>
              </w:rPr>
              <w:t>DEPRECIATION AND AMORTIZATION</w:t>
            </w:r>
          </w:p>
        </w:tc>
        <w:tc>
          <w:tcPr>
            <w:tcW w:w="7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60"/>
              <w:spacing w:after="0" w:line="134" w:lineRule="exact"/>
              <w:rPr>
                <w:sz w:val="20"/>
                <w:szCs w:val="20"/>
                <w:color w:val="auto"/>
              </w:rPr>
            </w:pPr>
            <w:r>
              <w:rPr>
                <w:rFonts w:ascii="Arial" w:cs="Arial" w:eastAsia="Arial" w:hAnsi="Arial"/>
                <w:sz w:val="12"/>
                <w:szCs w:val="12"/>
                <w:color w:val="auto"/>
              </w:rPr>
              <w:t>SDG&amp;E</w:t>
            </w:r>
          </w:p>
        </w:tc>
        <w:tc>
          <w:tcPr>
            <w:tcW w:w="740" w:type="dxa"/>
            <w:vAlign w:val="bottom"/>
          </w:tcPr>
          <w:p>
            <w:pPr>
              <w:jc w:val="right"/>
              <w:ind w:right="628"/>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103</w:t>
            </w:r>
          </w:p>
        </w:tc>
        <w:tc>
          <w:tcPr>
            <w:tcW w:w="640" w:type="dxa"/>
            <w:vAlign w:val="bottom"/>
          </w:tcPr>
          <w:p>
            <w:pPr>
              <w:jc w:val="right"/>
              <w:ind w:right="58"/>
              <w:spacing w:after="0" w:line="134" w:lineRule="exact"/>
              <w:rPr>
                <w:sz w:val="20"/>
                <w:szCs w:val="20"/>
                <w:color w:val="auto"/>
              </w:rPr>
            </w:pPr>
            <w:r>
              <w:rPr>
                <w:rFonts w:ascii="Arial" w:cs="Arial" w:eastAsia="Arial" w:hAnsi="Arial"/>
                <w:sz w:val="12"/>
                <w:szCs w:val="12"/>
                <w:color w:val="auto"/>
              </w:rPr>
              <w:t>44</w:t>
            </w:r>
          </w:p>
        </w:tc>
        <w:tc>
          <w:tcPr>
            <w:tcW w:w="260" w:type="dxa"/>
            <w:vAlign w:val="bottom"/>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1260" w:type="dxa"/>
            <w:vAlign w:val="bottom"/>
          </w:tcPr>
          <w:p>
            <w:pPr>
              <w:jc w:val="right"/>
              <w:ind w:right="1058"/>
              <w:spacing w:after="0" w:line="134"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92</w:t>
            </w:r>
          </w:p>
        </w:tc>
        <w:tc>
          <w:tcPr>
            <w:tcW w:w="660" w:type="dxa"/>
            <w:vAlign w:val="bottom"/>
          </w:tcPr>
          <w:p>
            <w:pPr>
              <w:jc w:val="right"/>
              <w:ind w:right="78"/>
              <w:spacing w:after="0" w:line="134" w:lineRule="exact"/>
              <w:rPr>
                <w:sz w:val="20"/>
                <w:szCs w:val="20"/>
                <w:color w:val="auto"/>
              </w:rPr>
            </w:pPr>
            <w:r>
              <w:rPr>
                <w:rFonts w:ascii="Arial" w:cs="Arial" w:eastAsia="Arial" w:hAnsi="Arial"/>
                <w:sz w:val="12"/>
                <w:szCs w:val="12"/>
                <w:color w:val="auto"/>
              </w:rPr>
              <w:t>44</w:t>
            </w:r>
          </w:p>
        </w:tc>
        <w:tc>
          <w:tcPr>
            <w:tcW w:w="460" w:type="dxa"/>
            <w:vAlign w:val="bottom"/>
          </w:tcPr>
          <w:p>
            <w:pPr>
              <w:jc w:val="right"/>
              <w:ind w:right="158"/>
              <w:spacing w:after="0" w:line="134" w:lineRule="exact"/>
              <w:rPr>
                <w:sz w:val="20"/>
                <w:szCs w:val="20"/>
                <w:color w:val="auto"/>
              </w:rPr>
            </w:pPr>
            <w:r>
              <w:rPr>
                <w:rFonts w:ascii="Arial" w:cs="Arial" w:eastAsia="Arial" w:hAnsi="Arial"/>
                <w:sz w:val="12"/>
                <w:szCs w:val="12"/>
                <w:color w:val="auto"/>
              </w:rPr>
              <w:t>%</w:t>
            </w:r>
          </w:p>
        </w:tc>
      </w:tr>
      <w:tr>
        <w:trPr>
          <w:trHeight w:val="134"/>
        </w:trPr>
        <w:tc>
          <w:tcPr>
            <w:tcW w:w="20" w:type="dxa"/>
            <w:vAlign w:val="bottom"/>
          </w:tcPr>
          <w:p>
            <w:pPr>
              <w:spacing w:after="0"/>
              <w:rPr>
                <w:sz w:val="11"/>
                <w:szCs w:val="11"/>
                <w:color w:val="auto"/>
              </w:rPr>
            </w:pPr>
          </w:p>
        </w:tc>
        <w:tc>
          <w:tcPr>
            <w:tcW w:w="5080" w:type="dxa"/>
            <w:vAlign w:val="bottom"/>
          </w:tcPr>
          <w:p>
            <w:pPr>
              <w:ind w:left="60"/>
              <w:spacing w:after="0" w:line="134" w:lineRule="exact"/>
              <w:rPr>
                <w:sz w:val="20"/>
                <w:szCs w:val="20"/>
                <w:color w:val="auto"/>
              </w:rPr>
            </w:pPr>
            <w:r>
              <w:rPr>
                <w:rFonts w:ascii="Arial" w:cs="Arial" w:eastAsia="Arial" w:hAnsi="Arial"/>
                <w:sz w:val="12"/>
                <w:szCs w:val="12"/>
                <w:color w:val="auto"/>
              </w:rPr>
              <w:t>SoCalGas</w:t>
            </w:r>
          </w:p>
        </w:tc>
        <w:tc>
          <w:tcPr>
            <w:tcW w:w="740" w:type="dxa"/>
            <w:vAlign w:val="bottom"/>
          </w:tcPr>
          <w:p>
            <w:pPr>
              <w:spacing w:after="0"/>
              <w:rPr>
                <w:sz w:val="11"/>
                <w:szCs w:val="11"/>
                <w:color w:val="auto"/>
              </w:rPr>
            </w:pPr>
          </w:p>
        </w:tc>
        <w:tc>
          <w:tcPr>
            <w:tcW w:w="138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81</w:t>
            </w:r>
          </w:p>
        </w:tc>
        <w:tc>
          <w:tcPr>
            <w:tcW w:w="640" w:type="dxa"/>
            <w:vAlign w:val="bottom"/>
          </w:tcPr>
          <w:p>
            <w:pPr>
              <w:jc w:val="right"/>
              <w:ind w:right="58"/>
              <w:spacing w:after="0" w:line="134" w:lineRule="exact"/>
              <w:rPr>
                <w:sz w:val="20"/>
                <w:szCs w:val="20"/>
                <w:color w:val="auto"/>
              </w:rPr>
            </w:pPr>
            <w:r>
              <w:rPr>
                <w:rFonts w:ascii="Arial" w:cs="Arial" w:eastAsia="Arial" w:hAnsi="Arial"/>
                <w:sz w:val="12"/>
                <w:szCs w:val="12"/>
                <w:color w:val="auto"/>
              </w:rPr>
              <w:t>35</w:t>
            </w: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75</w:t>
            </w:r>
          </w:p>
        </w:tc>
        <w:tc>
          <w:tcPr>
            <w:tcW w:w="660" w:type="dxa"/>
            <w:vAlign w:val="bottom"/>
          </w:tcPr>
          <w:p>
            <w:pPr>
              <w:jc w:val="right"/>
              <w:ind w:right="78"/>
              <w:spacing w:after="0" w:line="134" w:lineRule="exact"/>
              <w:rPr>
                <w:sz w:val="20"/>
                <w:szCs w:val="20"/>
                <w:color w:val="auto"/>
              </w:rPr>
            </w:pPr>
            <w:r>
              <w:rPr>
                <w:rFonts w:ascii="Arial" w:cs="Arial" w:eastAsia="Arial" w:hAnsi="Arial"/>
                <w:sz w:val="12"/>
                <w:szCs w:val="12"/>
                <w:color w:val="auto"/>
              </w:rPr>
              <w:t>36</w:t>
            </w:r>
          </w:p>
        </w:tc>
        <w:tc>
          <w:tcPr>
            <w:tcW w:w="46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60"/>
              <w:spacing w:after="0" w:line="134" w:lineRule="exact"/>
              <w:rPr>
                <w:sz w:val="20"/>
                <w:szCs w:val="20"/>
                <w:color w:val="auto"/>
              </w:rPr>
            </w:pPr>
            <w:r>
              <w:rPr>
                <w:rFonts w:ascii="Arial" w:cs="Arial" w:eastAsia="Arial" w:hAnsi="Arial"/>
                <w:sz w:val="12"/>
                <w:szCs w:val="12"/>
                <w:color w:val="auto"/>
              </w:rPr>
              <w:t>Sempra Generation</w:t>
            </w:r>
          </w:p>
        </w:tc>
        <w:tc>
          <w:tcPr>
            <w:tcW w:w="740" w:type="dxa"/>
            <w:vAlign w:val="bottom"/>
          </w:tcPr>
          <w:p>
            <w:pPr>
              <w:spacing w:after="0"/>
              <w:rPr>
                <w:sz w:val="11"/>
                <w:szCs w:val="11"/>
                <w:color w:val="auto"/>
              </w:rPr>
            </w:pPr>
          </w:p>
        </w:tc>
        <w:tc>
          <w:tcPr>
            <w:tcW w:w="138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19</w:t>
            </w:r>
          </w:p>
        </w:tc>
        <w:tc>
          <w:tcPr>
            <w:tcW w:w="640" w:type="dxa"/>
            <w:vAlign w:val="bottom"/>
          </w:tcPr>
          <w:p>
            <w:pPr>
              <w:jc w:val="right"/>
              <w:ind w:right="58"/>
              <w:spacing w:after="0" w:line="134" w:lineRule="exact"/>
              <w:rPr>
                <w:sz w:val="20"/>
                <w:szCs w:val="20"/>
                <w:color w:val="auto"/>
              </w:rPr>
            </w:pPr>
            <w:r>
              <w:rPr>
                <w:rFonts w:ascii="Arial" w:cs="Arial" w:eastAsia="Arial" w:hAnsi="Arial"/>
                <w:sz w:val="12"/>
                <w:szCs w:val="12"/>
                <w:color w:val="auto"/>
              </w:rPr>
              <w:t>8</w:t>
            </w: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15</w:t>
            </w:r>
          </w:p>
        </w:tc>
        <w:tc>
          <w:tcPr>
            <w:tcW w:w="660" w:type="dxa"/>
            <w:vAlign w:val="bottom"/>
          </w:tcPr>
          <w:p>
            <w:pPr>
              <w:jc w:val="right"/>
              <w:ind w:right="78"/>
              <w:spacing w:after="0" w:line="134" w:lineRule="exact"/>
              <w:rPr>
                <w:sz w:val="20"/>
                <w:szCs w:val="20"/>
                <w:color w:val="auto"/>
              </w:rPr>
            </w:pPr>
            <w:r>
              <w:rPr>
                <w:rFonts w:ascii="Arial" w:cs="Arial" w:eastAsia="Arial" w:hAnsi="Arial"/>
                <w:sz w:val="12"/>
                <w:szCs w:val="12"/>
                <w:color w:val="auto"/>
              </w:rPr>
              <w:t>7</w:t>
            </w:r>
          </w:p>
        </w:tc>
        <w:tc>
          <w:tcPr>
            <w:tcW w:w="46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60"/>
              <w:spacing w:after="0" w:line="134" w:lineRule="exact"/>
              <w:rPr>
                <w:sz w:val="20"/>
                <w:szCs w:val="20"/>
                <w:color w:val="auto"/>
              </w:rPr>
            </w:pPr>
            <w:r>
              <w:rPr>
                <w:rFonts w:ascii="Arial" w:cs="Arial" w:eastAsia="Arial" w:hAnsi="Arial"/>
                <w:sz w:val="12"/>
                <w:szCs w:val="12"/>
                <w:color w:val="auto"/>
              </w:rPr>
              <w:t>Sempra Pipelines &amp; Storage</w:t>
            </w:r>
          </w:p>
        </w:tc>
        <w:tc>
          <w:tcPr>
            <w:tcW w:w="740" w:type="dxa"/>
            <w:vAlign w:val="bottom"/>
          </w:tcPr>
          <w:p>
            <w:pPr>
              <w:spacing w:after="0"/>
              <w:rPr>
                <w:sz w:val="11"/>
                <w:szCs w:val="11"/>
                <w:color w:val="auto"/>
              </w:rPr>
            </w:pPr>
          </w:p>
        </w:tc>
        <w:tc>
          <w:tcPr>
            <w:tcW w:w="138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13</w:t>
            </w:r>
          </w:p>
        </w:tc>
        <w:tc>
          <w:tcPr>
            <w:tcW w:w="640" w:type="dxa"/>
            <w:vAlign w:val="bottom"/>
          </w:tcPr>
          <w:p>
            <w:pPr>
              <w:jc w:val="right"/>
              <w:ind w:right="58"/>
              <w:spacing w:after="0" w:line="134" w:lineRule="exact"/>
              <w:rPr>
                <w:sz w:val="20"/>
                <w:szCs w:val="20"/>
                <w:color w:val="auto"/>
              </w:rPr>
            </w:pPr>
            <w:r>
              <w:rPr>
                <w:rFonts w:ascii="Arial" w:cs="Arial" w:eastAsia="Arial" w:hAnsi="Arial"/>
                <w:sz w:val="12"/>
                <w:szCs w:val="12"/>
                <w:color w:val="auto"/>
              </w:rPr>
              <w:t>6</w:t>
            </w: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11</w:t>
            </w:r>
          </w:p>
        </w:tc>
        <w:tc>
          <w:tcPr>
            <w:tcW w:w="660" w:type="dxa"/>
            <w:vAlign w:val="bottom"/>
          </w:tcPr>
          <w:p>
            <w:pPr>
              <w:jc w:val="right"/>
              <w:ind w:right="78"/>
              <w:spacing w:after="0" w:line="134" w:lineRule="exact"/>
              <w:rPr>
                <w:sz w:val="20"/>
                <w:szCs w:val="20"/>
                <w:color w:val="auto"/>
              </w:rPr>
            </w:pPr>
            <w:r>
              <w:rPr>
                <w:rFonts w:ascii="Arial" w:cs="Arial" w:eastAsia="Arial" w:hAnsi="Arial"/>
                <w:sz w:val="12"/>
                <w:szCs w:val="12"/>
                <w:color w:val="auto"/>
              </w:rPr>
              <w:t>5</w:t>
            </w:r>
          </w:p>
        </w:tc>
        <w:tc>
          <w:tcPr>
            <w:tcW w:w="46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60"/>
              <w:spacing w:after="0" w:line="134" w:lineRule="exact"/>
              <w:rPr>
                <w:sz w:val="20"/>
                <w:szCs w:val="20"/>
                <w:color w:val="auto"/>
              </w:rPr>
            </w:pPr>
            <w:r>
              <w:rPr>
                <w:rFonts w:ascii="Arial" w:cs="Arial" w:eastAsia="Arial" w:hAnsi="Arial"/>
                <w:sz w:val="12"/>
                <w:szCs w:val="12"/>
                <w:color w:val="auto"/>
              </w:rPr>
              <w:t>Sempra LNG</w:t>
            </w:r>
          </w:p>
        </w:tc>
        <w:tc>
          <w:tcPr>
            <w:tcW w:w="740" w:type="dxa"/>
            <w:vAlign w:val="bottom"/>
          </w:tcPr>
          <w:p>
            <w:pPr>
              <w:spacing w:after="0"/>
              <w:rPr>
                <w:sz w:val="11"/>
                <w:szCs w:val="11"/>
                <w:color w:val="auto"/>
              </w:rPr>
            </w:pPr>
          </w:p>
        </w:tc>
        <w:tc>
          <w:tcPr>
            <w:tcW w:w="138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13</w:t>
            </w:r>
          </w:p>
        </w:tc>
        <w:tc>
          <w:tcPr>
            <w:tcW w:w="640" w:type="dxa"/>
            <w:vAlign w:val="bottom"/>
          </w:tcPr>
          <w:p>
            <w:pPr>
              <w:jc w:val="right"/>
              <w:ind w:right="58"/>
              <w:spacing w:after="0" w:line="134" w:lineRule="exact"/>
              <w:rPr>
                <w:sz w:val="20"/>
                <w:szCs w:val="20"/>
                <w:color w:val="auto"/>
              </w:rPr>
            </w:pPr>
            <w:r>
              <w:rPr>
                <w:rFonts w:ascii="Arial" w:cs="Arial" w:eastAsia="Arial" w:hAnsi="Arial"/>
                <w:sz w:val="12"/>
                <w:szCs w:val="12"/>
                <w:color w:val="auto"/>
              </w:rPr>
              <w:t>6</w:t>
            </w: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12</w:t>
            </w:r>
          </w:p>
        </w:tc>
        <w:tc>
          <w:tcPr>
            <w:tcW w:w="660" w:type="dxa"/>
            <w:vAlign w:val="bottom"/>
          </w:tcPr>
          <w:p>
            <w:pPr>
              <w:jc w:val="right"/>
              <w:ind w:right="78"/>
              <w:spacing w:after="0" w:line="134" w:lineRule="exact"/>
              <w:rPr>
                <w:sz w:val="20"/>
                <w:szCs w:val="20"/>
                <w:color w:val="auto"/>
              </w:rPr>
            </w:pPr>
            <w:r>
              <w:rPr>
                <w:rFonts w:ascii="Arial" w:cs="Arial" w:eastAsia="Arial" w:hAnsi="Arial"/>
                <w:sz w:val="12"/>
                <w:szCs w:val="12"/>
                <w:color w:val="auto"/>
              </w:rPr>
              <w:t>6</w:t>
            </w:r>
          </w:p>
        </w:tc>
        <w:tc>
          <w:tcPr>
            <w:tcW w:w="46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5080" w:type="dxa"/>
            <w:vAlign w:val="bottom"/>
          </w:tcPr>
          <w:p>
            <w:pPr>
              <w:ind w:left="40"/>
              <w:spacing w:after="0"/>
              <w:rPr>
                <w:sz w:val="20"/>
                <w:szCs w:val="20"/>
                <w:color w:val="auto"/>
              </w:rPr>
            </w:pPr>
            <w:r>
              <w:rPr>
                <w:rFonts w:ascii="Arial" w:cs="Arial" w:eastAsia="Arial" w:hAnsi="Arial"/>
                <w:sz w:val="12"/>
                <w:szCs w:val="12"/>
                <w:color w:val="auto"/>
              </w:rPr>
              <w:t>All other</w:t>
            </w:r>
          </w:p>
        </w:tc>
        <w:tc>
          <w:tcPr>
            <w:tcW w:w="7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2</w:t>
            </w:r>
          </w:p>
        </w:tc>
        <w:tc>
          <w:tcPr>
            <w:tcW w:w="6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w:t>
            </w:r>
          </w:p>
        </w:tc>
        <w:tc>
          <w:tcPr>
            <w:tcW w:w="2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5</w:t>
            </w:r>
          </w:p>
        </w:tc>
        <w:tc>
          <w:tcPr>
            <w:tcW w:w="6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2</w:t>
            </w:r>
          </w:p>
        </w:tc>
        <w:tc>
          <w:tcPr>
            <w:tcW w:w="460" w:type="dxa"/>
            <w:vAlign w:val="bottom"/>
            <w:tcBorders>
              <w:bottom w:val="single" w:sz="8" w:color="auto"/>
            </w:tcBorders>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5080" w:type="dxa"/>
            <w:vAlign w:val="bottom"/>
            <w:tcBorders>
              <w:bottom w:val="single" w:sz="8" w:color="auto"/>
            </w:tcBorders>
          </w:tcPr>
          <w:p>
            <w:pPr>
              <w:ind w:left="180"/>
              <w:spacing w:after="0" w:line="134" w:lineRule="exact"/>
              <w:rPr>
                <w:sz w:val="20"/>
                <w:szCs w:val="20"/>
                <w:color w:val="auto"/>
              </w:rPr>
            </w:pPr>
            <w:r>
              <w:rPr>
                <w:rFonts w:ascii="Arial" w:cs="Arial" w:eastAsia="Arial" w:hAnsi="Arial"/>
                <w:sz w:val="12"/>
                <w:szCs w:val="12"/>
                <w:color w:val="auto"/>
              </w:rPr>
              <w:t>Total</w:t>
            </w:r>
          </w:p>
        </w:tc>
        <w:tc>
          <w:tcPr>
            <w:tcW w:w="740" w:type="dxa"/>
            <w:vAlign w:val="bottom"/>
            <w:tcBorders>
              <w:bottom w:val="single" w:sz="8" w:color="auto"/>
            </w:tcBorders>
          </w:tcPr>
          <w:p>
            <w:pPr>
              <w:jc w:val="right"/>
              <w:ind w:right="628"/>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ind w:right="258"/>
              <w:spacing w:after="0" w:line="134" w:lineRule="exact"/>
              <w:rPr>
                <w:sz w:val="20"/>
                <w:szCs w:val="20"/>
                <w:color w:val="auto"/>
              </w:rPr>
            </w:pPr>
            <w:r>
              <w:rPr>
                <w:rFonts w:ascii="Arial" w:cs="Arial" w:eastAsia="Arial" w:hAnsi="Arial"/>
                <w:sz w:val="12"/>
                <w:szCs w:val="12"/>
                <w:color w:val="auto"/>
              </w:rPr>
              <w:t>231</w:t>
            </w:r>
          </w:p>
        </w:tc>
        <w:tc>
          <w:tcPr>
            <w:tcW w:w="640" w:type="dxa"/>
            <w:vAlign w:val="bottom"/>
            <w:tcBorders>
              <w:bottom w:val="single" w:sz="8" w:color="auto"/>
            </w:tcBorders>
          </w:tcPr>
          <w:p>
            <w:pPr>
              <w:jc w:val="right"/>
              <w:ind w:right="58"/>
              <w:spacing w:after="0" w:line="134" w:lineRule="exact"/>
              <w:rPr>
                <w:sz w:val="20"/>
                <w:szCs w:val="20"/>
                <w:color w:val="auto"/>
              </w:rPr>
            </w:pPr>
            <w:r>
              <w:rPr>
                <w:rFonts w:ascii="Arial" w:cs="Arial" w:eastAsia="Arial" w:hAnsi="Arial"/>
                <w:sz w:val="12"/>
                <w:szCs w:val="12"/>
                <w:color w:val="auto"/>
              </w:rPr>
              <w:t>100</w:t>
            </w:r>
          </w:p>
        </w:tc>
        <w:tc>
          <w:tcPr>
            <w:tcW w:w="260" w:type="dxa"/>
            <w:vAlign w:val="bottom"/>
            <w:tcBorders>
              <w:bottom w:val="single" w:sz="8" w:color="auto"/>
            </w:tcBorders>
          </w:tcPr>
          <w:p>
            <w:pPr>
              <w:jc w:val="right"/>
              <w:ind w:right="18"/>
              <w:spacing w:after="0" w:line="134" w:lineRule="exact"/>
              <w:rPr>
                <w:sz w:val="20"/>
                <w:szCs w:val="20"/>
                <w:color w:val="auto"/>
              </w:rPr>
            </w:pPr>
            <w:r>
              <w:rPr>
                <w:rFonts w:ascii="Arial" w:cs="Arial" w:eastAsia="Arial" w:hAnsi="Arial"/>
                <w:sz w:val="12"/>
                <w:szCs w:val="12"/>
                <w:color w:val="auto"/>
              </w:rPr>
              <w:t>%</w:t>
            </w:r>
          </w:p>
        </w:tc>
        <w:tc>
          <w:tcPr>
            <w:tcW w:w="1260" w:type="dxa"/>
            <w:vAlign w:val="bottom"/>
            <w:tcBorders>
              <w:bottom w:val="single" w:sz="8" w:color="auto"/>
            </w:tcBorders>
          </w:tcPr>
          <w:p>
            <w:pPr>
              <w:jc w:val="right"/>
              <w:ind w:right="1058"/>
              <w:spacing w:after="0" w:line="134" w:lineRule="exact"/>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278"/>
              <w:spacing w:after="0" w:line="134" w:lineRule="exact"/>
              <w:rPr>
                <w:sz w:val="20"/>
                <w:szCs w:val="20"/>
                <w:color w:val="auto"/>
              </w:rPr>
            </w:pPr>
            <w:r>
              <w:rPr>
                <w:rFonts w:ascii="Arial" w:cs="Arial" w:eastAsia="Arial" w:hAnsi="Arial"/>
                <w:sz w:val="12"/>
                <w:szCs w:val="12"/>
                <w:color w:val="auto"/>
              </w:rPr>
              <w:t>210</w:t>
            </w:r>
          </w:p>
        </w:tc>
        <w:tc>
          <w:tcPr>
            <w:tcW w:w="660" w:type="dxa"/>
            <w:vAlign w:val="bottom"/>
            <w:tcBorders>
              <w:bottom w:val="single" w:sz="8" w:color="auto"/>
            </w:tcBorders>
          </w:tcPr>
          <w:p>
            <w:pPr>
              <w:jc w:val="right"/>
              <w:ind w:right="78"/>
              <w:spacing w:after="0" w:line="134" w:lineRule="exact"/>
              <w:rPr>
                <w:sz w:val="20"/>
                <w:szCs w:val="20"/>
                <w:color w:val="auto"/>
              </w:rPr>
            </w:pPr>
            <w:r>
              <w:rPr>
                <w:rFonts w:ascii="Arial" w:cs="Arial" w:eastAsia="Arial" w:hAnsi="Arial"/>
                <w:sz w:val="12"/>
                <w:szCs w:val="12"/>
                <w:color w:val="auto"/>
              </w:rPr>
              <w:t>100</w:t>
            </w:r>
          </w:p>
        </w:tc>
        <w:tc>
          <w:tcPr>
            <w:tcW w:w="460" w:type="dxa"/>
            <w:vAlign w:val="bottom"/>
            <w:tcBorders>
              <w:bottom w:val="single" w:sz="8" w:color="auto"/>
            </w:tcBorders>
          </w:tcPr>
          <w:p>
            <w:pPr>
              <w:jc w:val="right"/>
              <w:ind w:right="158"/>
              <w:spacing w:after="0" w:line="134" w:lineRule="exact"/>
              <w:rPr>
                <w:sz w:val="20"/>
                <w:szCs w:val="20"/>
                <w:color w:val="auto"/>
              </w:rPr>
            </w:pPr>
            <w:r>
              <w:rPr>
                <w:rFonts w:ascii="Arial" w:cs="Arial" w:eastAsia="Arial" w:hAnsi="Arial"/>
                <w:sz w:val="12"/>
                <w:szCs w:val="12"/>
                <w:color w:val="auto"/>
              </w:rPr>
              <w:t>%</w:t>
            </w:r>
          </w:p>
        </w:tc>
      </w:tr>
      <w:tr>
        <w:trPr>
          <w:trHeight w:val="125"/>
        </w:trPr>
        <w:tc>
          <w:tcPr>
            <w:tcW w:w="20" w:type="dxa"/>
            <w:vAlign w:val="bottom"/>
          </w:tcPr>
          <w:p>
            <w:pPr>
              <w:spacing w:after="0"/>
              <w:rPr>
                <w:sz w:val="10"/>
                <w:szCs w:val="10"/>
                <w:color w:val="auto"/>
              </w:rPr>
            </w:pPr>
          </w:p>
        </w:tc>
        <w:tc>
          <w:tcPr>
            <w:tcW w:w="5080" w:type="dxa"/>
            <w:vAlign w:val="bottom"/>
          </w:tcPr>
          <w:p>
            <w:pPr>
              <w:spacing w:after="0" w:line="126" w:lineRule="exact"/>
              <w:rPr>
                <w:sz w:val="20"/>
                <w:szCs w:val="20"/>
                <w:color w:val="auto"/>
              </w:rPr>
            </w:pPr>
            <w:r>
              <w:rPr>
                <w:rFonts w:ascii="Arial" w:cs="Arial" w:eastAsia="Arial" w:hAnsi="Arial"/>
                <w:sz w:val="12"/>
                <w:szCs w:val="12"/>
                <w:color w:val="auto"/>
              </w:rPr>
              <w:t>INCOME TAX EXPENSE (BENEFIT)</w:t>
            </w:r>
          </w:p>
        </w:tc>
        <w:tc>
          <w:tcPr>
            <w:tcW w:w="7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60"/>
              <w:spacing w:after="0" w:line="134" w:lineRule="exact"/>
              <w:rPr>
                <w:sz w:val="20"/>
                <w:szCs w:val="20"/>
                <w:color w:val="auto"/>
              </w:rPr>
            </w:pPr>
            <w:r>
              <w:rPr>
                <w:rFonts w:ascii="Arial" w:cs="Arial" w:eastAsia="Arial" w:hAnsi="Arial"/>
                <w:sz w:val="12"/>
                <w:szCs w:val="12"/>
                <w:color w:val="auto"/>
              </w:rPr>
              <w:t>SDG&amp;E</w:t>
            </w:r>
          </w:p>
        </w:tc>
        <w:tc>
          <w:tcPr>
            <w:tcW w:w="740" w:type="dxa"/>
            <w:vAlign w:val="bottom"/>
          </w:tcPr>
          <w:p>
            <w:pPr>
              <w:jc w:val="right"/>
              <w:ind w:right="628"/>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49</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right"/>
              <w:ind w:right="1058"/>
              <w:spacing w:after="0" w:line="134"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31</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60"/>
              <w:spacing w:after="0" w:line="134" w:lineRule="exact"/>
              <w:rPr>
                <w:sz w:val="20"/>
                <w:szCs w:val="20"/>
                <w:color w:val="auto"/>
              </w:rPr>
            </w:pPr>
            <w:r>
              <w:rPr>
                <w:rFonts w:ascii="Arial" w:cs="Arial" w:eastAsia="Arial" w:hAnsi="Arial"/>
                <w:sz w:val="12"/>
                <w:szCs w:val="12"/>
                <w:color w:val="auto"/>
              </w:rPr>
              <w:t>SoCalGas</w:t>
            </w:r>
          </w:p>
        </w:tc>
        <w:tc>
          <w:tcPr>
            <w:tcW w:w="740" w:type="dxa"/>
            <w:vAlign w:val="bottom"/>
          </w:tcPr>
          <w:p>
            <w:pPr>
              <w:spacing w:after="0"/>
              <w:rPr>
                <w:sz w:val="11"/>
                <w:szCs w:val="11"/>
                <w:color w:val="auto"/>
              </w:rPr>
            </w:pPr>
          </w:p>
        </w:tc>
        <w:tc>
          <w:tcPr>
            <w:tcW w:w="138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37</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56</w:t>
            </w: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5080" w:type="dxa"/>
            <w:vAlign w:val="bottom"/>
          </w:tcPr>
          <w:p>
            <w:pPr>
              <w:ind w:left="60"/>
              <w:spacing w:after="0"/>
              <w:rPr>
                <w:sz w:val="20"/>
                <w:szCs w:val="20"/>
                <w:color w:val="auto"/>
              </w:rPr>
            </w:pPr>
            <w:r>
              <w:rPr>
                <w:rFonts w:ascii="Arial" w:cs="Arial" w:eastAsia="Arial" w:hAnsi="Arial"/>
                <w:sz w:val="12"/>
                <w:szCs w:val="12"/>
                <w:color w:val="auto"/>
              </w:rPr>
              <w:t>Sempra Generation</w:t>
            </w:r>
          </w:p>
        </w:tc>
        <w:tc>
          <w:tcPr>
            <w:tcW w:w="740" w:type="dxa"/>
            <w:vAlign w:val="bottom"/>
          </w:tcPr>
          <w:p>
            <w:pPr>
              <w:spacing w:after="0"/>
              <w:rPr>
                <w:sz w:val="12"/>
                <w:szCs w:val="12"/>
                <w:color w:val="auto"/>
              </w:rPr>
            </w:pPr>
          </w:p>
        </w:tc>
        <w:tc>
          <w:tcPr>
            <w:tcW w:w="1380" w:type="dxa"/>
            <w:vAlign w:val="bottom"/>
          </w:tcPr>
          <w:p>
            <w:pPr>
              <w:jc w:val="right"/>
              <w:ind w:right="258"/>
              <w:spacing w:after="0"/>
              <w:rPr>
                <w:sz w:val="20"/>
                <w:szCs w:val="20"/>
                <w:color w:val="auto"/>
              </w:rPr>
            </w:pPr>
            <w:r>
              <w:rPr>
                <w:rFonts w:ascii="Arial" w:cs="Arial" w:eastAsia="Arial" w:hAnsi="Arial"/>
                <w:sz w:val="12"/>
                <w:szCs w:val="12"/>
                <w:color w:val="auto"/>
              </w:rPr>
              <w:t>22</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tcPr>
          <w:p>
            <w:pPr>
              <w:jc w:val="right"/>
              <w:ind w:right="238"/>
              <w:spacing w:after="0"/>
              <w:rPr>
                <w:sz w:val="20"/>
                <w:szCs w:val="20"/>
                <w:color w:val="auto"/>
              </w:rPr>
            </w:pPr>
            <w:r>
              <w:rPr>
                <w:rFonts w:ascii="Arial" w:cs="Arial" w:eastAsia="Arial" w:hAnsi="Arial"/>
                <w:sz w:val="12"/>
                <w:szCs w:val="12"/>
                <w:color w:val="auto"/>
              </w:rPr>
              <w:t>(38)</w:t>
            </w: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r>
    </w:tbl>
    <w:p>
      <w:pPr>
        <w:sectPr>
          <w:pgSz w:w="11900" w:h="16838" w:orient="portrait"/>
          <w:cols w:equalWidth="0" w:num="1">
            <w:col w:w="11460"/>
          </w:cols>
          <w:pgMar w:left="220" w:top="126" w:right="219" w:bottom="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080" w:type="dxa"/>
            <w:vAlign w:val="bottom"/>
          </w:tcPr>
          <w:p>
            <w:pPr>
              <w:ind w:left="60"/>
              <w:spacing w:after="0"/>
              <w:rPr>
                <w:sz w:val="20"/>
                <w:szCs w:val="20"/>
                <w:color w:val="auto"/>
              </w:rPr>
            </w:pPr>
            <w:r>
              <w:rPr>
                <w:rFonts w:ascii="Arial" w:cs="Arial" w:eastAsia="Arial" w:hAnsi="Arial"/>
                <w:sz w:val="12"/>
                <w:szCs w:val="12"/>
                <w:color w:val="auto"/>
              </w:rPr>
              <w:t>Sempra Pipelines &amp; Storage</w:t>
            </w: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jc w:val="right"/>
              <w:ind w:right="1058"/>
              <w:spacing w:after="0"/>
              <w:rPr>
                <w:sz w:val="20"/>
                <w:szCs w:val="20"/>
                <w:color w:val="auto"/>
              </w:rPr>
            </w:pPr>
            <w:r>
              <w:rPr>
                <w:rFonts w:ascii="Arial" w:cs="Arial" w:eastAsia="Arial" w:hAnsi="Arial"/>
                <w:sz w:val="12"/>
                <w:szCs w:val="12"/>
                <w:color w:val="auto"/>
              </w:rPr>
              <w:t>7</w:t>
            </w: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40" w:type="dxa"/>
            <w:vAlign w:val="bottom"/>
          </w:tcPr>
          <w:p>
            <w:pPr>
              <w:jc w:val="right"/>
              <w:ind w:right="738"/>
              <w:spacing w:after="0"/>
              <w:rPr>
                <w:sz w:val="20"/>
                <w:szCs w:val="20"/>
                <w:color w:val="auto"/>
              </w:rPr>
            </w:pPr>
            <w:r>
              <w:rPr>
                <w:rFonts w:ascii="Arial" w:cs="Arial" w:eastAsia="Arial" w:hAnsi="Arial"/>
                <w:sz w:val="12"/>
                <w:szCs w:val="12"/>
                <w:color w:val="auto"/>
              </w:rPr>
              <w:t>6</w:t>
            </w:r>
          </w:p>
        </w:tc>
        <w:tc>
          <w:tcPr>
            <w:tcW w:w="66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60"/>
              <w:spacing w:after="0" w:line="134" w:lineRule="exact"/>
              <w:rPr>
                <w:sz w:val="20"/>
                <w:szCs w:val="20"/>
                <w:color w:val="auto"/>
              </w:rPr>
            </w:pPr>
            <w:r>
              <w:rPr>
                <w:rFonts w:ascii="Arial" w:cs="Arial" w:eastAsia="Arial" w:hAnsi="Arial"/>
                <w:sz w:val="12"/>
                <w:szCs w:val="12"/>
                <w:color w:val="auto"/>
              </w:rPr>
              <w:t>Sempra LNG</w:t>
            </w: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jc w:val="right"/>
              <w:ind w:right="1058"/>
              <w:spacing w:after="0" w:line="134" w:lineRule="exact"/>
              <w:rPr>
                <w:sz w:val="20"/>
                <w:szCs w:val="20"/>
                <w:color w:val="auto"/>
              </w:rPr>
            </w:pPr>
            <w:r>
              <w:rPr>
                <w:rFonts w:ascii="Arial" w:cs="Arial" w:eastAsia="Arial" w:hAnsi="Arial"/>
                <w:sz w:val="12"/>
                <w:szCs w:val="12"/>
                <w:color w:val="auto"/>
              </w:rPr>
              <w:t>11</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jc w:val="right"/>
              <w:ind w:right="738"/>
              <w:spacing w:after="0" w:line="134" w:lineRule="exact"/>
              <w:rPr>
                <w:sz w:val="20"/>
                <w:szCs w:val="20"/>
                <w:color w:val="auto"/>
              </w:rPr>
            </w:pPr>
            <w:r>
              <w:rPr>
                <w:rFonts w:ascii="Arial" w:cs="Arial" w:eastAsia="Arial" w:hAnsi="Arial"/>
                <w:sz w:val="12"/>
                <w:szCs w:val="12"/>
                <w:color w:val="auto"/>
              </w:rPr>
              <w:t>12</w:t>
            </w:r>
          </w:p>
        </w:tc>
        <w:tc>
          <w:tcPr>
            <w:tcW w:w="66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5080" w:type="dxa"/>
            <w:vAlign w:val="bottom"/>
          </w:tcPr>
          <w:p>
            <w:pPr>
              <w:ind w:left="40"/>
              <w:spacing w:after="0"/>
              <w:rPr>
                <w:sz w:val="20"/>
                <w:szCs w:val="20"/>
                <w:color w:val="auto"/>
              </w:rPr>
            </w:pPr>
            <w:r>
              <w:rPr>
                <w:rFonts w:ascii="Arial" w:cs="Arial" w:eastAsia="Arial" w:hAnsi="Arial"/>
                <w:sz w:val="12"/>
                <w:szCs w:val="12"/>
                <w:color w:val="auto"/>
              </w:rPr>
              <w:t>All other</w:t>
            </w:r>
          </w:p>
        </w:tc>
        <w:tc>
          <w:tcPr>
            <w:tcW w:w="1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1038"/>
              <w:spacing w:after="0"/>
              <w:rPr>
                <w:sz w:val="20"/>
                <w:szCs w:val="20"/>
                <w:color w:val="auto"/>
              </w:rPr>
            </w:pPr>
            <w:r>
              <w:rPr>
                <w:rFonts w:ascii="Arial" w:cs="Arial" w:eastAsia="Arial" w:hAnsi="Arial"/>
                <w:sz w:val="12"/>
                <w:szCs w:val="12"/>
                <w:color w:val="auto"/>
              </w:rPr>
              <w:t>(17)</w:t>
            </w:r>
          </w:p>
        </w:tc>
        <w:tc>
          <w:tcPr>
            <w:tcW w:w="7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98"/>
              <w:spacing w:after="0"/>
              <w:rPr>
                <w:sz w:val="20"/>
                <w:szCs w:val="20"/>
                <w:color w:val="auto"/>
              </w:rPr>
            </w:pPr>
            <w:r>
              <w:rPr>
                <w:rFonts w:ascii="Arial" w:cs="Arial" w:eastAsia="Arial" w:hAnsi="Arial"/>
                <w:sz w:val="12"/>
                <w:szCs w:val="12"/>
                <w:color w:val="auto"/>
              </w:rPr>
              <w:t>(9)</w:t>
            </w:r>
          </w:p>
        </w:tc>
        <w:tc>
          <w:tcPr>
            <w:tcW w:w="660" w:type="dxa"/>
            <w:vAlign w:val="bottom"/>
            <w:tcBorders>
              <w:bottom w:val="single" w:sz="8" w:color="auto"/>
            </w:tcBorders>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5080" w:type="dxa"/>
            <w:vAlign w:val="bottom"/>
            <w:tcBorders>
              <w:bottom w:val="single" w:sz="8" w:color="auto"/>
            </w:tcBorders>
          </w:tcPr>
          <w:p>
            <w:pPr>
              <w:ind w:left="180"/>
              <w:spacing w:after="0" w:line="134" w:lineRule="exact"/>
              <w:rPr>
                <w:sz w:val="20"/>
                <w:szCs w:val="20"/>
                <w:color w:val="auto"/>
              </w:rPr>
            </w:pPr>
            <w:r>
              <w:rPr>
                <w:rFonts w:ascii="Arial" w:cs="Arial" w:eastAsia="Arial" w:hAnsi="Arial"/>
                <w:sz w:val="12"/>
                <w:szCs w:val="12"/>
                <w:color w:val="auto"/>
              </w:rPr>
              <w:t>Total</w:t>
            </w:r>
          </w:p>
        </w:tc>
        <w:tc>
          <w:tcPr>
            <w:tcW w:w="1160" w:type="dxa"/>
            <w:vAlign w:val="bottom"/>
            <w:tcBorders>
              <w:bottom w:val="single" w:sz="8" w:color="auto"/>
            </w:tcBorders>
          </w:tcPr>
          <w:p>
            <w:pPr>
              <w:jc w:val="right"/>
              <w:ind w:right="1039"/>
              <w:spacing w:after="0"/>
              <w:rPr>
                <w:sz w:val="20"/>
                <w:szCs w:val="20"/>
                <w:color w:val="auto"/>
              </w:rPr>
            </w:pPr>
            <w:r>
              <w:rPr>
                <w:rFonts w:ascii="Arial" w:cs="Arial" w:eastAsia="Arial" w:hAnsi="Arial"/>
                <w:sz w:val="10"/>
                <w:szCs w:val="10"/>
                <w:color w:val="auto"/>
                <w:w w:val="71"/>
              </w:rPr>
              <w:t>$</w:t>
            </w:r>
          </w:p>
        </w:tc>
        <w:tc>
          <w:tcPr>
            <w:tcW w:w="2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1058"/>
              <w:spacing w:after="0" w:line="134" w:lineRule="exact"/>
              <w:rPr>
                <w:sz w:val="20"/>
                <w:szCs w:val="20"/>
                <w:color w:val="auto"/>
              </w:rPr>
            </w:pPr>
            <w:r>
              <w:rPr>
                <w:rFonts w:ascii="Arial" w:cs="Arial" w:eastAsia="Arial" w:hAnsi="Arial"/>
                <w:sz w:val="12"/>
                <w:szCs w:val="12"/>
                <w:color w:val="auto"/>
              </w:rPr>
              <w:t>109</w:t>
            </w:r>
          </w:p>
        </w:tc>
        <w:tc>
          <w:tcPr>
            <w:tcW w:w="760" w:type="dxa"/>
            <w:vAlign w:val="bottom"/>
            <w:tcBorders>
              <w:bottom w:val="single" w:sz="8" w:color="auto"/>
            </w:tcBorders>
          </w:tcPr>
          <w:p>
            <w:pPr>
              <w:jc w:val="right"/>
              <w:ind w:right="458"/>
              <w:spacing w:after="0" w:line="134" w:lineRule="exact"/>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38"/>
              <w:spacing w:after="0" w:line="134" w:lineRule="exact"/>
              <w:rPr>
                <w:sz w:val="20"/>
                <w:szCs w:val="20"/>
                <w:color w:val="auto"/>
              </w:rPr>
            </w:pPr>
            <w:r>
              <w:rPr>
                <w:rFonts w:ascii="Arial" w:cs="Arial" w:eastAsia="Arial" w:hAnsi="Arial"/>
                <w:sz w:val="12"/>
                <w:szCs w:val="12"/>
                <w:color w:val="auto"/>
              </w:rPr>
              <w:t>58</w:t>
            </w:r>
          </w:p>
        </w:tc>
        <w:tc>
          <w:tcPr>
            <w:tcW w:w="660" w:type="dxa"/>
            <w:vAlign w:val="bottom"/>
            <w:tcBorders>
              <w:bottom w:val="single" w:sz="8" w:color="auto"/>
            </w:tcBorders>
          </w:tcPr>
          <w:p>
            <w:pPr>
              <w:spacing w:after="0"/>
              <w:rPr>
                <w:sz w:val="11"/>
                <w:szCs w:val="11"/>
                <w:color w:val="auto"/>
              </w:rPr>
            </w:pPr>
          </w:p>
        </w:tc>
      </w:tr>
      <w:tr>
        <w:trPr>
          <w:trHeight w:val="372"/>
        </w:trPr>
        <w:tc>
          <w:tcPr>
            <w:tcW w:w="2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25"/>
        </w:trPr>
        <w:tc>
          <w:tcPr>
            <w:tcW w:w="20" w:type="dxa"/>
            <w:vAlign w:val="bottom"/>
          </w:tcPr>
          <w:p>
            <w:pPr>
              <w:spacing w:after="0"/>
              <w:rPr>
                <w:sz w:val="10"/>
                <w:szCs w:val="10"/>
                <w:color w:val="auto"/>
              </w:rPr>
            </w:pPr>
          </w:p>
        </w:tc>
        <w:tc>
          <w:tcPr>
            <w:tcW w:w="5080" w:type="dxa"/>
            <w:vAlign w:val="bottom"/>
            <w:shd w:val="clear" w:color="auto" w:fill="C0C0C0"/>
          </w:tcPr>
          <w:p>
            <w:pPr>
              <w:spacing w:after="0" w:line="125" w:lineRule="exact"/>
              <w:rPr>
                <w:sz w:val="20"/>
                <w:szCs w:val="20"/>
                <w:color w:val="auto"/>
              </w:rPr>
            </w:pPr>
            <w:r>
              <w:rPr>
                <w:rFonts w:ascii="Arial" w:cs="Arial" w:eastAsia="Arial" w:hAnsi="Arial"/>
                <w:sz w:val="12"/>
                <w:szCs w:val="12"/>
                <w:b w:val="1"/>
                <w:bCs w:val="1"/>
                <w:color w:val="auto"/>
              </w:rPr>
              <w:t>SEGMENT INFORMATION (Continued)</w:t>
            </w:r>
          </w:p>
        </w:tc>
        <w:tc>
          <w:tcPr>
            <w:tcW w:w="1160" w:type="dxa"/>
            <w:vAlign w:val="bottom"/>
            <w:shd w:val="clear" w:color="auto" w:fill="C0C0C0"/>
          </w:tcPr>
          <w:p>
            <w:pPr>
              <w:spacing w:after="0"/>
              <w:rPr>
                <w:sz w:val="10"/>
                <w:szCs w:val="10"/>
                <w:color w:val="auto"/>
              </w:rPr>
            </w:pPr>
          </w:p>
        </w:tc>
        <w:tc>
          <w:tcPr>
            <w:tcW w:w="240" w:type="dxa"/>
            <w:vAlign w:val="bottom"/>
            <w:shd w:val="clear" w:color="auto" w:fill="C0C0C0"/>
          </w:tcPr>
          <w:p>
            <w:pPr>
              <w:spacing w:after="0"/>
              <w:rPr>
                <w:sz w:val="10"/>
                <w:szCs w:val="10"/>
                <w:color w:val="auto"/>
              </w:rPr>
            </w:pPr>
          </w:p>
        </w:tc>
        <w:tc>
          <w:tcPr>
            <w:tcW w:w="1520" w:type="dxa"/>
            <w:vAlign w:val="bottom"/>
            <w:shd w:val="clear" w:color="auto" w:fill="C0C0C0"/>
          </w:tcPr>
          <w:p>
            <w:pPr>
              <w:spacing w:after="0"/>
              <w:rPr>
                <w:sz w:val="10"/>
                <w:szCs w:val="10"/>
                <w:color w:val="auto"/>
              </w:rPr>
            </w:pPr>
          </w:p>
        </w:tc>
        <w:tc>
          <w:tcPr>
            <w:tcW w:w="760" w:type="dxa"/>
            <w:vAlign w:val="bottom"/>
            <w:shd w:val="clear" w:color="auto" w:fill="C0C0C0"/>
          </w:tcPr>
          <w:p>
            <w:pPr>
              <w:spacing w:after="0"/>
              <w:rPr>
                <w:sz w:val="10"/>
                <w:szCs w:val="10"/>
                <w:color w:val="auto"/>
              </w:rPr>
            </w:pPr>
          </w:p>
        </w:tc>
        <w:tc>
          <w:tcPr>
            <w:tcW w:w="880" w:type="dxa"/>
            <w:vAlign w:val="bottom"/>
            <w:shd w:val="clear" w:color="auto" w:fill="C0C0C0"/>
          </w:tcPr>
          <w:p>
            <w:pPr>
              <w:spacing w:after="0"/>
              <w:rPr>
                <w:sz w:val="10"/>
                <w:szCs w:val="10"/>
                <w:color w:val="auto"/>
              </w:rPr>
            </w:pPr>
          </w:p>
        </w:tc>
        <w:tc>
          <w:tcPr>
            <w:tcW w:w="1140" w:type="dxa"/>
            <w:vAlign w:val="bottom"/>
            <w:shd w:val="clear" w:color="auto" w:fill="C0C0C0"/>
          </w:tcPr>
          <w:p>
            <w:pPr>
              <w:spacing w:after="0"/>
              <w:rPr>
                <w:sz w:val="10"/>
                <w:szCs w:val="10"/>
                <w:color w:val="auto"/>
              </w:rPr>
            </w:pPr>
          </w:p>
        </w:tc>
        <w:tc>
          <w:tcPr>
            <w:tcW w:w="660" w:type="dxa"/>
            <w:vAlign w:val="bottom"/>
            <w:shd w:val="clear" w:color="auto" w:fill="C0C0C0"/>
          </w:tcPr>
          <w:p>
            <w:pPr>
              <w:spacing w:after="0"/>
              <w:rPr>
                <w:sz w:val="10"/>
                <w:szCs w:val="10"/>
                <w:color w:val="auto"/>
              </w:rPr>
            </w:pPr>
          </w:p>
        </w:tc>
      </w:tr>
      <w:tr>
        <w:trPr>
          <w:trHeight w:val="124"/>
        </w:trPr>
        <w:tc>
          <w:tcPr>
            <w:tcW w:w="20" w:type="dxa"/>
            <w:vAlign w:val="bottom"/>
          </w:tcPr>
          <w:p>
            <w:pPr>
              <w:spacing w:after="0"/>
              <w:rPr>
                <w:sz w:val="10"/>
                <w:szCs w:val="10"/>
                <w:color w:val="auto"/>
              </w:rPr>
            </w:pPr>
          </w:p>
        </w:tc>
        <w:tc>
          <w:tcPr>
            <w:tcW w:w="5080" w:type="dxa"/>
            <w:vAlign w:val="bottom"/>
            <w:shd w:val="clear" w:color="auto" w:fill="C0C0C0"/>
          </w:tcPr>
          <w:p>
            <w:pPr>
              <w:spacing w:after="0" w:line="124" w:lineRule="exact"/>
              <w:rPr>
                <w:sz w:val="20"/>
                <w:szCs w:val="20"/>
                <w:color w:val="auto"/>
              </w:rPr>
            </w:pPr>
            <w:r>
              <w:rPr>
                <w:rFonts w:ascii="Arial" w:cs="Arial" w:eastAsia="Arial" w:hAnsi="Arial"/>
                <w:sz w:val="11"/>
                <w:szCs w:val="11"/>
                <w:i w:val="1"/>
                <w:iCs w:val="1"/>
                <w:color w:val="auto"/>
              </w:rPr>
              <w:t>(Dollars in millions)</w:t>
            </w:r>
          </w:p>
        </w:tc>
        <w:tc>
          <w:tcPr>
            <w:tcW w:w="1160" w:type="dxa"/>
            <w:vAlign w:val="bottom"/>
            <w:shd w:val="clear" w:color="auto" w:fill="C0C0C0"/>
          </w:tcPr>
          <w:p>
            <w:pPr>
              <w:spacing w:after="0"/>
              <w:rPr>
                <w:sz w:val="10"/>
                <w:szCs w:val="10"/>
                <w:color w:val="auto"/>
              </w:rPr>
            </w:pPr>
          </w:p>
        </w:tc>
        <w:tc>
          <w:tcPr>
            <w:tcW w:w="240" w:type="dxa"/>
            <w:vAlign w:val="bottom"/>
            <w:shd w:val="clear" w:color="auto" w:fill="C0C0C0"/>
          </w:tcPr>
          <w:p>
            <w:pPr>
              <w:spacing w:after="0"/>
              <w:rPr>
                <w:sz w:val="10"/>
                <w:szCs w:val="10"/>
                <w:color w:val="auto"/>
              </w:rPr>
            </w:pPr>
          </w:p>
        </w:tc>
        <w:tc>
          <w:tcPr>
            <w:tcW w:w="1520" w:type="dxa"/>
            <w:vAlign w:val="bottom"/>
            <w:shd w:val="clear" w:color="auto" w:fill="C0C0C0"/>
          </w:tcPr>
          <w:p>
            <w:pPr>
              <w:spacing w:after="0"/>
              <w:rPr>
                <w:sz w:val="10"/>
                <w:szCs w:val="10"/>
                <w:color w:val="auto"/>
              </w:rPr>
            </w:pPr>
          </w:p>
        </w:tc>
        <w:tc>
          <w:tcPr>
            <w:tcW w:w="760" w:type="dxa"/>
            <w:vAlign w:val="bottom"/>
            <w:shd w:val="clear" w:color="auto" w:fill="C0C0C0"/>
          </w:tcPr>
          <w:p>
            <w:pPr>
              <w:spacing w:after="0"/>
              <w:rPr>
                <w:sz w:val="10"/>
                <w:szCs w:val="10"/>
                <w:color w:val="auto"/>
              </w:rPr>
            </w:pPr>
          </w:p>
        </w:tc>
        <w:tc>
          <w:tcPr>
            <w:tcW w:w="880" w:type="dxa"/>
            <w:vAlign w:val="bottom"/>
            <w:shd w:val="clear" w:color="auto" w:fill="C0C0C0"/>
          </w:tcPr>
          <w:p>
            <w:pPr>
              <w:spacing w:after="0"/>
              <w:rPr>
                <w:sz w:val="10"/>
                <w:szCs w:val="10"/>
                <w:color w:val="auto"/>
              </w:rPr>
            </w:pPr>
          </w:p>
        </w:tc>
        <w:tc>
          <w:tcPr>
            <w:tcW w:w="1140" w:type="dxa"/>
            <w:vAlign w:val="bottom"/>
            <w:shd w:val="clear" w:color="auto" w:fill="C0C0C0"/>
          </w:tcPr>
          <w:p>
            <w:pPr>
              <w:spacing w:after="0"/>
              <w:rPr>
                <w:sz w:val="10"/>
                <w:szCs w:val="10"/>
                <w:color w:val="auto"/>
              </w:rPr>
            </w:pPr>
          </w:p>
        </w:tc>
        <w:tc>
          <w:tcPr>
            <w:tcW w:w="660" w:type="dxa"/>
            <w:vAlign w:val="bottom"/>
            <w:shd w:val="clear" w:color="auto" w:fill="C0C0C0"/>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2"/>
          </w:tcPr>
          <w:p>
            <w:pPr>
              <w:jc w:val="right"/>
              <w:spacing w:after="0" w:line="124" w:lineRule="exact"/>
              <w:rPr>
                <w:sz w:val="20"/>
                <w:szCs w:val="20"/>
                <w:color w:val="auto"/>
              </w:rPr>
            </w:pPr>
            <w:r>
              <w:rPr>
                <w:rFonts w:ascii="Arial" w:cs="Arial" w:eastAsia="Arial" w:hAnsi="Arial"/>
                <w:sz w:val="11"/>
                <w:szCs w:val="11"/>
                <w:color w:val="auto"/>
              </w:rPr>
              <w:t>Three months ended March 31,</w:t>
            </w:r>
          </w:p>
        </w:tc>
        <w:tc>
          <w:tcPr>
            <w:tcW w:w="1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50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298"/>
              <w:spacing w:after="0"/>
              <w:rPr>
                <w:sz w:val="20"/>
                <w:szCs w:val="20"/>
                <w:color w:val="auto"/>
              </w:rPr>
            </w:pPr>
            <w:r>
              <w:rPr>
                <w:rFonts w:ascii="Arial" w:cs="Arial" w:eastAsia="Arial" w:hAnsi="Arial"/>
                <w:sz w:val="11"/>
                <w:szCs w:val="11"/>
                <w:color w:val="auto"/>
              </w:rPr>
              <w:t>2011</w:t>
            </w:r>
          </w:p>
        </w:tc>
        <w:tc>
          <w:tcPr>
            <w:tcW w:w="7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1"/>
                <w:szCs w:val="11"/>
                <w:color w:val="auto"/>
              </w:rPr>
              <w:t>2010</w:t>
            </w:r>
          </w:p>
        </w:tc>
        <w:tc>
          <w:tcPr>
            <w:tcW w:w="660" w:type="dxa"/>
            <w:vAlign w:val="bottom"/>
            <w:tcBorders>
              <w:bottom w:val="single" w:sz="8" w:color="auto"/>
            </w:tcBorders>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5080" w:type="dxa"/>
            <w:vAlign w:val="bottom"/>
          </w:tcPr>
          <w:p>
            <w:pPr>
              <w:spacing w:after="0" w:line="126" w:lineRule="exact"/>
              <w:rPr>
                <w:sz w:val="20"/>
                <w:szCs w:val="20"/>
                <w:color w:val="auto"/>
              </w:rPr>
            </w:pPr>
            <w:r>
              <w:rPr>
                <w:rFonts w:ascii="Arial" w:cs="Arial" w:eastAsia="Arial" w:hAnsi="Arial"/>
                <w:sz w:val="12"/>
                <w:szCs w:val="12"/>
                <w:color w:val="auto"/>
              </w:rPr>
              <w:t>EQUITY EARNINGS</w:t>
            </w: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20"/>
              <w:spacing w:after="0" w:line="134" w:lineRule="exact"/>
              <w:rPr>
                <w:sz w:val="20"/>
                <w:szCs w:val="20"/>
                <w:color w:val="auto"/>
              </w:rPr>
            </w:pPr>
            <w:r>
              <w:rPr>
                <w:rFonts w:ascii="Arial" w:cs="Arial" w:eastAsia="Arial" w:hAnsi="Arial"/>
                <w:sz w:val="12"/>
                <w:szCs w:val="12"/>
                <w:color w:val="auto"/>
              </w:rPr>
              <w:t>Earnings recorded before tax:</w:t>
            </w: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80"/>
              <w:spacing w:after="0" w:line="134" w:lineRule="exact"/>
              <w:rPr>
                <w:sz w:val="20"/>
                <w:szCs w:val="20"/>
                <w:color w:val="auto"/>
              </w:rPr>
            </w:pPr>
            <w:r>
              <w:rPr>
                <w:rFonts w:ascii="Arial" w:cs="Arial" w:eastAsia="Arial" w:hAnsi="Arial"/>
                <w:sz w:val="12"/>
                <w:szCs w:val="12"/>
                <w:color w:val="auto"/>
              </w:rPr>
              <w:t>Sempra Generation</w:t>
            </w:r>
          </w:p>
        </w:tc>
        <w:tc>
          <w:tcPr>
            <w:tcW w:w="1400" w:type="dxa"/>
            <w:vAlign w:val="bottom"/>
            <w:gridSpan w:val="2"/>
          </w:tcPr>
          <w:p>
            <w:pPr>
              <w:jc w:val="right"/>
              <w:ind w:right="128"/>
              <w:spacing w:after="0" w:line="134" w:lineRule="exact"/>
              <w:rPr>
                <w:sz w:val="20"/>
                <w:szCs w:val="20"/>
                <w:color w:val="auto"/>
              </w:rPr>
            </w:pPr>
            <w:r>
              <w:rPr>
                <w:rFonts w:ascii="Arial" w:cs="Arial" w:eastAsia="Arial" w:hAnsi="Arial"/>
                <w:sz w:val="12"/>
                <w:szCs w:val="12"/>
                <w:color w:val="auto"/>
              </w:rPr>
              <w:t>$</w:t>
            </w:r>
          </w:p>
        </w:tc>
        <w:tc>
          <w:tcPr>
            <w:tcW w:w="1520" w:type="dxa"/>
            <w:vAlign w:val="bottom"/>
          </w:tcPr>
          <w:p>
            <w:pPr>
              <w:jc w:val="right"/>
              <w:ind w:right="298"/>
              <w:spacing w:after="0" w:line="134" w:lineRule="exact"/>
              <w:rPr>
                <w:sz w:val="20"/>
                <w:szCs w:val="20"/>
                <w:color w:val="auto"/>
              </w:rPr>
            </w:pPr>
            <w:r>
              <w:rPr>
                <w:rFonts w:ascii="Arial" w:cs="Arial" w:eastAsia="Arial" w:hAnsi="Arial"/>
                <w:sz w:val="12"/>
                <w:szCs w:val="12"/>
                <w:color w:val="auto"/>
              </w:rPr>
              <w:t>1</w:t>
            </w:r>
          </w:p>
        </w:tc>
        <w:tc>
          <w:tcPr>
            <w:tcW w:w="760" w:type="dxa"/>
            <w:vAlign w:val="bottom"/>
          </w:tcPr>
          <w:p>
            <w:pPr>
              <w:spacing w:after="0"/>
              <w:rPr>
                <w:sz w:val="11"/>
                <w:szCs w:val="11"/>
                <w:color w:val="auto"/>
              </w:rPr>
            </w:pPr>
          </w:p>
        </w:tc>
        <w:tc>
          <w:tcPr>
            <w:tcW w:w="880" w:type="dxa"/>
            <w:vAlign w:val="bottom"/>
          </w:tcPr>
          <w:p>
            <w:pPr>
              <w:jc w:val="right"/>
              <w:ind w:right="678"/>
              <w:spacing w:after="0" w:line="134"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458"/>
              <w:spacing w:after="0" w:line="134" w:lineRule="exact"/>
              <w:rPr>
                <w:sz w:val="20"/>
                <w:szCs w:val="20"/>
                <w:color w:val="auto"/>
              </w:rPr>
            </w:pPr>
            <w:r>
              <w:rPr>
                <w:rFonts w:ascii="Arial" w:cs="Arial" w:eastAsia="Arial" w:hAnsi="Arial"/>
                <w:sz w:val="12"/>
                <w:szCs w:val="12"/>
                <w:color w:val="auto"/>
              </w:rPr>
              <w:t>―</w:t>
            </w:r>
          </w:p>
        </w:tc>
        <w:tc>
          <w:tcPr>
            <w:tcW w:w="66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80"/>
              <w:spacing w:after="0" w:line="134" w:lineRule="exact"/>
              <w:rPr>
                <w:sz w:val="20"/>
                <w:szCs w:val="20"/>
                <w:color w:val="auto"/>
              </w:rPr>
            </w:pPr>
            <w:r>
              <w:rPr>
                <w:rFonts w:ascii="Arial" w:cs="Arial" w:eastAsia="Arial" w:hAnsi="Arial"/>
                <w:sz w:val="12"/>
                <w:szCs w:val="12"/>
                <w:color w:val="auto"/>
              </w:rPr>
              <w:t>Sempra Pipelines &amp; Storage</w:t>
            </w: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jc w:val="right"/>
              <w:ind w:right="298"/>
              <w:spacing w:after="0" w:line="134" w:lineRule="exact"/>
              <w:rPr>
                <w:sz w:val="20"/>
                <w:szCs w:val="20"/>
                <w:color w:val="auto"/>
              </w:rPr>
            </w:pPr>
            <w:r>
              <w:rPr>
                <w:rFonts w:ascii="Arial" w:cs="Arial" w:eastAsia="Arial" w:hAnsi="Arial"/>
                <w:sz w:val="12"/>
                <w:szCs w:val="12"/>
                <w:color w:val="auto"/>
              </w:rPr>
              <w:t>9</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jc w:val="right"/>
              <w:ind w:right="458"/>
              <w:spacing w:after="0" w:line="134" w:lineRule="exact"/>
              <w:rPr>
                <w:sz w:val="20"/>
                <w:szCs w:val="20"/>
                <w:color w:val="auto"/>
              </w:rPr>
            </w:pPr>
            <w:r>
              <w:rPr>
                <w:rFonts w:ascii="Arial" w:cs="Arial" w:eastAsia="Arial" w:hAnsi="Arial"/>
                <w:sz w:val="12"/>
                <w:szCs w:val="12"/>
                <w:color w:val="auto"/>
              </w:rPr>
              <w:t>10</w:t>
            </w:r>
          </w:p>
        </w:tc>
        <w:tc>
          <w:tcPr>
            <w:tcW w:w="66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5080" w:type="dxa"/>
            <w:vAlign w:val="bottom"/>
          </w:tcPr>
          <w:p>
            <w:pPr>
              <w:ind w:left="80"/>
              <w:spacing w:after="0"/>
              <w:rPr>
                <w:sz w:val="20"/>
                <w:szCs w:val="20"/>
                <w:color w:val="auto"/>
              </w:rPr>
            </w:pPr>
            <w:r>
              <w:rPr>
                <w:rFonts w:ascii="Arial" w:cs="Arial" w:eastAsia="Arial" w:hAnsi="Arial"/>
                <w:sz w:val="12"/>
                <w:szCs w:val="12"/>
                <w:color w:val="auto"/>
              </w:rPr>
              <w:t>All other</w:t>
            </w:r>
          </w:p>
        </w:tc>
        <w:tc>
          <w:tcPr>
            <w:tcW w:w="1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(9)</w:t>
            </w:r>
          </w:p>
        </w:tc>
        <w:tc>
          <w:tcPr>
            <w:tcW w:w="7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5</w:t>
            </w:r>
          </w:p>
        </w:tc>
        <w:tc>
          <w:tcPr>
            <w:tcW w:w="660" w:type="dxa"/>
            <w:vAlign w:val="bottom"/>
            <w:tcBorders>
              <w:bottom w:val="single" w:sz="8" w:color="auto"/>
            </w:tcBorders>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5080" w:type="dxa"/>
            <w:vAlign w:val="bottom"/>
          </w:tcPr>
          <w:p>
            <w:pPr>
              <w:ind w:left="220"/>
              <w:spacing w:after="0" w:line="134" w:lineRule="exact"/>
              <w:rPr>
                <w:sz w:val="20"/>
                <w:szCs w:val="20"/>
                <w:color w:val="auto"/>
              </w:rPr>
            </w:pPr>
            <w:r>
              <w:rPr>
                <w:rFonts w:ascii="Arial" w:cs="Arial" w:eastAsia="Arial" w:hAnsi="Arial"/>
                <w:sz w:val="12"/>
                <w:szCs w:val="12"/>
                <w:color w:val="auto"/>
              </w:rPr>
              <w:t>Total</w:t>
            </w:r>
          </w:p>
        </w:tc>
        <w:tc>
          <w:tcPr>
            <w:tcW w:w="1160" w:type="dxa"/>
            <w:vAlign w:val="bottom"/>
          </w:tcPr>
          <w:p>
            <w:pPr>
              <w:spacing w:after="0"/>
              <w:rPr>
                <w:sz w:val="11"/>
                <w:szCs w:val="11"/>
                <w:color w:val="auto"/>
              </w:rPr>
            </w:pP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ind w:right="298"/>
              <w:spacing w:after="0" w:line="134" w:lineRule="exact"/>
              <w:rPr>
                <w:sz w:val="20"/>
                <w:szCs w:val="20"/>
                <w:color w:val="auto"/>
              </w:rPr>
            </w:pPr>
            <w:r>
              <w:rPr>
                <w:rFonts w:ascii="Arial" w:cs="Arial" w:eastAsia="Arial" w:hAnsi="Arial"/>
                <w:sz w:val="12"/>
                <w:szCs w:val="12"/>
                <w:color w:val="auto"/>
              </w:rPr>
              <w:t>1</w:t>
            </w:r>
          </w:p>
        </w:tc>
        <w:tc>
          <w:tcPr>
            <w:tcW w:w="7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678"/>
              <w:spacing w:after="0" w:line="134" w:lineRule="exact"/>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458"/>
              <w:spacing w:after="0" w:line="134" w:lineRule="exact"/>
              <w:rPr>
                <w:sz w:val="20"/>
                <w:szCs w:val="20"/>
                <w:color w:val="auto"/>
              </w:rPr>
            </w:pPr>
            <w:r>
              <w:rPr>
                <w:rFonts w:ascii="Arial" w:cs="Arial" w:eastAsia="Arial" w:hAnsi="Arial"/>
                <w:sz w:val="12"/>
                <w:szCs w:val="12"/>
                <w:color w:val="auto"/>
              </w:rPr>
              <w:t>15</w:t>
            </w:r>
          </w:p>
        </w:tc>
        <w:tc>
          <w:tcPr>
            <w:tcW w:w="660" w:type="dxa"/>
            <w:vAlign w:val="bottom"/>
            <w:tcBorders>
              <w:bottom w:val="single" w:sz="8" w:color="auto"/>
            </w:tcBorders>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5080" w:type="dxa"/>
            <w:vAlign w:val="bottom"/>
          </w:tcPr>
          <w:p>
            <w:pPr>
              <w:ind w:left="20"/>
              <w:spacing w:after="0" w:line="126" w:lineRule="exact"/>
              <w:rPr>
                <w:sz w:val="20"/>
                <w:szCs w:val="20"/>
                <w:color w:val="auto"/>
              </w:rPr>
            </w:pPr>
            <w:r>
              <w:rPr>
                <w:rFonts w:ascii="Arial" w:cs="Arial" w:eastAsia="Arial" w:hAnsi="Arial"/>
                <w:sz w:val="12"/>
                <w:szCs w:val="12"/>
                <w:color w:val="auto"/>
              </w:rPr>
              <w:t>Earnings recorded net of tax:</w:t>
            </w: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4"/>
        </w:trPr>
        <w:tc>
          <w:tcPr>
            <w:tcW w:w="20" w:type="dxa"/>
            <w:vAlign w:val="bottom"/>
          </w:tcPr>
          <w:p>
            <w:pPr>
              <w:spacing w:after="0"/>
              <w:rPr>
                <w:sz w:val="12"/>
                <w:szCs w:val="12"/>
                <w:color w:val="auto"/>
              </w:rPr>
            </w:pPr>
          </w:p>
        </w:tc>
        <w:tc>
          <w:tcPr>
            <w:tcW w:w="508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Sempra Pipelines &amp; Storage</w:t>
            </w:r>
          </w:p>
        </w:tc>
        <w:tc>
          <w:tcPr>
            <w:tcW w:w="140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2"/>
                <w:szCs w:val="12"/>
                <w:color w:val="auto"/>
              </w:rPr>
              <w:t>$</w:t>
            </w:r>
          </w:p>
        </w:tc>
        <w:tc>
          <w:tcPr>
            <w:tcW w:w="152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31</w:t>
            </w:r>
          </w:p>
        </w:tc>
        <w:tc>
          <w:tcPr>
            <w:tcW w:w="7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678"/>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19</w:t>
            </w:r>
          </w:p>
        </w:tc>
        <w:tc>
          <w:tcPr>
            <w:tcW w:w="660" w:type="dxa"/>
            <w:vAlign w:val="bottom"/>
            <w:tcBorders>
              <w:bottom w:val="single" w:sz="8" w:color="auto"/>
            </w:tcBorders>
          </w:tcPr>
          <w:p>
            <w:pPr>
              <w:spacing w:after="0"/>
              <w:rPr>
                <w:sz w:val="12"/>
                <w:szCs w:val="12"/>
                <w:color w:val="auto"/>
              </w:rPr>
            </w:pPr>
          </w:p>
        </w:tc>
      </w:tr>
      <w:tr>
        <w:trPr>
          <w:trHeight w:val="125"/>
        </w:trPr>
        <w:tc>
          <w:tcPr>
            <w:tcW w:w="20" w:type="dxa"/>
            <w:vAlign w:val="bottom"/>
          </w:tcPr>
          <w:p>
            <w:pPr>
              <w:spacing w:after="0"/>
              <w:rPr>
                <w:sz w:val="10"/>
                <w:szCs w:val="10"/>
                <w:color w:val="auto"/>
              </w:rPr>
            </w:pPr>
          </w:p>
        </w:tc>
        <w:tc>
          <w:tcPr>
            <w:tcW w:w="5080" w:type="dxa"/>
            <w:vAlign w:val="bottom"/>
          </w:tcPr>
          <w:p>
            <w:pPr>
              <w:spacing w:after="0" w:line="126" w:lineRule="exact"/>
              <w:rPr>
                <w:sz w:val="20"/>
                <w:szCs w:val="20"/>
                <w:color w:val="auto"/>
              </w:rPr>
            </w:pPr>
            <w:r>
              <w:rPr>
                <w:rFonts w:ascii="Arial" w:cs="Arial" w:eastAsia="Arial" w:hAnsi="Arial"/>
                <w:sz w:val="12"/>
                <w:szCs w:val="12"/>
                <w:color w:val="auto"/>
              </w:rPr>
              <w:t>EARNINGS (LOSSES)</w:t>
            </w: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80"/>
              <w:spacing w:after="0" w:line="134" w:lineRule="exact"/>
              <w:rPr>
                <w:sz w:val="20"/>
                <w:szCs w:val="20"/>
                <w:color w:val="auto"/>
              </w:rPr>
            </w:pPr>
            <w:r>
              <w:rPr>
                <w:rFonts w:ascii="Arial" w:cs="Arial" w:eastAsia="Arial" w:hAnsi="Arial"/>
                <w:sz w:val="12"/>
                <w:szCs w:val="12"/>
                <w:color w:val="auto"/>
              </w:rPr>
              <w:t>SDG&amp;E(2)</w:t>
            </w:r>
          </w:p>
        </w:tc>
        <w:tc>
          <w:tcPr>
            <w:tcW w:w="1400" w:type="dxa"/>
            <w:vAlign w:val="bottom"/>
            <w:gridSpan w:val="2"/>
          </w:tcPr>
          <w:p>
            <w:pPr>
              <w:jc w:val="right"/>
              <w:ind w:right="128"/>
              <w:spacing w:after="0" w:line="134" w:lineRule="exact"/>
              <w:rPr>
                <w:sz w:val="20"/>
                <w:szCs w:val="20"/>
                <w:color w:val="auto"/>
              </w:rPr>
            </w:pPr>
            <w:r>
              <w:rPr>
                <w:rFonts w:ascii="Arial" w:cs="Arial" w:eastAsia="Arial" w:hAnsi="Arial"/>
                <w:sz w:val="12"/>
                <w:szCs w:val="12"/>
                <w:color w:val="auto"/>
              </w:rPr>
              <w:t>$</w:t>
            </w:r>
          </w:p>
        </w:tc>
        <w:tc>
          <w:tcPr>
            <w:tcW w:w="1520" w:type="dxa"/>
            <w:vAlign w:val="bottom"/>
          </w:tcPr>
          <w:p>
            <w:pPr>
              <w:jc w:val="right"/>
              <w:ind w:right="298"/>
              <w:spacing w:after="0" w:line="134" w:lineRule="exact"/>
              <w:rPr>
                <w:sz w:val="20"/>
                <w:szCs w:val="20"/>
                <w:color w:val="auto"/>
              </w:rPr>
            </w:pPr>
            <w:r>
              <w:rPr>
                <w:rFonts w:ascii="Arial" w:cs="Arial" w:eastAsia="Arial" w:hAnsi="Arial"/>
                <w:sz w:val="12"/>
                <w:szCs w:val="12"/>
                <w:color w:val="auto"/>
              </w:rPr>
              <w:t>89</w:t>
            </w:r>
          </w:p>
        </w:tc>
        <w:tc>
          <w:tcPr>
            <w:tcW w:w="7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35 %</w:t>
            </w:r>
          </w:p>
        </w:tc>
        <w:tc>
          <w:tcPr>
            <w:tcW w:w="880" w:type="dxa"/>
            <w:vAlign w:val="bottom"/>
          </w:tcPr>
          <w:p>
            <w:pPr>
              <w:jc w:val="right"/>
              <w:ind w:right="678"/>
              <w:spacing w:after="0" w:line="134"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458"/>
              <w:spacing w:after="0" w:line="134" w:lineRule="exact"/>
              <w:rPr>
                <w:sz w:val="20"/>
                <w:szCs w:val="20"/>
                <w:color w:val="auto"/>
              </w:rPr>
            </w:pPr>
            <w:r>
              <w:rPr>
                <w:rFonts w:ascii="Arial" w:cs="Arial" w:eastAsia="Arial" w:hAnsi="Arial"/>
                <w:sz w:val="12"/>
                <w:szCs w:val="12"/>
                <w:color w:val="auto"/>
              </w:rPr>
              <w:t>83</w:t>
            </w:r>
          </w:p>
        </w:tc>
        <w:tc>
          <w:tcPr>
            <w:tcW w:w="66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78 %</w:t>
            </w:r>
          </w:p>
        </w:tc>
      </w:tr>
      <w:tr>
        <w:trPr>
          <w:trHeight w:val="134"/>
        </w:trPr>
        <w:tc>
          <w:tcPr>
            <w:tcW w:w="20" w:type="dxa"/>
            <w:vAlign w:val="bottom"/>
          </w:tcPr>
          <w:p>
            <w:pPr>
              <w:spacing w:after="0"/>
              <w:rPr>
                <w:sz w:val="11"/>
                <w:szCs w:val="11"/>
                <w:color w:val="auto"/>
              </w:rPr>
            </w:pPr>
          </w:p>
        </w:tc>
        <w:tc>
          <w:tcPr>
            <w:tcW w:w="5080" w:type="dxa"/>
            <w:vAlign w:val="bottom"/>
          </w:tcPr>
          <w:p>
            <w:pPr>
              <w:ind w:left="80"/>
              <w:spacing w:after="0" w:line="134" w:lineRule="exact"/>
              <w:rPr>
                <w:sz w:val="20"/>
                <w:szCs w:val="20"/>
                <w:color w:val="auto"/>
              </w:rPr>
            </w:pPr>
            <w:r>
              <w:rPr>
                <w:rFonts w:ascii="Arial" w:cs="Arial" w:eastAsia="Arial" w:hAnsi="Arial"/>
                <w:sz w:val="12"/>
                <w:szCs w:val="12"/>
                <w:color w:val="auto"/>
              </w:rPr>
              <w:t>SoCalGas(2)</w:t>
            </w: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jc w:val="right"/>
              <w:ind w:right="298"/>
              <w:spacing w:after="0" w:line="134" w:lineRule="exact"/>
              <w:rPr>
                <w:sz w:val="20"/>
                <w:szCs w:val="20"/>
                <w:color w:val="auto"/>
              </w:rPr>
            </w:pPr>
            <w:r>
              <w:rPr>
                <w:rFonts w:ascii="Arial" w:cs="Arial" w:eastAsia="Arial" w:hAnsi="Arial"/>
                <w:sz w:val="12"/>
                <w:szCs w:val="12"/>
                <w:color w:val="auto"/>
              </w:rPr>
              <w:t>68</w:t>
            </w:r>
          </w:p>
        </w:tc>
        <w:tc>
          <w:tcPr>
            <w:tcW w:w="76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26</w:t>
            </w:r>
          </w:p>
        </w:tc>
        <w:tc>
          <w:tcPr>
            <w:tcW w:w="880" w:type="dxa"/>
            <w:vAlign w:val="bottom"/>
          </w:tcPr>
          <w:p>
            <w:pPr>
              <w:spacing w:after="0"/>
              <w:rPr>
                <w:sz w:val="11"/>
                <w:szCs w:val="11"/>
                <w:color w:val="auto"/>
              </w:rPr>
            </w:pPr>
          </w:p>
        </w:tc>
        <w:tc>
          <w:tcPr>
            <w:tcW w:w="1140" w:type="dxa"/>
            <w:vAlign w:val="bottom"/>
          </w:tcPr>
          <w:p>
            <w:pPr>
              <w:jc w:val="right"/>
              <w:ind w:right="458"/>
              <w:spacing w:after="0" w:line="134" w:lineRule="exact"/>
              <w:rPr>
                <w:sz w:val="20"/>
                <w:szCs w:val="20"/>
                <w:color w:val="auto"/>
              </w:rPr>
            </w:pPr>
            <w:r>
              <w:rPr>
                <w:rFonts w:ascii="Arial" w:cs="Arial" w:eastAsia="Arial" w:hAnsi="Arial"/>
                <w:sz w:val="12"/>
                <w:szCs w:val="12"/>
                <w:color w:val="auto"/>
              </w:rPr>
              <w:t>65</w:t>
            </w:r>
          </w:p>
        </w:tc>
        <w:tc>
          <w:tcPr>
            <w:tcW w:w="66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61</w:t>
            </w:r>
          </w:p>
        </w:tc>
      </w:tr>
      <w:tr>
        <w:trPr>
          <w:trHeight w:val="134"/>
        </w:trPr>
        <w:tc>
          <w:tcPr>
            <w:tcW w:w="20" w:type="dxa"/>
            <w:vAlign w:val="bottom"/>
          </w:tcPr>
          <w:p>
            <w:pPr>
              <w:spacing w:after="0"/>
              <w:rPr>
                <w:sz w:val="11"/>
                <w:szCs w:val="11"/>
                <w:color w:val="auto"/>
              </w:rPr>
            </w:pPr>
          </w:p>
        </w:tc>
        <w:tc>
          <w:tcPr>
            <w:tcW w:w="5080" w:type="dxa"/>
            <w:vAlign w:val="bottom"/>
          </w:tcPr>
          <w:p>
            <w:pPr>
              <w:ind w:left="80"/>
              <w:spacing w:after="0" w:line="134" w:lineRule="exact"/>
              <w:rPr>
                <w:sz w:val="20"/>
                <w:szCs w:val="20"/>
                <w:color w:val="auto"/>
              </w:rPr>
            </w:pPr>
            <w:r>
              <w:rPr>
                <w:rFonts w:ascii="Arial" w:cs="Arial" w:eastAsia="Arial" w:hAnsi="Arial"/>
                <w:sz w:val="12"/>
                <w:szCs w:val="12"/>
                <w:color w:val="auto"/>
              </w:rPr>
              <w:t>Sempra Generation</w:t>
            </w: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jc w:val="right"/>
              <w:ind w:right="298"/>
              <w:spacing w:after="0" w:line="134" w:lineRule="exact"/>
              <w:rPr>
                <w:sz w:val="20"/>
                <w:szCs w:val="20"/>
                <w:color w:val="auto"/>
              </w:rPr>
            </w:pPr>
            <w:r>
              <w:rPr>
                <w:rFonts w:ascii="Arial" w:cs="Arial" w:eastAsia="Arial" w:hAnsi="Arial"/>
                <w:sz w:val="12"/>
                <w:szCs w:val="12"/>
                <w:color w:val="auto"/>
              </w:rPr>
              <w:t>44</w:t>
            </w:r>
          </w:p>
        </w:tc>
        <w:tc>
          <w:tcPr>
            <w:tcW w:w="76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17</w:t>
            </w:r>
          </w:p>
        </w:tc>
        <w:tc>
          <w:tcPr>
            <w:tcW w:w="880" w:type="dxa"/>
            <w:vAlign w:val="bottom"/>
          </w:tcPr>
          <w:p>
            <w:pPr>
              <w:spacing w:after="0"/>
              <w:rPr>
                <w:sz w:val="11"/>
                <w:szCs w:val="11"/>
                <w:color w:val="auto"/>
              </w:rPr>
            </w:pPr>
          </w:p>
        </w:tc>
        <w:tc>
          <w:tcPr>
            <w:tcW w:w="1140" w:type="dxa"/>
            <w:vAlign w:val="bottom"/>
          </w:tcPr>
          <w:p>
            <w:pPr>
              <w:jc w:val="right"/>
              <w:ind w:right="438"/>
              <w:spacing w:after="0" w:line="134" w:lineRule="exact"/>
              <w:rPr>
                <w:sz w:val="20"/>
                <w:szCs w:val="20"/>
                <w:color w:val="auto"/>
              </w:rPr>
            </w:pPr>
            <w:r>
              <w:rPr>
                <w:rFonts w:ascii="Arial" w:cs="Arial" w:eastAsia="Arial" w:hAnsi="Arial"/>
                <w:sz w:val="12"/>
                <w:szCs w:val="12"/>
                <w:color w:val="auto"/>
              </w:rPr>
              <w:t>(51)</w:t>
            </w:r>
          </w:p>
        </w:tc>
        <w:tc>
          <w:tcPr>
            <w:tcW w:w="66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(48)</w:t>
            </w:r>
          </w:p>
        </w:tc>
      </w:tr>
      <w:tr>
        <w:trPr>
          <w:trHeight w:val="134"/>
        </w:trPr>
        <w:tc>
          <w:tcPr>
            <w:tcW w:w="20" w:type="dxa"/>
            <w:vAlign w:val="bottom"/>
          </w:tcPr>
          <w:p>
            <w:pPr>
              <w:spacing w:after="0"/>
              <w:rPr>
                <w:sz w:val="11"/>
                <w:szCs w:val="11"/>
                <w:color w:val="auto"/>
              </w:rPr>
            </w:pPr>
          </w:p>
        </w:tc>
        <w:tc>
          <w:tcPr>
            <w:tcW w:w="5080" w:type="dxa"/>
            <w:vAlign w:val="bottom"/>
          </w:tcPr>
          <w:p>
            <w:pPr>
              <w:ind w:left="80"/>
              <w:spacing w:after="0" w:line="134" w:lineRule="exact"/>
              <w:rPr>
                <w:sz w:val="20"/>
                <w:szCs w:val="20"/>
                <w:color w:val="auto"/>
              </w:rPr>
            </w:pPr>
            <w:r>
              <w:rPr>
                <w:rFonts w:ascii="Arial" w:cs="Arial" w:eastAsia="Arial" w:hAnsi="Arial"/>
                <w:sz w:val="12"/>
                <w:szCs w:val="12"/>
                <w:color w:val="auto"/>
              </w:rPr>
              <w:t>Sempra Pipelines &amp; Storage</w:t>
            </w: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jc w:val="right"/>
              <w:ind w:right="298"/>
              <w:spacing w:after="0" w:line="134" w:lineRule="exact"/>
              <w:rPr>
                <w:sz w:val="20"/>
                <w:szCs w:val="20"/>
                <w:color w:val="auto"/>
              </w:rPr>
            </w:pPr>
            <w:r>
              <w:rPr>
                <w:rFonts w:ascii="Arial" w:cs="Arial" w:eastAsia="Arial" w:hAnsi="Arial"/>
                <w:sz w:val="12"/>
                <w:szCs w:val="12"/>
                <w:color w:val="auto"/>
              </w:rPr>
              <w:t>54</w:t>
            </w:r>
          </w:p>
        </w:tc>
        <w:tc>
          <w:tcPr>
            <w:tcW w:w="76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21</w:t>
            </w:r>
          </w:p>
        </w:tc>
        <w:tc>
          <w:tcPr>
            <w:tcW w:w="880" w:type="dxa"/>
            <w:vAlign w:val="bottom"/>
          </w:tcPr>
          <w:p>
            <w:pPr>
              <w:spacing w:after="0"/>
              <w:rPr>
                <w:sz w:val="11"/>
                <w:szCs w:val="11"/>
                <w:color w:val="auto"/>
              </w:rPr>
            </w:pPr>
          </w:p>
        </w:tc>
        <w:tc>
          <w:tcPr>
            <w:tcW w:w="1140" w:type="dxa"/>
            <w:vAlign w:val="bottom"/>
          </w:tcPr>
          <w:p>
            <w:pPr>
              <w:jc w:val="right"/>
              <w:ind w:right="458"/>
              <w:spacing w:after="0" w:line="134" w:lineRule="exact"/>
              <w:rPr>
                <w:sz w:val="20"/>
                <w:szCs w:val="20"/>
                <w:color w:val="auto"/>
              </w:rPr>
            </w:pPr>
            <w:r>
              <w:rPr>
                <w:rFonts w:ascii="Arial" w:cs="Arial" w:eastAsia="Arial" w:hAnsi="Arial"/>
                <w:sz w:val="12"/>
                <w:szCs w:val="12"/>
                <w:color w:val="auto"/>
              </w:rPr>
              <w:t>38</w:t>
            </w:r>
          </w:p>
        </w:tc>
        <w:tc>
          <w:tcPr>
            <w:tcW w:w="66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36</w:t>
            </w:r>
          </w:p>
        </w:tc>
      </w:tr>
      <w:tr>
        <w:trPr>
          <w:trHeight w:val="134"/>
        </w:trPr>
        <w:tc>
          <w:tcPr>
            <w:tcW w:w="20" w:type="dxa"/>
            <w:vAlign w:val="bottom"/>
          </w:tcPr>
          <w:p>
            <w:pPr>
              <w:spacing w:after="0"/>
              <w:rPr>
                <w:sz w:val="11"/>
                <w:szCs w:val="11"/>
                <w:color w:val="auto"/>
              </w:rPr>
            </w:pPr>
          </w:p>
        </w:tc>
        <w:tc>
          <w:tcPr>
            <w:tcW w:w="5080" w:type="dxa"/>
            <w:vAlign w:val="bottom"/>
          </w:tcPr>
          <w:p>
            <w:pPr>
              <w:ind w:left="80"/>
              <w:spacing w:after="0" w:line="134" w:lineRule="exact"/>
              <w:rPr>
                <w:sz w:val="20"/>
                <w:szCs w:val="20"/>
                <w:color w:val="auto"/>
              </w:rPr>
            </w:pPr>
            <w:r>
              <w:rPr>
                <w:rFonts w:ascii="Arial" w:cs="Arial" w:eastAsia="Arial" w:hAnsi="Arial"/>
                <w:sz w:val="12"/>
                <w:szCs w:val="12"/>
                <w:color w:val="auto"/>
              </w:rPr>
              <w:t>Sempra LNG</w:t>
            </w: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jc w:val="right"/>
              <w:ind w:right="298"/>
              <w:spacing w:after="0" w:line="134" w:lineRule="exact"/>
              <w:rPr>
                <w:sz w:val="20"/>
                <w:szCs w:val="20"/>
                <w:color w:val="auto"/>
              </w:rPr>
            </w:pPr>
            <w:r>
              <w:rPr>
                <w:rFonts w:ascii="Arial" w:cs="Arial" w:eastAsia="Arial" w:hAnsi="Arial"/>
                <w:sz w:val="12"/>
                <w:szCs w:val="12"/>
                <w:color w:val="auto"/>
              </w:rPr>
              <w:t>33</w:t>
            </w:r>
          </w:p>
        </w:tc>
        <w:tc>
          <w:tcPr>
            <w:tcW w:w="76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13</w:t>
            </w:r>
          </w:p>
        </w:tc>
        <w:tc>
          <w:tcPr>
            <w:tcW w:w="880" w:type="dxa"/>
            <w:vAlign w:val="bottom"/>
          </w:tcPr>
          <w:p>
            <w:pPr>
              <w:spacing w:after="0"/>
              <w:rPr>
                <w:sz w:val="11"/>
                <w:szCs w:val="11"/>
                <w:color w:val="auto"/>
              </w:rPr>
            </w:pPr>
          </w:p>
        </w:tc>
        <w:tc>
          <w:tcPr>
            <w:tcW w:w="1140" w:type="dxa"/>
            <w:vAlign w:val="bottom"/>
          </w:tcPr>
          <w:p>
            <w:pPr>
              <w:jc w:val="right"/>
              <w:ind w:right="458"/>
              <w:spacing w:after="0" w:line="134" w:lineRule="exact"/>
              <w:rPr>
                <w:sz w:val="20"/>
                <w:szCs w:val="20"/>
                <w:color w:val="auto"/>
              </w:rPr>
            </w:pPr>
            <w:r>
              <w:rPr>
                <w:rFonts w:ascii="Arial" w:cs="Arial" w:eastAsia="Arial" w:hAnsi="Arial"/>
                <w:sz w:val="12"/>
                <w:szCs w:val="12"/>
                <w:color w:val="auto"/>
              </w:rPr>
              <w:t>32</w:t>
            </w:r>
          </w:p>
        </w:tc>
        <w:tc>
          <w:tcPr>
            <w:tcW w:w="66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30</w:t>
            </w:r>
          </w:p>
        </w:tc>
      </w:tr>
      <w:tr>
        <w:trPr>
          <w:trHeight w:val="144"/>
        </w:trPr>
        <w:tc>
          <w:tcPr>
            <w:tcW w:w="20" w:type="dxa"/>
            <w:vAlign w:val="bottom"/>
          </w:tcPr>
          <w:p>
            <w:pPr>
              <w:spacing w:after="0"/>
              <w:rPr>
                <w:sz w:val="12"/>
                <w:szCs w:val="12"/>
                <w:color w:val="auto"/>
              </w:rPr>
            </w:pPr>
          </w:p>
        </w:tc>
        <w:tc>
          <w:tcPr>
            <w:tcW w:w="5080" w:type="dxa"/>
            <w:vAlign w:val="bottom"/>
          </w:tcPr>
          <w:p>
            <w:pPr>
              <w:ind w:left="80"/>
              <w:spacing w:after="0"/>
              <w:rPr>
                <w:sz w:val="20"/>
                <w:szCs w:val="20"/>
                <w:color w:val="auto"/>
              </w:rPr>
            </w:pPr>
            <w:r>
              <w:rPr>
                <w:rFonts w:ascii="Arial" w:cs="Arial" w:eastAsia="Arial" w:hAnsi="Arial"/>
                <w:sz w:val="12"/>
                <w:szCs w:val="12"/>
                <w:color w:val="auto"/>
              </w:rPr>
              <w:t>All other</w:t>
            </w:r>
          </w:p>
        </w:tc>
        <w:tc>
          <w:tcPr>
            <w:tcW w:w="1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(30)</w:t>
            </w:r>
          </w:p>
        </w:tc>
        <w:tc>
          <w:tcPr>
            <w:tcW w:w="76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(12)</w:t>
            </w:r>
          </w:p>
        </w:tc>
        <w:tc>
          <w:tcPr>
            <w:tcW w:w="8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(61)</w:t>
            </w:r>
          </w:p>
        </w:tc>
        <w:tc>
          <w:tcPr>
            <w:tcW w:w="6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(57)</w:t>
            </w:r>
          </w:p>
        </w:tc>
      </w:tr>
      <w:tr>
        <w:trPr>
          <w:trHeight w:val="135"/>
        </w:trPr>
        <w:tc>
          <w:tcPr>
            <w:tcW w:w="20" w:type="dxa"/>
            <w:vAlign w:val="bottom"/>
          </w:tcPr>
          <w:p>
            <w:pPr>
              <w:spacing w:after="0"/>
              <w:rPr>
                <w:sz w:val="11"/>
                <w:szCs w:val="11"/>
                <w:color w:val="auto"/>
              </w:rPr>
            </w:pPr>
          </w:p>
        </w:tc>
        <w:tc>
          <w:tcPr>
            <w:tcW w:w="5080" w:type="dxa"/>
            <w:vAlign w:val="bottom"/>
            <w:tcBorders>
              <w:bottom w:val="single" w:sz="8" w:color="auto"/>
            </w:tcBorders>
          </w:tcPr>
          <w:p>
            <w:pPr>
              <w:ind w:left="220"/>
              <w:spacing w:after="0" w:line="134" w:lineRule="exact"/>
              <w:rPr>
                <w:sz w:val="20"/>
                <w:szCs w:val="20"/>
                <w:color w:val="auto"/>
              </w:rPr>
            </w:pPr>
            <w:r>
              <w:rPr>
                <w:rFonts w:ascii="Arial" w:cs="Arial" w:eastAsia="Arial" w:hAnsi="Arial"/>
                <w:sz w:val="12"/>
                <w:szCs w:val="12"/>
                <w:color w:val="auto"/>
              </w:rPr>
              <w:t>Total</w:t>
            </w:r>
          </w:p>
        </w:tc>
        <w:tc>
          <w:tcPr>
            <w:tcW w:w="1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ind w:right="298"/>
              <w:spacing w:after="0" w:line="134" w:lineRule="exact"/>
              <w:rPr>
                <w:sz w:val="20"/>
                <w:szCs w:val="20"/>
                <w:color w:val="auto"/>
              </w:rPr>
            </w:pPr>
            <w:r>
              <w:rPr>
                <w:rFonts w:ascii="Arial" w:cs="Arial" w:eastAsia="Arial" w:hAnsi="Arial"/>
                <w:sz w:val="12"/>
                <w:szCs w:val="12"/>
                <w:color w:val="auto"/>
              </w:rPr>
              <w:t>258</w:t>
            </w:r>
          </w:p>
        </w:tc>
        <w:tc>
          <w:tcPr>
            <w:tcW w:w="760" w:type="dxa"/>
            <w:vAlign w:val="bottom"/>
            <w:tcBorders>
              <w:bottom w:val="single" w:sz="8" w:color="auto"/>
            </w:tcBorders>
          </w:tcPr>
          <w:p>
            <w:pPr>
              <w:jc w:val="right"/>
              <w:ind w:right="38"/>
              <w:spacing w:after="0" w:line="134" w:lineRule="exact"/>
              <w:rPr>
                <w:sz w:val="20"/>
                <w:szCs w:val="20"/>
                <w:color w:val="auto"/>
              </w:rPr>
            </w:pPr>
            <w:r>
              <w:rPr>
                <w:rFonts w:ascii="Arial" w:cs="Arial" w:eastAsia="Arial" w:hAnsi="Arial"/>
                <w:sz w:val="12"/>
                <w:szCs w:val="12"/>
                <w:color w:val="auto"/>
              </w:rPr>
              <w:t>100 %</w:t>
            </w:r>
          </w:p>
        </w:tc>
        <w:tc>
          <w:tcPr>
            <w:tcW w:w="880" w:type="dxa"/>
            <w:vAlign w:val="bottom"/>
            <w:tcBorders>
              <w:bottom w:val="single" w:sz="8" w:color="auto"/>
            </w:tcBorders>
          </w:tcPr>
          <w:p>
            <w:pPr>
              <w:jc w:val="right"/>
              <w:ind w:right="678"/>
              <w:spacing w:after="0" w:line="134" w:lineRule="exact"/>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458"/>
              <w:spacing w:after="0" w:line="134" w:lineRule="exact"/>
              <w:rPr>
                <w:sz w:val="20"/>
                <w:szCs w:val="20"/>
                <w:color w:val="auto"/>
              </w:rPr>
            </w:pPr>
            <w:r>
              <w:rPr>
                <w:rFonts w:ascii="Arial" w:cs="Arial" w:eastAsia="Arial" w:hAnsi="Arial"/>
                <w:sz w:val="12"/>
                <w:szCs w:val="12"/>
                <w:color w:val="auto"/>
              </w:rPr>
              <w:t>106</w:t>
            </w:r>
          </w:p>
        </w:tc>
        <w:tc>
          <w:tcPr>
            <w:tcW w:w="660" w:type="dxa"/>
            <w:vAlign w:val="bottom"/>
            <w:tcBorders>
              <w:bottom w:val="single" w:sz="8" w:color="auto"/>
            </w:tcBorders>
          </w:tcPr>
          <w:p>
            <w:pPr>
              <w:jc w:val="right"/>
              <w:ind w:right="118"/>
              <w:spacing w:after="0" w:line="134" w:lineRule="exact"/>
              <w:rPr>
                <w:sz w:val="20"/>
                <w:szCs w:val="20"/>
                <w:color w:val="auto"/>
              </w:rPr>
            </w:pPr>
            <w:r>
              <w:rPr>
                <w:rFonts w:ascii="Arial" w:cs="Arial" w:eastAsia="Arial" w:hAnsi="Arial"/>
                <w:sz w:val="12"/>
                <w:szCs w:val="12"/>
                <w:color w:val="auto"/>
              </w:rPr>
              <w:t>100 %</w:t>
            </w:r>
          </w:p>
        </w:tc>
      </w:tr>
      <w:tr>
        <w:trPr>
          <w:trHeight w:val="125"/>
        </w:trPr>
        <w:tc>
          <w:tcPr>
            <w:tcW w:w="20" w:type="dxa"/>
            <w:vAlign w:val="bottom"/>
          </w:tcPr>
          <w:p>
            <w:pPr>
              <w:spacing w:after="0"/>
              <w:rPr>
                <w:sz w:val="10"/>
                <w:szCs w:val="10"/>
                <w:color w:val="auto"/>
              </w:rPr>
            </w:pPr>
          </w:p>
        </w:tc>
        <w:tc>
          <w:tcPr>
            <w:tcW w:w="5080" w:type="dxa"/>
            <w:vAlign w:val="bottom"/>
          </w:tcPr>
          <w:p>
            <w:pPr>
              <w:spacing w:after="0" w:line="126" w:lineRule="exact"/>
              <w:rPr>
                <w:sz w:val="20"/>
                <w:szCs w:val="20"/>
                <w:color w:val="auto"/>
              </w:rPr>
            </w:pPr>
            <w:r>
              <w:rPr>
                <w:rFonts w:ascii="Arial" w:cs="Arial" w:eastAsia="Arial" w:hAnsi="Arial"/>
                <w:sz w:val="12"/>
                <w:szCs w:val="12"/>
                <w:color w:val="auto"/>
              </w:rPr>
              <w:t>EXPENDITURES FOR PROPERTY PLANT &amp; EQUIPMENT</w:t>
            </w: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80"/>
              <w:spacing w:after="0" w:line="134" w:lineRule="exact"/>
              <w:rPr>
                <w:sz w:val="20"/>
                <w:szCs w:val="20"/>
                <w:color w:val="auto"/>
              </w:rPr>
            </w:pPr>
            <w:r>
              <w:rPr>
                <w:rFonts w:ascii="Arial" w:cs="Arial" w:eastAsia="Arial" w:hAnsi="Arial"/>
                <w:sz w:val="12"/>
                <w:szCs w:val="12"/>
                <w:color w:val="auto"/>
              </w:rPr>
              <w:t>SDG&amp;E</w:t>
            </w:r>
          </w:p>
        </w:tc>
        <w:tc>
          <w:tcPr>
            <w:tcW w:w="1400" w:type="dxa"/>
            <w:vAlign w:val="bottom"/>
            <w:gridSpan w:val="2"/>
          </w:tcPr>
          <w:p>
            <w:pPr>
              <w:jc w:val="right"/>
              <w:ind w:right="128"/>
              <w:spacing w:after="0" w:line="134" w:lineRule="exact"/>
              <w:rPr>
                <w:sz w:val="20"/>
                <w:szCs w:val="20"/>
                <w:color w:val="auto"/>
              </w:rPr>
            </w:pPr>
            <w:r>
              <w:rPr>
                <w:rFonts w:ascii="Arial" w:cs="Arial" w:eastAsia="Arial" w:hAnsi="Arial"/>
                <w:sz w:val="12"/>
                <w:szCs w:val="12"/>
                <w:color w:val="auto"/>
              </w:rPr>
              <w:t>$</w:t>
            </w:r>
          </w:p>
        </w:tc>
        <w:tc>
          <w:tcPr>
            <w:tcW w:w="1520" w:type="dxa"/>
            <w:vAlign w:val="bottom"/>
          </w:tcPr>
          <w:p>
            <w:pPr>
              <w:jc w:val="right"/>
              <w:ind w:right="298"/>
              <w:spacing w:after="0" w:line="134" w:lineRule="exact"/>
              <w:rPr>
                <w:sz w:val="20"/>
                <w:szCs w:val="20"/>
                <w:color w:val="auto"/>
              </w:rPr>
            </w:pPr>
            <w:r>
              <w:rPr>
                <w:rFonts w:ascii="Arial" w:cs="Arial" w:eastAsia="Arial" w:hAnsi="Arial"/>
                <w:sz w:val="12"/>
                <w:szCs w:val="12"/>
                <w:color w:val="auto"/>
              </w:rPr>
              <w:t>348</w:t>
            </w:r>
          </w:p>
        </w:tc>
        <w:tc>
          <w:tcPr>
            <w:tcW w:w="7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57 %</w:t>
            </w:r>
          </w:p>
        </w:tc>
        <w:tc>
          <w:tcPr>
            <w:tcW w:w="880" w:type="dxa"/>
            <w:vAlign w:val="bottom"/>
          </w:tcPr>
          <w:p>
            <w:pPr>
              <w:jc w:val="right"/>
              <w:ind w:right="678"/>
              <w:spacing w:after="0" w:line="134"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458"/>
              <w:spacing w:after="0" w:line="134" w:lineRule="exact"/>
              <w:rPr>
                <w:sz w:val="20"/>
                <w:szCs w:val="20"/>
                <w:color w:val="auto"/>
              </w:rPr>
            </w:pPr>
            <w:r>
              <w:rPr>
                <w:rFonts w:ascii="Arial" w:cs="Arial" w:eastAsia="Arial" w:hAnsi="Arial"/>
                <w:sz w:val="12"/>
                <w:szCs w:val="12"/>
                <w:color w:val="auto"/>
              </w:rPr>
              <w:t>290</w:t>
            </w:r>
          </w:p>
        </w:tc>
        <w:tc>
          <w:tcPr>
            <w:tcW w:w="66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65 %</w:t>
            </w:r>
          </w:p>
        </w:tc>
      </w:tr>
      <w:tr>
        <w:trPr>
          <w:trHeight w:val="134"/>
        </w:trPr>
        <w:tc>
          <w:tcPr>
            <w:tcW w:w="20" w:type="dxa"/>
            <w:vAlign w:val="bottom"/>
          </w:tcPr>
          <w:p>
            <w:pPr>
              <w:spacing w:after="0"/>
              <w:rPr>
                <w:sz w:val="11"/>
                <w:szCs w:val="11"/>
                <w:color w:val="auto"/>
              </w:rPr>
            </w:pPr>
          </w:p>
        </w:tc>
        <w:tc>
          <w:tcPr>
            <w:tcW w:w="5080" w:type="dxa"/>
            <w:vAlign w:val="bottom"/>
          </w:tcPr>
          <w:p>
            <w:pPr>
              <w:ind w:left="80"/>
              <w:spacing w:after="0" w:line="134" w:lineRule="exact"/>
              <w:rPr>
                <w:sz w:val="20"/>
                <w:szCs w:val="20"/>
                <w:color w:val="auto"/>
              </w:rPr>
            </w:pPr>
            <w:r>
              <w:rPr>
                <w:rFonts w:ascii="Arial" w:cs="Arial" w:eastAsia="Arial" w:hAnsi="Arial"/>
                <w:sz w:val="12"/>
                <w:szCs w:val="12"/>
                <w:color w:val="auto"/>
              </w:rPr>
              <w:t>SoCalGas</w:t>
            </w: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jc w:val="right"/>
              <w:ind w:right="298"/>
              <w:spacing w:after="0" w:line="134" w:lineRule="exact"/>
              <w:rPr>
                <w:sz w:val="20"/>
                <w:szCs w:val="20"/>
                <w:color w:val="auto"/>
              </w:rPr>
            </w:pPr>
            <w:r>
              <w:rPr>
                <w:rFonts w:ascii="Arial" w:cs="Arial" w:eastAsia="Arial" w:hAnsi="Arial"/>
                <w:sz w:val="12"/>
                <w:szCs w:val="12"/>
                <w:color w:val="auto"/>
              </w:rPr>
              <w:t>168</w:t>
            </w:r>
          </w:p>
        </w:tc>
        <w:tc>
          <w:tcPr>
            <w:tcW w:w="76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28</w:t>
            </w:r>
          </w:p>
        </w:tc>
        <w:tc>
          <w:tcPr>
            <w:tcW w:w="880" w:type="dxa"/>
            <w:vAlign w:val="bottom"/>
          </w:tcPr>
          <w:p>
            <w:pPr>
              <w:spacing w:after="0"/>
              <w:rPr>
                <w:sz w:val="11"/>
                <w:szCs w:val="11"/>
                <w:color w:val="auto"/>
              </w:rPr>
            </w:pPr>
          </w:p>
        </w:tc>
        <w:tc>
          <w:tcPr>
            <w:tcW w:w="1140" w:type="dxa"/>
            <w:vAlign w:val="bottom"/>
          </w:tcPr>
          <w:p>
            <w:pPr>
              <w:jc w:val="right"/>
              <w:ind w:right="458"/>
              <w:spacing w:after="0" w:line="134" w:lineRule="exact"/>
              <w:rPr>
                <w:sz w:val="20"/>
                <w:szCs w:val="20"/>
                <w:color w:val="auto"/>
              </w:rPr>
            </w:pPr>
            <w:r>
              <w:rPr>
                <w:rFonts w:ascii="Arial" w:cs="Arial" w:eastAsia="Arial" w:hAnsi="Arial"/>
                <w:sz w:val="12"/>
                <w:szCs w:val="12"/>
                <w:color w:val="auto"/>
              </w:rPr>
              <w:t>114</w:t>
            </w:r>
          </w:p>
        </w:tc>
        <w:tc>
          <w:tcPr>
            <w:tcW w:w="66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26</w:t>
            </w:r>
          </w:p>
        </w:tc>
      </w:tr>
      <w:tr>
        <w:trPr>
          <w:trHeight w:val="134"/>
        </w:trPr>
        <w:tc>
          <w:tcPr>
            <w:tcW w:w="20" w:type="dxa"/>
            <w:vAlign w:val="bottom"/>
          </w:tcPr>
          <w:p>
            <w:pPr>
              <w:spacing w:after="0"/>
              <w:rPr>
                <w:sz w:val="11"/>
                <w:szCs w:val="11"/>
                <w:color w:val="auto"/>
              </w:rPr>
            </w:pPr>
          </w:p>
        </w:tc>
        <w:tc>
          <w:tcPr>
            <w:tcW w:w="5080" w:type="dxa"/>
            <w:vAlign w:val="bottom"/>
          </w:tcPr>
          <w:p>
            <w:pPr>
              <w:ind w:left="80"/>
              <w:spacing w:after="0" w:line="134" w:lineRule="exact"/>
              <w:rPr>
                <w:sz w:val="20"/>
                <w:szCs w:val="20"/>
                <w:color w:val="auto"/>
              </w:rPr>
            </w:pPr>
            <w:r>
              <w:rPr>
                <w:rFonts w:ascii="Arial" w:cs="Arial" w:eastAsia="Arial" w:hAnsi="Arial"/>
                <w:sz w:val="12"/>
                <w:szCs w:val="12"/>
                <w:color w:val="auto"/>
              </w:rPr>
              <w:t>Sempra Generation</w:t>
            </w: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jc w:val="right"/>
              <w:ind w:right="298"/>
              <w:spacing w:after="0" w:line="134" w:lineRule="exact"/>
              <w:rPr>
                <w:sz w:val="20"/>
                <w:szCs w:val="20"/>
                <w:color w:val="auto"/>
              </w:rPr>
            </w:pPr>
            <w:r>
              <w:rPr>
                <w:rFonts w:ascii="Arial" w:cs="Arial" w:eastAsia="Arial" w:hAnsi="Arial"/>
                <w:sz w:val="12"/>
                <w:szCs w:val="12"/>
                <w:color w:val="auto"/>
              </w:rPr>
              <w:t>52</w:t>
            </w:r>
          </w:p>
        </w:tc>
        <w:tc>
          <w:tcPr>
            <w:tcW w:w="76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9</w:t>
            </w:r>
          </w:p>
        </w:tc>
        <w:tc>
          <w:tcPr>
            <w:tcW w:w="880" w:type="dxa"/>
            <w:vAlign w:val="bottom"/>
          </w:tcPr>
          <w:p>
            <w:pPr>
              <w:spacing w:after="0"/>
              <w:rPr>
                <w:sz w:val="11"/>
                <w:szCs w:val="11"/>
                <w:color w:val="auto"/>
              </w:rPr>
            </w:pPr>
          </w:p>
        </w:tc>
        <w:tc>
          <w:tcPr>
            <w:tcW w:w="1140" w:type="dxa"/>
            <w:vAlign w:val="bottom"/>
          </w:tcPr>
          <w:p>
            <w:pPr>
              <w:jc w:val="right"/>
              <w:ind w:right="458"/>
              <w:spacing w:after="0" w:line="134" w:lineRule="exact"/>
              <w:rPr>
                <w:sz w:val="20"/>
                <w:szCs w:val="20"/>
                <w:color w:val="auto"/>
              </w:rPr>
            </w:pPr>
            <w:r>
              <w:rPr>
                <w:rFonts w:ascii="Arial" w:cs="Arial" w:eastAsia="Arial" w:hAnsi="Arial"/>
                <w:sz w:val="12"/>
                <w:szCs w:val="12"/>
                <w:color w:val="auto"/>
              </w:rPr>
              <w:t>4</w:t>
            </w:r>
          </w:p>
        </w:tc>
        <w:tc>
          <w:tcPr>
            <w:tcW w:w="66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1</w:t>
            </w:r>
          </w:p>
        </w:tc>
      </w:tr>
      <w:tr>
        <w:trPr>
          <w:trHeight w:val="134"/>
        </w:trPr>
        <w:tc>
          <w:tcPr>
            <w:tcW w:w="20" w:type="dxa"/>
            <w:vAlign w:val="bottom"/>
          </w:tcPr>
          <w:p>
            <w:pPr>
              <w:spacing w:after="0"/>
              <w:rPr>
                <w:sz w:val="11"/>
                <w:szCs w:val="11"/>
                <w:color w:val="auto"/>
              </w:rPr>
            </w:pPr>
          </w:p>
        </w:tc>
        <w:tc>
          <w:tcPr>
            <w:tcW w:w="5080" w:type="dxa"/>
            <w:vAlign w:val="bottom"/>
          </w:tcPr>
          <w:p>
            <w:pPr>
              <w:ind w:left="80"/>
              <w:spacing w:after="0" w:line="134" w:lineRule="exact"/>
              <w:rPr>
                <w:sz w:val="20"/>
                <w:szCs w:val="20"/>
                <w:color w:val="auto"/>
              </w:rPr>
            </w:pPr>
            <w:r>
              <w:rPr>
                <w:rFonts w:ascii="Arial" w:cs="Arial" w:eastAsia="Arial" w:hAnsi="Arial"/>
                <w:sz w:val="12"/>
                <w:szCs w:val="12"/>
                <w:color w:val="auto"/>
              </w:rPr>
              <w:t>Sempra Pipelines &amp; Storage</w:t>
            </w: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jc w:val="right"/>
              <w:ind w:right="298"/>
              <w:spacing w:after="0" w:line="134" w:lineRule="exact"/>
              <w:rPr>
                <w:sz w:val="20"/>
                <w:szCs w:val="20"/>
                <w:color w:val="auto"/>
              </w:rPr>
            </w:pPr>
            <w:r>
              <w:rPr>
                <w:rFonts w:ascii="Arial" w:cs="Arial" w:eastAsia="Arial" w:hAnsi="Arial"/>
                <w:sz w:val="12"/>
                <w:szCs w:val="12"/>
                <w:color w:val="auto"/>
              </w:rPr>
              <w:t>36</w:t>
            </w:r>
          </w:p>
        </w:tc>
        <w:tc>
          <w:tcPr>
            <w:tcW w:w="76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6</w:t>
            </w:r>
          </w:p>
        </w:tc>
        <w:tc>
          <w:tcPr>
            <w:tcW w:w="880" w:type="dxa"/>
            <w:vAlign w:val="bottom"/>
          </w:tcPr>
          <w:p>
            <w:pPr>
              <w:spacing w:after="0"/>
              <w:rPr>
                <w:sz w:val="11"/>
                <w:szCs w:val="11"/>
                <w:color w:val="auto"/>
              </w:rPr>
            </w:pPr>
          </w:p>
        </w:tc>
        <w:tc>
          <w:tcPr>
            <w:tcW w:w="1140" w:type="dxa"/>
            <w:vAlign w:val="bottom"/>
          </w:tcPr>
          <w:p>
            <w:pPr>
              <w:jc w:val="right"/>
              <w:ind w:right="458"/>
              <w:spacing w:after="0" w:line="134" w:lineRule="exact"/>
              <w:rPr>
                <w:sz w:val="20"/>
                <w:szCs w:val="20"/>
                <w:color w:val="auto"/>
              </w:rPr>
            </w:pPr>
            <w:r>
              <w:rPr>
                <w:rFonts w:ascii="Arial" w:cs="Arial" w:eastAsia="Arial" w:hAnsi="Arial"/>
                <w:sz w:val="12"/>
                <w:szCs w:val="12"/>
                <w:color w:val="auto"/>
              </w:rPr>
              <w:t>36</w:t>
            </w:r>
          </w:p>
        </w:tc>
        <w:tc>
          <w:tcPr>
            <w:tcW w:w="66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8</w:t>
            </w:r>
          </w:p>
        </w:tc>
      </w:tr>
      <w:tr>
        <w:trPr>
          <w:trHeight w:val="144"/>
        </w:trPr>
        <w:tc>
          <w:tcPr>
            <w:tcW w:w="20" w:type="dxa"/>
            <w:vAlign w:val="bottom"/>
          </w:tcPr>
          <w:p>
            <w:pPr>
              <w:spacing w:after="0"/>
              <w:rPr>
                <w:sz w:val="12"/>
                <w:szCs w:val="12"/>
                <w:color w:val="auto"/>
              </w:rPr>
            </w:pPr>
          </w:p>
        </w:tc>
        <w:tc>
          <w:tcPr>
            <w:tcW w:w="5080" w:type="dxa"/>
            <w:vAlign w:val="bottom"/>
          </w:tcPr>
          <w:p>
            <w:pPr>
              <w:ind w:left="80"/>
              <w:spacing w:after="0"/>
              <w:rPr>
                <w:sz w:val="20"/>
                <w:szCs w:val="20"/>
                <w:color w:val="auto"/>
              </w:rPr>
            </w:pPr>
            <w:r>
              <w:rPr>
                <w:rFonts w:ascii="Arial" w:cs="Arial" w:eastAsia="Arial" w:hAnsi="Arial"/>
                <w:sz w:val="12"/>
                <w:szCs w:val="12"/>
                <w:color w:val="auto"/>
              </w:rPr>
              <w:t>Sempra LNG</w:t>
            </w:r>
          </w:p>
        </w:tc>
        <w:tc>
          <w:tcPr>
            <w:tcW w:w="1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3</w:t>
            </w:r>
          </w:p>
        </w:tc>
        <w:tc>
          <w:tcPr>
            <w:tcW w:w="7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2</w:t>
            </w:r>
          </w:p>
        </w:tc>
        <w:tc>
          <w:tcPr>
            <w:tcW w:w="6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w:t>
            </w:r>
          </w:p>
        </w:tc>
      </w:tr>
      <w:tr>
        <w:trPr>
          <w:trHeight w:val="135"/>
        </w:trPr>
        <w:tc>
          <w:tcPr>
            <w:tcW w:w="20" w:type="dxa"/>
            <w:vAlign w:val="bottom"/>
          </w:tcPr>
          <w:p>
            <w:pPr>
              <w:spacing w:after="0"/>
              <w:rPr>
                <w:sz w:val="11"/>
                <w:szCs w:val="11"/>
                <w:color w:val="auto"/>
              </w:rPr>
            </w:pPr>
          </w:p>
        </w:tc>
        <w:tc>
          <w:tcPr>
            <w:tcW w:w="5080" w:type="dxa"/>
            <w:vAlign w:val="bottom"/>
            <w:tcBorders>
              <w:bottom w:val="single" w:sz="8" w:color="auto"/>
            </w:tcBorders>
          </w:tcPr>
          <w:p>
            <w:pPr>
              <w:ind w:left="220"/>
              <w:spacing w:after="0" w:line="134" w:lineRule="exact"/>
              <w:rPr>
                <w:sz w:val="20"/>
                <w:szCs w:val="20"/>
                <w:color w:val="auto"/>
              </w:rPr>
            </w:pPr>
            <w:r>
              <w:rPr>
                <w:rFonts w:ascii="Arial" w:cs="Arial" w:eastAsia="Arial" w:hAnsi="Arial"/>
                <w:sz w:val="12"/>
                <w:szCs w:val="12"/>
                <w:color w:val="auto"/>
              </w:rPr>
              <w:t>Total</w:t>
            </w:r>
          </w:p>
        </w:tc>
        <w:tc>
          <w:tcPr>
            <w:tcW w:w="1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ind w:right="298"/>
              <w:spacing w:after="0" w:line="134" w:lineRule="exact"/>
              <w:rPr>
                <w:sz w:val="20"/>
                <w:szCs w:val="20"/>
                <w:color w:val="auto"/>
              </w:rPr>
            </w:pPr>
            <w:r>
              <w:rPr>
                <w:rFonts w:ascii="Arial" w:cs="Arial" w:eastAsia="Arial" w:hAnsi="Arial"/>
                <w:sz w:val="12"/>
                <w:szCs w:val="12"/>
                <w:color w:val="auto"/>
              </w:rPr>
              <w:t>607</w:t>
            </w:r>
          </w:p>
        </w:tc>
        <w:tc>
          <w:tcPr>
            <w:tcW w:w="760" w:type="dxa"/>
            <w:vAlign w:val="bottom"/>
            <w:tcBorders>
              <w:bottom w:val="single" w:sz="8" w:color="auto"/>
            </w:tcBorders>
          </w:tcPr>
          <w:p>
            <w:pPr>
              <w:jc w:val="right"/>
              <w:ind w:right="38"/>
              <w:spacing w:after="0" w:line="134" w:lineRule="exact"/>
              <w:rPr>
                <w:sz w:val="20"/>
                <w:szCs w:val="20"/>
                <w:color w:val="auto"/>
              </w:rPr>
            </w:pPr>
            <w:r>
              <w:rPr>
                <w:rFonts w:ascii="Arial" w:cs="Arial" w:eastAsia="Arial" w:hAnsi="Arial"/>
                <w:sz w:val="12"/>
                <w:szCs w:val="12"/>
                <w:color w:val="auto"/>
              </w:rPr>
              <w:t>100 %</w:t>
            </w:r>
          </w:p>
        </w:tc>
        <w:tc>
          <w:tcPr>
            <w:tcW w:w="880" w:type="dxa"/>
            <w:vAlign w:val="bottom"/>
            <w:tcBorders>
              <w:bottom w:val="single" w:sz="8" w:color="auto"/>
            </w:tcBorders>
          </w:tcPr>
          <w:p>
            <w:pPr>
              <w:jc w:val="right"/>
              <w:ind w:right="678"/>
              <w:spacing w:after="0" w:line="134" w:lineRule="exact"/>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458"/>
              <w:spacing w:after="0" w:line="134" w:lineRule="exact"/>
              <w:rPr>
                <w:sz w:val="20"/>
                <w:szCs w:val="20"/>
                <w:color w:val="auto"/>
              </w:rPr>
            </w:pPr>
            <w:r>
              <w:rPr>
                <w:rFonts w:ascii="Arial" w:cs="Arial" w:eastAsia="Arial" w:hAnsi="Arial"/>
                <w:sz w:val="12"/>
                <w:szCs w:val="12"/>
                <w:color w:val="auto"/>
              </w:rPr>
              <w:t>446</w:t>
            </w:r>
          </w:p>
        </w:tc>
        <w:tc>
          <w:tcPr>
            <w:tcW w:w="660" w:type="dxa"/>
            <w:vAlign w:val="bottom"/>
            <w:tcBorders>
              <w:bottom w:val="single" w:sz="8" w:color="auto"/>
            </w:tcBorders>
          </w:tcPr>
          <w:p>
            <w:pPr>
              <w:jc w:val="right"/>
              <w:ind w:right="118"/>
              <w:spacing w:after="0" w:line="134" w:lineRule="exact"/>
              <w:rPr>
                <w:sz w:val="20"/>
                <w:szCs w:val="20"/>
                <w:color w:val="auto"/>
              </w:rPr>
            </w:pPr>
            <w:r>
              <w:rPr>
                <w:rFonts w:ascii="Arial" w:cs="Arial" w:eastAsia="Arial" w:hAnsi="Arial"/>
                <w:sz w:val="12"/>
                <w:szCs w:val="12"/>
                <w:color w:val="auto"/>
              </w:rPr>
              <w:t>100 %</w:t>
            </w:r>
          </w:p>
        </w:tc>
      </w:tr>
      <w:tr>
        <w:trPr>
          <w:trHeight w:val="156"/>
        </w:trPr>
        <w:tc>
          <w:tcPr>
            <w:tcW w:w="20" w:type="dxa"/>
            <w:vAlign w:val="bottom"/>
          </w:tcPr>
          <w:p>
            <w:pPr>
              <w:spacing w:after="0"/>
              <w:rPr>
                <w:sz w:val="13"/>
                <w:szCs w:val="13"/>
                <w:color w:val="auto"/>
              </w:rPr>
            </w:pPr>
          </w:p>
        </w:tc>
        <w:tc>
          <w:tcPr>
            <w:tcW w:w="50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18"/>
              <w:spacing w:after="0"/>
              <w:rPr>
                <w:sz w:val="20"/>
                <w:szCs w:val="20"/>
                <w:color w:val="auto"/>
              </w:rPr>
            </w:pPr>
            <w:r>
              <w:rPr>
                <w:rFonts w:ascii="Arial" w:cs="Arial" w:eastAsia="Arial" w:hAnsi="Arial"/>
                <w:sz w:val="11"/>
                <w:szCs w:val="11"/>
                <w:color w:val="auto"/>
              </w:rPr>
              <w:t>March 31, 2011</w:t>
            </w:r>
          </w:p>
        </w:tc>
        <w:tc>
          <w:tcPr>
            <w:tcW w:w="7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color w:val="auto"/>
                <w:w w:val="99"/>
              </w:rPr>
              <w:t>December 31, 2010</w:t>
            </w:r>
          </w:p>
        </w:tc>
        <w:tc>
          <w:tcPr>
            <w:tcW w:w="660" w:type="dxa"/>
            <w:vAlign w:val="bottom"/>
            <w:tcBorders>
              <w:bottom w:val="single" w:sz="8" w:color="auto"/>
            </w:tcBorders>
          </w:tcPr>
          <w:p>
            <w:pPr>
              <w:spacing w:after="0"/>
              <w:rPr>
                <w:sz w:val="13"/>
                <w:szCs w:val="13"/>
                <w:color w:val="auto"/>
              </w:rPr>
            </w:pPr>
          </w:p>
        </w:tc>
      </w:tr>
      <w:tr>
        <w:trPr>
          <w:trHeight w:val="125"/>
        </w:trPr>
        <w:tc>
          <w:tcPr>
            <w:tcW w:w="20" w:type="dxa"/>
            <w:vAlign w:val="bottom"/>
          </w:tcPr>
          <w:p>
            <w:pPr>
              <w:spacing w:after="0"/>
              <w:rPr>
                <w:sz w:val="10"/>
                <w:szCs w:val="10"/>
                <w:color w:val="auto"/>
              </w:rPr>
            </w:pPr>
          </w:p>
        </w:tc>
        <w:tc>
          <w:tcPr>
            <w:tcW w:w="5080" w:type="dxa"/>
            <w:vAlign w:val="bottom"/>
          </w:tcPr>
          <w:p>
            <w:pPr>
              <w:spacing w:after="0" w:line="126" w:lineRule="exact"/>
              <w:rPr>
                <w:sz w:val="20"/>
                <w:szCs w:val="20"/>
                <w:color w:val="auto"/>
              </w:rPr>
            </w:pPr>
            <w:r>
              <w:rPr>
                <w:rFonts w:ascii="Arial" w:cs="Arial" w:eastAsia="Arial" w:hAnsi="Arial"/>
                <w:sz w:val="12"/>
                <w:szCs w:val="12"/>
                <w:color w:val="auto"/>
              </w:rPr>
              <w:t>ASSETS</w:t>
            </w: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80"/>
              <w:spacing w:after="0" w:line="134" w:lineRule="exact"/>
              <w:rPr>
                <w:sz w:val="20"/>
                <w:szCs w:val="20"/>
                <w:color w:val="auto"/>
              </w:rPr>
            </w:pPr>
            <w:r>
              <w:rPr>
                <w:rFonts w:ascii="Arial" w:cs="Arial" w:eastAsia="Arial" w:hAnsi="Arial"/>
                <w:sz w:val="12"/>
                <w:szCs w:val="12"/>
                <w:color w:val="auto"/>
              </w:rPr>
              <w:t>SDG&amp;E</w:t>
            </w:r>
          </w:p>
        </w:tc>
        <w:tc>
          <w:tcPr>
            <w:tcW w:w="1400" w:type="dxa"/>
            <w:vAlign w:val="bottom"/>
            <w:gridSpan w:val="2"/>
          </w:tcPr>
          <w:p>
            <w:pPr>
              <w:jc w:val="right"/>
              <w:ind w:right="128"/>
              <w:spacing w:after="0" w:line="134" w:lineRule="exact"/>
              <w:rPr>
                <w:sz w:val="20"/>
                <w:szCs w:val="20"/>
                <w:color w:val="auto"/>
              </w:rPr>
            </w:pPr>
            <w:r>
              <w:rPr>
                <w:rFonts w:ascii="Arial" w:cs="Arial" w:eastAsia="Arial" w:hAnsi="Arial"/>
                <w:sz w:val="12"/>
                <w:szCs w:val="12"/>
                <w:color w:val="auto"/>
              </w:rPr>
              <w:t>$</w:t>
            </w:r>
          </w:p>
        </w:tc>
        <w:tc>
          <w:tcPr>
            <w:tcW w:w="1520" w:type="dxa"/>
            <w:vAlign w:val="bottom"/>
          </w:tcPr>
          <w:p>
            <w:pPr>
              <w:jc w:val="right"/>
              <w:ind w:right="298"/>
              <w:spacing w:after="0" w:line="134" w:lineRule="exact"/>
              <w:rPr>
                <w:sz w:val="20"/>
                <w:szCs w:val="20"/>
                <w:color w:val="auto"/>
              </w:rPr>
            </w:pPr>
            <w:r>
              <w:rPr>
                <w:rFonts w:ascii="Arial" w:cs="Arial" w:eastAsia="Arial" w:hAnsi="Arial"/>
                <w:sz w:val="12"/>
                <w:szCs w:val="12"/>
                <w:color w:val="auto"/>
              </w:rPr>
              <w:t>12,390</w:t>
            </w:r>
          </w:p>
        </w:tc>
        <w:tc>
          <w:tcPr>
            <w:tcW w:w="7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40 %</w:t>
            </w:r>
          </w:p>
        </w:tc>
        <w:tc>
          <w:tcPr>
            <w:tcW w:w="880" w:type="dxa"/>
            <w:vAlign w:val="bottom"/>
          </w:tcPr>
          <w:p>
            <w:pPr>
              <w:jc w:val="right"/>
              <w:ind w:right="678"/>
              <w:spacing w:after="0" w:line="134"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458"/>
              <w:spacing w:after="0" w:line="134" w:lineRule="exact"/>
              <w:rPr>
                <w:sz w:val="20"/>
                <w:szCs w:val="20"/>
                <w:color w:val="auto"/>
              </w:rPr>
            </w:pPr>
            <w:r>
              <w:rPr>
                <w:rFonts w:ascii="Arial" w:cs="Arial" w:eastAsia="Arial" w:hAnsi="Arial"/>
                <w:sz w:val="12"/>
                <w:szCs w:val="12"/>
                <w:color w:val="auto"/>
              </w:rPr>
              <w:t>12,077</w:t>
            </w:r>
          </w:p>
        </w:tc>
        <w:tc>
          <w:tcPr>
            <w:tcW w:w="66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40 %</w:t>
            </w:r>
          </w:p>
        </w:tc>
      </w:tr>
      <w:tr>
        <w:trPr>
          <w:trHeight w:val="134"/>
        </w:trPr>
        <w:tc>
          <w:tcPr>
            <w:tcW w:w="20" w:type="dxa"/>
            <w:vAlign w:val="bottom"/>
          </w:tcPr>
          <w:p>
            <w:pPr>
              <w:spacing w:after="0"/>
              <w:rPr>
                <w:sz w:val="11"/>
                <w:szCs w:val="11"/>
                <w:color w:val="auto"/>
              </w:rPr>
            </w:pPr>
          </w:p>
        </w:tc>
        <w:tc>
          <w:tcPr>
            <w:tcW w:w="5080" w:type="dxa"/>
            <w:vAlign w:val="bottom"/>
          </w:tcPr>
          <w:p>
            <w:pPr>
              <w:ind w:left="80"/>
              <w:spacing w:after="0" w:line="134" w:lineRule="exact"/>
              <w:rPr>
                <w:sz w:val="20"/>
                <w:szCs w:val="20"/>
                <w:color w:val="auto"/>
              </w:rPr>
            </w:pPr>
            <w:r>
              <w:rPr>
                <w:rFonts w:ascii="Arial" w:cs="Arial" w:eastAsia="Arial" w:hAnsi="Arial"/>
                <w:sz w:val="12"/>
                <w:szCs w:val="12"/>
                <w:color w:val="auto"/>
              </w:rPr>
              <w:t>SoCalGas</w:t>
            </w: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jc w:val="right"/>
              <w:ind w:right="298"/>
              <w:spacing w:after="0" w:line="134" w:lineRule="exact"/>
              <w:rPr>
                <w:sz w:val="20"/>
                <w:szCs w:val="20"/>
                <w:color w:val="auto"/>
              </w:rPr>
            </w:pPr>
            <w:r>
              <w:rPr>
                <w:rFonts w:ascii="Arial" w:cs="Arial" w:eastAsia="Arial" w:hAnsi="Arial"/>
                <w:sz w:val="12"/>
                <w:szCs w:val="12"/>
                <w:color w:val="auto"/>
              </w:rPr>
              <w:t>7,908</w:t>
            </w:r>
          </w:p>
        </w:tc>
        <w:tc>
          <w:tcPr>
            <w:tcW w:w="76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26</w:t>
            </w:r>
          </w:p>
        </w:tc>
        <w:tc>
          <w:tcPr>
            <w:tcW w:w="880" w:type="dxa"/>
            <w:vAlign w:val="bottom"/>
          </w:tcPr>
          <w:p>
            <w:pPr>
              <w:spacing w:after="0"/>
              <w:rPr>
                <w:sz w:val="11"/>
                <w:szCs w:val="11"/>
                <w:color w:val="auto"/>
              </w:rPr>
            </w:pPr>
          </w:p>
        </w:tc>
        <w:tc>
          <w:tcPr>
            <w:tcW w:w="1140" w:type="dxa"/>
            <w:vAlign w:val="bottom"/>
          </w:tcPr>
          <w:p>
            <w:pPr>
              <w:jc w:val="right"/>
              <w:ind w:right="458"/>
              <w:spacing w:after="0" w:line="134" w:lineRule="exact"/>
              <w:rPr>
                <w:sz w:val="20"/>
                <w:szCs w:val="20"/>
                <w:color w:val="auto"/>
              </w:rPr>
            </w:pPr>
            <w:r>
              <w:rPr>
                <w:rFonts w:ascii="Arial" w:cs="Arial" w:eastAsia="Arial" w:hAnsi="Arial"/>
                <w:sz w:val="12"/>
                <w:szCs w:val="12"/>
                <w:color w:val="auto"/>
              </w:rPr>
              <w:t>7,986</w:t>
            </w:r>
          </w:p>
        </w:tc>
        <w:tc>
          <w:tcPr>
            <w:tcW w:w="66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26</w:t>
            </w:r>
          </w:p>
        </w:tc>
      </w:tr>
      <w:tr>
        <w:trPr>
          <w:trHeight w:val="134"/>
        </w:trPr>
        <w:tc>
          <w:tcPr>
            <w:tcW w:w="20" w:type="dxa"/>
            <w:vAlign w:val="bottom"/>
          </w:tcPr>
          <w:p>
            <w:pPr>
              <w:spacing w:after="0"/>
              <w:rPr>
                <w:sz w:val="11"/>
                <w:szCs w:val="11"/>
                <w:color w:val="auto"/>
              </w:rPr>
            </w:pPr>
          </w:p>
        </w:tc>
        <w:tc>
          <w:tcPr>
            <w:tcW w:w="5080" w:type="dxa"/>
            <w:vAlign w:val="bottom"/>
          </w:tcPr>
          <w:p>
            <w:pPr>
              <w:ind w:left="80"/>
              <w:spacing w:after="0" w:line="134" w:lineRule="exact"/>
              <w:rPr>
                <w:sz w:val="20"/>
                <w:szCs w:val="20"/>
                <w:color w:val="auto"/>
              </w:rPr>
            </w:pPr>
            <w:r>
              <w:rPr>
                <w:rFonts w:ascii="Arial" w:cs="Arial" w:eastAsia="Arial" w:hAnsi="Arial"/>
                <w:sz w:val="12"/>
                <w:szCs w:val="12"/>
                <w:color w:val="auto"/>
              </w:rPr>
              <w:t>Sempra Generation</w:t>
            </w: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jc w:val="right"/>
              <w:ind w:right="298"/>
              <w:spacing w:after="0" w:line="134" w:lineRule="exact"/>
              <w:rPr>
                <w:sz w:val="20"/>
                <w:szCs w:val="20"/>
                <w:color w:val="auto"/>
              </w:rPr>
            </w:pPr>
            <w:r>
              <w:rPr>
                <w:rFonts w:ascii="Arial" w:cs="Arial" w:eastAsia="Arial" w:hAnsi="Arial"/>
                <w:sz w:val="12"/>
                <w:szCs w:val="12"/>
                <w:color w:val="auto"/>
              </w:rPr>
              <w:t>1,905</w:t>
            </w:r>
          </w:p>
        </w:tc>
        <w:tc>
          <w:tcPr>
            <w:tcW w:w="76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6</w:t>
            </w:r>
          </w:p>
        </w:tc>
        <w:tc>
          <w:tcPr>
            <w:tcW w:w="880" w:type="dxa"/>
            <w:vAlign w:val="bottom"/>
          </w:tcPr>
          <w:p>
            <w:pPr>
              <w:spacing w:after="0"/>
              <w:rPr>
                <w:sz w:val="11"/>
                <w:szCs w:val="11"/>
                <w:color w:val="auto"/>
              </w:rPr>
            </w:pPr>
          </w:p>
        </w:tc>
        <w:tc>
          <w:tcPr>
            <w:tcW w:w="1140" w:type="dxa"/>
            <w:vAlign w:val="bottom"/>
          </w:tcPr>
          <w:p>
            <w:pPr>
              <w:jc w:val="right"/>
              <w:ind w:right="458"/>
              <w:spacing w:after="0" w:line="134" w:lineRule="exact"/>
              <w:rPr>
                <w:sz w:val="20"/>
                <w:szCs w:val="20"/>
                <w:color w:val="auto"/>
              </w:rPr>
            </w:pPr>
            <w:r>
              <w:rPr>
                <w:rFonts w:ascii="Arial" w:cs="Arial" w:eastAsia="Arial" w:hAnsi="Arial"/>
                <w:sz w:val="12"/>
                <w:szCs w:val="12"/>
                <w:color w:val="auto"/>
              </w:rPr>
              <w:t>2,401</w:t>
            </w:r>
          </w:p>
        </w:tc>
        <w:tc>
          <w:tcPr>
            <w:tcW w:w="66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8</w:t>
            </w:r>
          </w:p>
        </w:tc>
      </w:tr>
      <w:tr>
        <w:trPr>
          <w:trHeight w:val="134"/>
        </w:trPr>
        <w:tc>
          <w:tcPr>
            <w:tcW w:w="20" w:type="dxa"/>
            <w:vAlign w:val="bottom"/>
          </w:tcPr>
          <w:p>
            <w:pPr>
              <w:spacing w:after="0"/>
              <w:rPr>
                <w:sz w:val="11"/>
                <w:szCs w:val="11"/>
                <w:color w:val="auto"/>
              </w:rPr>
            </w:pPr>
          </w:p>
        </w:tc>
        <w:tc>
          <w:tcPr>
            <w:tcW w:w="5080" w:type="dxa"/>
            <w:vAlign w:val="bottom"/>
          </w:tcPr>
          <w:p>
            <w:pPr>
              <w:ind w:left="80"/>
              <w:spacing w:after="0" w:line="134" w:lineRule="exact"/>
              <w:rPr>
                <w:sz w:val="20"/>
                <w:szCs w:val="20"/>
                <w:color w:val="auto"/>
              </w:rPr>
            </w:pPr>
            <w:r>
              <w:rPr>
                <w:rFonts w:ascii="Arial" w:cs="Arial" w:eastAsia="Arial" w:hAnsi="Arial"/>
                <w:sz w:val="12"/>
                <w:szCs w:val="12"/>
                <w:color w:val="auto"/>
              </w:rPr>
              <w:t>Sempra Pipelines &amp; Storage</w:t>
            </w: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jc w:val="right"/>
              <w:ind w:right="298"/>
              <w:spacing w:after="0" w:line="134" w:lineRule="exact"/>
              <w:rPr>
                <w:sz w:val="20"/>
                <w:szCs w:val="20"/>
                <w:color w:val="auto"/>
              </w:rPr>
            </w:pPr>
            <w:r>
              <w:rPr>
                <w:rFonts w:ascii="Arial" w:cs="Arial" w:eastAsia="Arial" w:hAnsi="Arial"/>
                <w:sz w:val="12"/>
                <w:szCs w:val="12"/>
                <w:color w:val="auto"/>
              </w:rPr>
              <w:t>5,722</w:t>
            </w:r>
          </w:p>
        </w:tc>
        <w:tc>
          <w:tcPr>
            <w:tcW w:w="76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19</w:t>
            </w:r>
          </w:p>
        </w:tc>
        <w:tc>
          <w:tcPr>
            <w:tcW w:w="880" w:type="dxa"/>
            <w:vAlign w:val="bottom"/>
          </w:tcPr>
          <w:p>
            <w:pPr>
              <w:spacing w:after="0"/>
              <w:rPr>
                <w:sz w:val="11"/>
                <w:szCs w:val="11"/>
                <w:color w:val="auto"/>
              </w:rPr>
            </w:pPr>
          </w:p>
        </w:tc>
        <w:tc>
          <w:tcPr>
            <w:tcW w:w="1140" w:type="dxa"/>
            <w:vAlign w:val="bottom"/>
          </w:tcPr>
          <w:p>
            <w:pPr>
              <w:jc w:val="right"/>
              <w:ind w:right="458"/>
              <w:spacing w:after="0" w:line="134" w:lineRule="exact"/>
              <w:rPr>
                <w:sz w:val="20"/>
                <w:szCs w:val="20"/>
                <w:color w:val="auto"/>
              </w:rPr>
            </w:pPr>
            <w:r>
              <w:rPr>
                <w:rFonts w:ascii="Arial" w:cs="Arial" w:eastAsia="Arial" w:hAnsi="Arial"/>
                <w:sz w:val="12"/>
                <w:szCs w:val="12"/>
                <w:color w:val="auto"/>
              </w:rPr>
              <w:t>5,175</w:t>
            </w:r>
          </w:p>
        </w:tc>
        <w:tc>
          <w:tcPr>
            <w:tcW w:w="66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17</w:t>
            </w:r>
          </w:p>
        </w:tc>
      </w:tr>
      <w:tr>
        <w:trPr>
          <w:trHeight w:val="134"/>
        </w:trPr>
        <w:tc>
          <w:tcPr>
            <w:tcW w:w="20" w:type="dxa"/>
            <w:vAlign w:val="bottom"/>
          </w:tcPr>
          <w:p>
            <w:pPr>
              <w:spacing w:after="0"/>
              <w:rPr>
                <w:sz w:val="11"/>
                <w:szCs w:val="11"/>
                <w:color w:val="auto"/>
              </w:rPr>
            </w:pPr>
          </w:p>
        </w:tc>
        <w:tc>
          <w:tcPr>
            <w:tcW w:w="5080" w:type="dxa"/>
            <w:vAlign w:val="bottom"/>
          </w:tcPr>
          <w:p>
            <w:pPr>
              <w:ind w:left="80"/>
              <w:spacing w:after="0" w:line="134" w:lineRule="exact"/>
              <w:rPr>
                <w:sz w:val="20"/>
                <w:szCs w:val="20"/>
                <w:color w:val="auto"/>
              </w:rPr>
            </w:pPr>
            <w:r>
              <w:rPr>
                <w:rFonts w:ascii="Arial" w:cs="Arial" w:eastAsia="Arial" w:hAnsi="Arial"/>
                <w:sz w:val="12"/>
                <w:szCs w:val="12"/>
                <w:color w:val="auto"/>
              </w:rPr>
              <w:t>Sempra LNG</w:t>
            </w: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jc w:val="right"/>
              <w:ind w:right="298"/>
              <w:spacing w:after="0" w:line="134" w:lineRule="exact"/>
              <w:rPr>
                <w:sz w:val="20"/>
                <w:szCs w:val="20"/>
                <w:color w:val="auto"/>
              </w:rPr>
            </w:pPr>
            <w:r>
              <w:rPr>
                <w:rFonts w:ascii="Arial" w:cs="Arial" w:eastAsia="Arial" w:hAnsi="Arial"/>
                <w:sz w:val="12"/>
                <w:szCs w:val="12"/>
                <w:color w:val="auto"/>
              </w:rPr>
              <w:t>2,403</w:t>
            </w:r>
          </w:p>
        </w:tc>
        <w:tc>
          <w:tcPr>
            <w:tcW w:w="76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8</w:t>
            </w:r>
          </w:p>
        </w:tc>
        <w:tc>
          <w:tcPr>
            <w:tcW w:w="880" w:type="dxa"/>
            <w:vAlign w:val="bottom"/>
          </w:tcPr>
          <w:p>
            <w:pPr>
              <w:spacing w:after="0"/>
              <w:rPr>
                <w:sz w:val="11"/>
                <w:szCs w:val="11"/>
                <w:color w:val="auto"/>
              </w:rPr>
            </w:pPr>
          </w:p>
        </w:tc>
        <w:tc>
          <w:tcPr>
            <w:tcW w:w="1140" w:type="dxa"/>
            <w:vAlign w:val="bottom"/>
          </w:tcPr>
          <w:p>
            <w:pPr>
              <w:jc w:val="right"/>
              <w:ind w:right="458"/>
              <w:spacing w:after="0" w:line="134" w:lineRule="exact"/>
              <w:rPr>
                <w:sz w:val="20"/>
                <w:szCs w:val="20"/>
                <w:color w:val="auto"/>
              </w:rPr>
            </w:pPr>
            <w:r>
              <w:rPr>
                <w:rFonts w:ascii="Arial" w:cs="Arial" w:eastAsia="Arial" w:hAnsi="Arial"/>
                <w:sz w:val="12"/>
                <w:szCs w:val="12"/>
                <w:color w:val="auto"/>
              </w:rPr>
              <w:t>2,379</w:t>
            </w:r>
          </w:p>
        </w:tc>
        <w:tc>
          <w:tcPr>
            <w:tcW w:w="66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8</w:t>
            </w:r>
          </w:p>
        </w:tc>
      </w:tr>
      <w:tr>
        <w:trPr>
          <w:trHeight w:val="134"/>
        </w:trPr>
        <w:tc>
          <w:tcPr>
            <w:tcW w:w="20" w:type="dxa"/>
            <w:vAlign w:val="bottom"/>
          </w:tcPr>
          <w:p>
            <w:pPr>
              <w:spacing w:after="0"/>
              <w:rPr>
                <w:sz w:val="11"/>
                <w:szCs w:val="11"/>
                <w:color w:val="auto"/>
              </w:rPr>
            </w:pPr>
          </w:p>
        </w:tc>
        <w:tc>
          <w:tcPr>
            <w:tcW w:w="5080" w:type="dxa"/>
            <w:vAlign w:val="bottom"/>
          </w:tcPr>
          <w:p>
            <w:pPr>
              <w:ind w:left="80"/>
              <w:spacing w:after="0" w:line="134" w:lineRule="exact"/>
              <w:rPr>
                <w:sz w:val="20"/>
                <w:szCs w:val="20"/>
                <w:color w:val="auto"/>
              </w:rPr>
            </w:pPr>
            <w:r>
              <w:rPr>
                <w:rFonts w:ascii="Arial" w:cs="Arial" w:eastAsia="Arial" w:hAnsi="Arial"/>
                <w:sz w:val="12"/>
                <w:szCs w:val="12"/>
                <w:color w:val="auto"/>
              </w:rPr>
              <w:t>All other</w:t>
            </w: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jc w:val="right"/>
              <w:ind w:right="298"/>
              <w:spacing w:after="0" w:line="134" w:lineRule="exact"/>
              <w:rPr>
                <w:sz w:val="20"/>
                <w:szCs w:val="20"/>
                <w:color w:val="auto"/>
              </w:rPr>
            </w:pPr>
            <w:r>
              <w:rPr>
                <w:rFonts w:ascii="Arial" w:cs="Arial" w:eastAsia="Arial" w:hAnsi="Arial"/>
                <w:sz w:val="12"/>
                <w:szCs w:val="12"/>
                <w:color w:val="auto"/>
              </w:rPr>
              <w:t>1,399</w:t>
            </w:r>
          </w:p>
        </w:tc>
        <w:tc>
          <w:tcPr>
            <w:tcW w:w="76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4</w:t>
            </w:r>
          </w:p>
        </w:tc>
        <w:tc>
          <w:tcPr>
            <w:tcW w:w="880" w:type="dxa"/>
            <w:vAlign w:val="bottom"/>
          </w:tcPr>
          <w:p>
            <w:pPr>
              <w:spacing w:after="0"/>
              <w:rPr>
                <w:sz w:val="11"/>
                <w:szCs w:val="11"/>
                <w:color w:val="auto"/>
              </w:rPr>
            </w:pPr>
          </w:p>
        </w:tc>
        <w:tc>
          <w:tcPr>
            <w:tcW w:w="1140" w:type="dxa"/>
            <w:vAlign w:val="bottom"/>
          </w:tcPr>
          <w:p>
            <w:pPr>
              <w:jc w:val="right"/>
              <w:ind w:right="458"/>
              <w:spacing w:after="0" w:line="134" w:lineRule="exact"/>
              <w:rPr>
                <w:sz w:val="20"/>
                <w:szCs w:val="20"/>
                <w:color w:val="auto"/>
              </w:rPr>
            </w:pPr>
            <w:r>
              <w:rPr>
                <w:rFonts w:ascii="Arial" w:cs="Arial" w:eastAsia="Arial" w:hAnsi="Arial"/>
                <w:sz w:val="12"/>
                <w:szCs w:val="12"/>
                <w:color w:val="auto"/>
              </w:rPr>
              <w:t>1,691</w:t>
            </w:r>
          </w:p>
        </w:tc>
        <w:tc>
          <w:tcPr>
            <w:tcW w:w="66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6</w:t>
            </w:r>
          </w:p>
        </w:tc>
      </w:tr>
      <w:tr>
        <w:trPr>
          <w:trHeight w:val="144"/>
        </w:trPr>
        <w:tc>
          <w:tcPr>
            <w:tcW w:w="20" w:type="dxa"/>
            <w:vAlign w:val="bottom"/>
          </w:tcPr>
          <w:p>
            <w:pPr>
              <w:spacing w:after="0"/>
              <w:rPr>
                <w:sz w:val="12"/>
                <w:szCs w:val="12"/>
                <w:color w:val="auto"/>
              </w:rPr>
            </w:pPr>
          </w:p>
        </w:tc>
        <w:tc>
          <w:tcPr>
            <w:tcW w:w="5080" w:type="dxa"/>
            <w:vAlign w:val="bottom"/>
          </w:tcPr>
          <w:p>
            <w:pPr>
              <w:ind w:left="80"/>
              <w:spacing w:after="0"/>
              <w:rPr>
                <w:sz w:val="20"/>
                <w:szCs w:val="20"/>
                <w:color w:val="auto"/>
              </w:rPr>
            </w:pPr>
            <w:r>
              <w:rPr>
                <w:rFonts w:ascii="Arial" w:cs="Arial" w:eastAsia="Arial" w:hAnsi="Arial"/>
                <w:sz w:val="12"/>
                <w:szCs w:val="12"/>
                <w:color w:val="auto"/>
              </w:rPr>
              <w:t>Intersegment receivables</w:t>
            </w:r>
          </w:p>
        </w:tc>
        <w:tc>
          <w:tcPr>
            <w:tcW w:w="1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(1,031)</w:t>
            </w:r>
          </w:p>
        </w:tc>
        <w:tc>
          <w:tcPr>
            <w:tcW w:w="76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(3)</w:t>
            </w:r>
          </w:p>
        </w:tc>
        <w:tc>
          <w:tcPr>
            <w:tcW w:w="8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(1,426)</w:t>
            </w:r>
          </w:p>
        </w:tc>
        <w:tc>
          <w:tcPr>
            <w:tcW w:w="6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(5)</w:t>
            </w:r>
          </w:p>
        </w:tc>
      </w:tr>
      <w:tr>
        <w:trPr>
          <w:trHeight w:val="135"/>
        </w:trPr>
        <w:tc>
          <w:tcPr>
            <w:tcW w:w="20" w:type="dxa"/>
            <w:vAlign w:val="bottom"/>
          </w:tcPr>
          <w:p>
            <w:pPr>
              <w:spacing w:after="0"/>
              <w:rPr>
                <w:sz w:val="11"/>
                <w:szCs w:val="11"/>
                <w:color w:val="auto"/>
              </w:rPr>
            </w:pPr>
          </w:p>
        </w:tc>
        <w:tc>
          <w:tcPr>
            <w:tcW w:w="5080" w:type="dxa"/>
            <w:vAlign w:val="bottom"/>
            <w:tcBorders>
              <w:bottom w:val="single" w:sz="8" w:color="auto"/>
            </w:tcBorders>
          </w:tcPr>
          <w:p>
            <w:pPr>
              <w:ind w:left="220"/>
              <w:spacing w:after="0" w:line="134" w:lineRule="exact"/>
              <w:rPr>
                <w:sz w:val="20"/>
                <w:szCs w:val="20"/>
                <w:color w:val="auto"/>
              </w:rPr>
            </w:pPr>
            <w:r>
              <w:rPr>
                <w:rFonts w:ascii="Arial" w:cs="Arial" w:eastAsia="Arial" w:hAnsi="Arial"/>
                <w:sz w:val="12"/>
                <w:szCs w:val="12"/>
                <w:color w:val="auto"/>
              </w:rPr>
              <w:t>Total</w:t>
            </w:r>
          </w:p>
        </w:tc>
        <w:tc>
          <w:tcPr>
            <w:tcW w:w="1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ind w:right="298"/>
              <w:spacing w:after="0" w:line="134" w:lineRule="exact"/>
              <w:rPr>
                <w:sz w:val="20"/>
                <w:szCs w:val="20"/>
                <w:color w:val="auto"/>
              </w:rPr>
            </w:pPr>
            <w:r>
              <w:rPr>
                <w:rFonts w:ascii="Arial" w:cs="Arial" w:eastAsia="Arial" w:hAnsi="Arial"/>
                <w:sz w:val="12"/>
                <w:szCs w:val="12"/>
                <w:color w:val="auto"/>
              </w:rPr>
              <w:t>30,696</w:t>
            </w:r>
          </w:p>
        </w:tc>
        <w:tc>
          <w:tcPr>
            <w:tcW w:w="760" w:type="dxa"/>
            <w:vAlign w:val="bottom"/>
            <w:tcBorders>
              <w:bottom w:val="single" w:sz="8" w:color="auto"/>
            </w:tcBorders>
          </w:tcPr>
          <w:p>
            <w:pPr>
              <w:jc w:val="right"/>
              <w:ind w:right="38"/>
              <w:spacing w:after="0" w:line="134" w:lineRule="exact"/>
              <w:rPr>
                <w:sz w:val="20"/>
                <w:szCs w:val="20"/>
                <w:color w:val="auto"/>
              </w:rPr>
            </w:pPr>
            <w:r>
              <w:rPr>
                <w:rFonts w:ascii="Arial" w:cs="Arial" w:eastAsia="Arial" w:hAnsi="Arial"/>
                <w:sz w:val="12"/>
                <w:szCs w:val="12"/>
                <w:color w:val="auto"/>
              </w:rPr>
              <w:t>100 %</w:t>
            </w:r>
          </w:p>
        </w:tc>
        <w:tc>
          <w:tcPr>
            <w:tcW w:w="880" w:type="dxa"/>
            <w:vAlign w:val="bottom"/>
            <w:tcBorders>
              <w:bottom w:val="single" w:sz="8" w:color="auto"/>
            </w:tcBorders>
          </w:tcPr>
          <w:p>
            <w:pPr>
              <w:jc w:val="right"/>
              <w:ind w:right="678"/>
              <w:spacing w:after="0" w:line="134" w:lineRule="exact"/>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458"/>
              <w:spacing w:after="0" w:line="134" w:lineRule="exact"/>
              <w:rPr>
                <w:sz w:val="20"/>
                <w:szCs w:val="20"/>
                <w:color w:val="auto"/>
              </w:rPr>
            </w:pPr>
            <w:r>
              <w:rPr>
                <w:rFonts w:ascii="Arial" w:cs="Arial" w:eastAsia="Arial" w:hAnsi="Arial"/>
                <w:sz w:val="12"/>
                <w:szCs w:val="12"/>
                <w:color w:val="auto"/>
              </w:rPr>
              <w:t>30,283</w:t>
            </w:r>
          </w:p>
        </w:tc>
        <w:tc>
          <w:tcPr>
            <w:tcW w:w="660" w:type="dxa"/>
            <w:vAlign w:val="bottom"/>
            <w:tcBorders>
              <w:bottom w:val="single" w:sz="8" w:color="auto"/>
            </w:tcBorders>
          </w:tcPr>
          <w:p>
            <w:pPr>
              <w:jc w:val="right"/>
              <w:ind w:right="118"/>
              <w:spacing w:after="0" w:line="134" w:lineRule="exact"/>
              <w:rPr>
                <w:sz w:val="20"/>
                <w:szCs w:val="20"/>
                <w:color w:val="auto"/>
              </w:rPr>
            </w:pPr>
            <w:r>
              <w:rPr>
                <w:rFonts w:ascii="Arial" w:cs="Arial" w:eastAsia="Arial" w:hAnsi="Arial"/>
                <w:sz w:val="12"/>
                <w:szCs w:val="12"/>
                <w:color w:val="auto"/>
              </w:rPr>
              <w:t>100 %</w:t>
            </w:r>
          </w:p>
        </w:tc>
      </w:tr>
      <w:tr>
        <w:trPr>
          <w:trHeight w:val="125"/>
        </w:trPr>
        <w:tc>
          <w:tcPr>
            <w:tcW w:w="20" w:type="dxa"/>
            <w:vAlign w:val="bottom"/>
          </w:tcPr>
          <w:p>
            <w:pPr>
              <w:spacing w:after="0"/>
              <w:rPr>
                <w:sz w:val="10"/>
                <w:szCs w:val="10"/>
                <w:color w:val="auto"/>
              </w:rPr>
            </w:pPr>
          </w:p>
        </w:tc>
        <w:tc>
          <w:tcPr>
            <w:tcW w:w="5080" w:type="dxa"/>
            <w:vAlign w:val="bottom"/>
          </w:tcPr>
          <w:p>
            <w:pPr>
              <w:spacing w:after="0" w:line="126" w:lineRule="exact"/>
              <w:rPr>
                <w:sz w:val="20"/>
                <w:szCs w:val="20"/>
                <w:color w:val="auto"/>
              </w:rPr>
            </w:pPr>
            <w:r>
              <w:rPr>
                <w:rFonts w:ascii="Arial" w:cs="Arial" w:eastAsia="Arial" w:hAnsi="Arial"/>
                <w:sz w:val="12"/>
                <w:szCs w:val="12"/>
                <w:color w:val="auto"/>
              </w:rPr>
              <w:t>INVESTMENTS IN EQUITY METHOD INVESTEES</w:t>
            </w: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80"/>
              <w:spacing w:after="0" w:line="134" w:lineRule="exact"/>
              <w:rPr>
                <w:sz w:val="20"/>
                <w:szCs w:val="20"/>
                <w:color w:val="auto"/>
              </w:rPr>
            </w:pPr>
            <w:r>
              <w:rPr>
                <w:rFonts w:ascii="Arial" w:cs="Arial" w:eastAsia="Arial" w:hAnsi="Arial"/>
                <w:sz w:val="12"/>
                <w:szCs w:val="12"/>
                <w:color w:val="auto"/>
              </w:rPr>
              <w:t>Sempra Generation</w:t>
            </w:r>
          </w:p>
        </w:tc>
        <w:tc>
          <w:tcPr>
            <w:tcW w:w="1400" w:type="dxa"/>
            <w:vAlign w:val="bottom"/>
            <w:gridSpan w:val="2"/>
          </w:tcPr>
          <w:p>
            <w:pPr>
              <w:jc w:val="right"/>
              <w:ind w:right="128"/>
              <w:spacing w:after="0" w:line="134" w:lineRule="exact"/>
              <w:rPr>
                <w:sz w:val="20"/>
                <w:szCs w:val="20"/>
                <w:color w:val="auto"/>
              </w:rPr>
            </w:pPr>
            <w:r>
              <w:rPr>
                <w:rFonts w:ascii="Arial" w:cs="Arial" w:eastAsia="Arial" w:hAnsi="Arial"/>
                <w:sz w:val="12"/>
                <w:szCs w:val="12"/>
                <w:color w:val="auto"/>
              </w:rPr>
              <w:t>$</w:t>
            </w:r>
          </w:p>
        </w:tc>
        <w:tc>
          <w:tcPr>
            <w:tcW w:w="1520" w:type="dxa"/>
            <w:vAlign w:val="bottom"/>
          </w:tcPr>
          <w:p>
            <w:pPr>
              <w:jc w:val="right"/>
              <w:ind w:right="298"/>
              <w:spacing w:after="0" w:line="134" w:lineRule="exact"/>
              <w:rPr>
                <w:sz w:val="20"/>
                <w:szCs w:val="20"/>
                <w:color w:val="auto"/>
              </w:rPr>
            </w:pPr>
            <w:r>
              <w:rPr>
                <w:rFonts w:ascii="Arial" w:cs="Arial" w:eastAsia="Arial" w:hAnsi="Arial"/>
                <w:sz w:val="12"/>
                <w:szCs w:val="12"/>
                <w:color w:val="auto"/>
              </w:rPr>
              <w:t>185</w:t>
            </w:r>
          </w:p>
        </w:tc>
        <w:tc>
          <w:tcPr>
            <w:tcW w:w="760" w:type="dxa"/>
            <w:vAlign w:val="bottom"/>
          </w:tcPr>
          <w:p>
            <w:pPr>
              <w:spacing w:after="0"/>
              <w:rPr>
                <w:sz w:val="11"/>
                <w:szCs w:val="11"/>
                <w:color w:val="auto"/>
              </w:rPr>
            </w:pPr>
          </w:p>
        </w:tc>
        <w:tc>
          <w:tcPr>
            <w:tcW w:w="880" w:type="dxa"/>
            <w:vAlign w:val="bottom"/>
          </w:tcPr>
          <w:p>
            <w:pPr>
              <w:jc w:val="right"/>
              <w:ind w:right="678"/>
              <w:spacing w:after="0" w:line="134"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458"/>
              <w:spacing w:after="0" w:line="134" w:lineRule="exact"/>
              <w:rPr>
                <w:sz w:val="20"/>
                <w:szCs w:val="20"/>
                <w:color w:val="auto"/>
              </w:rPr>
            </w:pPr>
            <w:r>
              <w:rPr>
                <w:rFonts w:ascii="Arial" w:cs="Arial" w:eastAsia="Arial" w:hAnsi="Arial"/>
                <w:sz w:val="12"/>
                <w:szCs w:val="12"/>
                <w:color w:val="auto"/>
              </w:rPr>
              <w:t>185</w:t>
            </w:r>
          </w:p>
        </w:tc>
        <w:tc>
          <w:tcPr>
            <w:tcW w:w="66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5080" w:type="dxa"/>
            <w:vAlign w:val="bottom"/>
          </w:tcPr>
          <w:p>
            <w:pPr>
              <w:ind w:left="80"/>
              <w:spacing w:after="0" w:line="134" w:lineRule="exact"/>
              <w:rPr>
                <w:sz w:val="20"/>
                <w:szCs w:val="20"/>
                <w:color w:val="auto"/>
              </w:rPr>
            </w:pPr>
            <w:r>
              <w:rPr>
                <w:rFonts w:ascii="Arial" w:cs="Arial" w:eastAsia="Arial" w:hAnsi="Arial"/>
                <w:sz w:val="12"/>
                <w:szCs w:val="12"/>
                <w:color w:val="auto"/>
              </w:rPr>
              <w:t>Sempra Pipelines &amp; Storage</w:t>
            </w: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jc w:val="right"/>
              <w:ind w:right="298"/>
              <w:spacing w:after="0" w:line="134" w:lineRule="exact"/>
              <w:rPr>
                <w:sz w:val="20"/>
                <w:szCs w:val="20"/>
                <w:color w:val="auto"/>
              </w:rPr>
            </w:pPr>
            <w:r>
              <w:rPr>
                <w:rFonts w:ascii="Arial" w:cs="Arial" w:eastAsia="Arial" w:hAnsi="Arial"/>
                <w:sz w:val="12"/>
                <w:szCs w:val="12"/>
                <w:color w:val="auto"/>
              </w:rPr>
              <w:t>1,775</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jc w:val="right"/>
              <w:ind w:right="458"/>
              <w:spacing w:after="0" w:line="134" w:lineRule="exact"/>
              <w:rPr>
                <w:sz w:val="20"/>
                <w:szCs w:val="20"/>
                <w:color w:val="auto"/>
              </w:rPr>
            </w:pPr>
            <w:r>
              <w:rPr>
                <w:rFonts w:ascii="Arial" w:cs="Arial" w:eastAsia="Arial" w:hAnsi="Arial"/>
                <w:sz w:val="12"/>
                <w:szCs w:val="12"/>
                <w:color w:val="auto"/>
              </w:rPr>
              <w:t>1,777</w:t>
            </w:r>
          </w:p>
        </w:tc>
        <w:tc>
          <w:tcPr>
            <w:tcW w:w="66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5080" w:type="dxa"/>
            <w:vAlign w:val="bottom"/>
          </w:tcPr>
          <w:p>
            <w:pPr>
              <w:ind w:left="80"/>
              <w:spacing w:after="0"/>
              <w:rPr>
                <w:sz w:val="20"/>
                <w:szCs w:val="20"/>
                <w:color w:val="auto"/>
              </w:rPr>
            </w:pPr>
            <w:r>
              <w:rPr>
                <w:rFonts w:ascii="Arial" w:cs="Arial" w:eastAsia="Arial" w:hAnsi="Arial"/>
                <w:sz w:val="12"/>
                <w:szCs w:val="12"/>
                <w:color w:val="auto"/>
              </w:rPr>
              <w:t>All other</w:t>
            </w:r>
          </w:p>
        </w:tc>
        <w:tc>
          <w:tcPr>
            <w:tcW w:w="1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794</w:t>
            </w:r>
          </w:p>
        </w:tc>
        <w:tc>
          <w:tcPr>
            <w:tcW w:w="7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803</w:t>
            </w:r>
          </w:p>
        </w:tc>
        <w:tc>
          <w:tcPr>
            <w:tcW w:w="660" w:type="dxa"/>
            <w:vAlign w:val="bottom"/>
            <w:tcBorders>
              <w:bottom w:val="single" w:sz="8" w:color="auto"/>
            </w:tcBorders>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080" w:type="dxa"/>
            <w:vAlign w:val="bottom"/>
          </w:tcPr>
          <w:p>
            <w:pPr>
              <w:ind w:left="220"/>
              <w:spacing w:after="0"/>
              <w:rPr>
                <w:sz w:val="20"/>
                <w:szCs w:val="20"/>
                <w:color w:val="auto"/>
              </w:rPr>
            </w:pPr>
            <w:r>
              <w:rPr>
                <w:rFonts w:ascii="Arial" w:cs="Arial" w:eastAsia="Arial" w:hAnsi="Arial"/>
                <w:sz w:val="12"/>
                <w:szCs w:val="12"/>
                <w:color w:val="auto"/>
              </w:rPr>
              <w:t>Total</w:t>
            </w:r>
          </w:p>
        </w:tc>
        <w:tc>
          <w:tcPr>
            <w:tcW w:w="1160" w:type="dxa"/>
            <w:vAlign w:val="bottom"/>
          </w:tcPr>
          <w:p>
            <w:pPr>
              <w:spacing w:after="0"/>
              <w:rPr>
                <w:sz w:val="12"/>
                <w:szCs w:val="12"/>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ind w:right="298"/>
              <w:spacing w:after="0"/>
              <w:rPr>
                <w:sz w:val="20"/>
                <w:szCs w:val="20"/>
                <w:color w:val="auto"/>
              </w:rPr>
            </w:pPr>
            <w:r>
              <w:rPr>
                <w:rFonts w:ascii="Arial" w:cs="Arial" w:eastAsia="Arial" w:hAnsi="Arial"/>
                <w:sz w:val="12"/>
                <w:szCs w:val="12"/>
                <w:color w:val="auto"/>
              </w:rPr>
              <w:t>2,754</w:t>
            </w:r>
          </w:p>
        </w:tc>
        <w:tc>
          <w:tcPr>
            <w:tcW w:w="760" w:type="dxa"/>
            <w:vAlign w:val="bottom"/>
          </w:tcPr>
          <w:p>
            <w:pPr>
              <w:spacing w:after="0"/>
              <w:rPr>
                <w:sz w:val="12"/>
                <w:szCs w:val="12"/>
                <w:color w:val="auto"/>
              </w:rPr>
            </w:pPr>
          </w:p>
        </w:tc>
        <w:tc>
          <w:tcPr>
            <w:tcW w:w="880" w:type="dxa"/>
            <w:vAlign w:val="bottom"/>
          </w:tcPr>
          <w:p>
            <w:pPr>
              <w:jc w:val="right"/>
              <w:ind w:right="678"/>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458"/>
              <w:spacing w:after="0"/>
              <w:rPr>
                <w:sz w:val="20"/>
                <w:szCs w:val="20"/>
                <w:color w:val="auto"/>
              </w:rPr>
            </w:pPr>
            <w:r>
              <w:rPr>
                <w:rFonts w:ascii="Arial" w:cs="Arial" w:eastAsia="Arial" w:hAnsi="Arial"/>
                <w:sz w:val="12"/>
                <w:szCs w:val="12"/>
                <w:color w:val="auto"/>
              </w:rPr>
              <w:t>2,765</w:t>
            </w:r>
          </w:p>
        </w:tc>
        <w:tc>
          <w:tcPr>
            <w:tcW w:w="6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279005" cy="133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ind w:left="580" w:right="20" w:hanging="577"/>
        <w:spacing w:after="0" w:line="245" w:lineRule="auto"/>
        <w:tabs>
          <w:tab w:leader="none" w:pos="580" w:val="left"/>
        </w:tabs>
        <w:numPr>
          <w:ilvl w:val="0"/>
          <w:numId w:val="23"/>
        </w:numPr>
        <w:rPr>
          <w:rFonts w:ascii="Arial" w:cs="Arial" w:eastAsia="Arial" w:hAnsi="Arial"/>
          <w:sz w:val="11"/>
          <w:szCs w:val="11"/>
          <w:i w:val="1"/>
          <w:iCs w:val="1"/>
          <w:color w:val="auto"/>
        </w:rPr>
      </w:pPr>
      <w:r>
        <w:rPr>
          <w:rFonts w:ascii="Arial" w:cs="Arial" w:eastAsia="Arial" w:hAnsi="Arial"/>
          <w:sz w:val="11"/>
          <w:szCs w:val="11"/>
          <w:i w:val="1"/>
          <w:iCs w:val="1"/>
          <w:color w:val="auto"/>
        </w:rPr>
        <w:t>Revenues for reportable segments in 2011 include intersegment revenues of $2 million, $13 million and $11 million for SDG&amp;E, SoCalGas and Sempra Pipelines &amp; Storage, respectively. Revenues for reportable segments in 2010 include intersegment revenues of $1 million, $11 million and $14 million for SDG&amp;E, SoCalGas and Sempra Pipelines &amp; Storage, respectively.</w:t>
      </w:r>
    </w:p>
    <w:p>
      <w:pPr>
        <w:ind w:left="580" w:hanging="577"/>
        <w:spacing w:after="0"/>
        <w:tabs>
          <w:tab w:leader="none" w:pos="580" w:val="left"/>
        </w:tabs>
        <w:numPr>
          <w:ilvl w:val="0"/>
          <w:numId w:val="23"/>
        </w:numPr>
        <w:rPr>
          <w:rFonts w:ascii="Arial" w:cs="Arial" w:eastAsia="Arial" w:hAnsi="Arial"/>
          <w:sz w:val="11"/>
          <w:szCs w:val="11"/>
          <w:i w:val="1"/>
          <w:iCs w:val="1"/>
          <w:color w:val="auto"/>
        </w:rPr>
      </w:pPr>
      <w:r>
        <w:rPr>
          <w:rFonts w:ascii="Arial" w:cs="Arial" w:eastAsia="Arial" w:hAnsi="Arial"/>
          <w:sz w:val="11"/>
          <w:szCs w:val="11"/>
          <w:i w:val="1"/>
          <w:iCs w:val="1"/>
          <w:color w:val="auto"/>
        </w:rPr>
        <w:t>After preferred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508000</wp:posOffset>
            </wp:positionV>
            <wp:extent cx="729170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170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auto"/>
        </w:rPr>
        <w:t>NOTE 12. SUBSEQUENT EVENT</w:t>
      </w:r>
    </w:p>
    <w:p>
      <w:pPr>
        <w:spacing w:after="0" w:line="150" w:lineRule="exact"/>
        <w:rPr>
          <w:sz w:val="20"/>
          <w:szCs w:val="20"/>
          <w:color w:val="auto"/>
        </w:rPr>
      </w:pPr>
    </w:p>
    <w:p>
      <w:pPr>
        <w:ind w:right="60"/>
        <w:spacing w:after="0" w:line="255" w:lineRule="auto"/>
        <w:rPr>
          <w:sz w:val="20"/>
          <w:szCs w:val="20"/>
          <w:color w:val="auto"/>
        </w:rPr>
      </w:pPr>
      <w:r>
        <w:rPr>
          <w:rFonts w:ascii="Arial" w:cs="Arial" w:eastAsia="Arial" w:hAnsi="Arial"/>
          <w:sz w:val="13"/>
          <w:szCs w:val="13"/>
          <w:color w:val="auto"/>
        </w:rPr>
        <w:t>In January 2011, Sempra Pipelines &amp; Storage agreed to acquire from AEI its interests in Chilquinta Energía S.A. (Chilquinta Energía) in Chile and Luz del Sur S.A. (Luz del Sur) in Peru. At March 31, 2011, Sempra Pipelines &amp; Storage and AEI each owned 50 percent of Chilquinta Energía and approximately 38 percent of Luz del Sur. We completed the transaction on April 6, 2011, and Sempra Pipelines &amp; Storage now owns 100 percent of Chilquinta Energía and approximately 76 percent of Luz del Sur, with the remaining shares of Luz del Sur held by institutional investors and the general public. The purchase price was $875 million (plus working capital adjustments of $13 million), which resulted from valuing the assets in Chile at $490 million and the assets in Peru at $385 million. As part of our acquisition of AEI’s interest in Luz del Sur, we are required to launch a tender offer to the minority shareholders of Luz del Sur to purchase their shares at a price as determined by an independent appraiser. As part of the transaction, Sempra Pipelines &amp; Storage also acquired AEI’s interests in two energy-services companies, Tecnored S.A. and Tecsur S.A. We provide additional information about Sempra Pipelines &amp; Storage’s investments in Chilquinta Energía and Luz Del Sur in Note 4 of the Notes to Consolidated Financial Statements in the Annual Report.</w:t>
      </w:r>
    </w:p>
    <w:p>
      <w:pPr>
        <w:spacing w:after="0" w:line="128" w:lineRule="exact"/>
        <w:rPr>
          <w:sz w:val="20"/>
          <w:szCs w:val="20"/>
          <w:color w:val="auto"/>
        </w:rPr>
      </w:pPr>
    </w:p>
    <w:p>
      <w:pPr>
        <w:ind w:right="600"/>
        <w:spacing w:after="0" w:line="251" w:lineRule="auto"/>
        <w:rPr>
          <w:sz w:val="20"/>
          <w:szCs w:val="20"/>
          <w:color w:val="auto"/>
        </w:rPr>
      </w:pPr>
      <w:r>
        <w:rPr>
          <w:rFonts w:ascii="Arial" w:cs="Arial" w:eastAsia="Arial" w:hAnsi="Arial"/>
          <w:sz w:val="14"/>
          <w:szCs w:val="14"/>
          <w:color w:val="auto"/>
        </w:rPr>
        <w:t>Due to the limited time since the date of the acquisition, the initial accounting for this business combination is incomplete as of the date of this filing, including updated appraisal information for the acquisition. As such, it is impracticable for us to make certain business combination disclosures at this time, including:</w:t>
      </w:r>
    </w:p>
    <w:p>
      <w:pPr>
        <w:spacing w:after="0" w:line="128" w:lineRule="exact"/>
        <w:rPr>
          <w:sz w:val="20"/>
          <w:szCs w:val="20"/>
          <w:color w:val="auto"/>
        </w:rPr>
      </w:pPr>
    </w:p>
    <w:p>
      <w:pPr>
        <w:ind w:left="260" w:hanging="147"/>
        <w:spacing w:after="0"/>
        <w:tabs>
          <w:tab w:leader="none" w:pos="2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acquisition date fair value of the equity interest we held prior to the acquisition and any estimation of any gain or loss associated with the remeasurement of these equity interests; and</w:t>
      </w:r>
    </w:p>
    <w:p>
      <w:pPr>
        <w:spacing w:after="0" w:line="201" w:lineRule="exact"/>
        <w:rPr>
          <w:rFonts w:ascii="Arial" w:cs="Arial" w:eastAsia="Arial" w:hAnsi="Arial"/>
          <w:sz w:val="13"/>
          <w:szCs w:val="13"/>
          <w:color w:val="auto"/>
        </w:rPr>
      </w:pPr>
    </w:p>
    <w:p>
      <w:pPr>
        <w:ind w:left="260" w:hanging="147"/>
        <w:spacing w:after="0"/>
        <w:tabs>
          <w:tab w:leader="none" w:pos="2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amounts to be recognized at the acquisition date for the major classes of assets acquired and liabilities assumed, including pre-acquisition contingencies, goodwill and other intangibles.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We will provide this information in our second quarter 2011 Form 10-Q.</w:t>
      </w:r>
    </w:p>
    <w:p>
      <w:pPr>
        <w:spacing w:after="0" w:line="149"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Excluding the impact of purchase accounting to be determined, the incremental revenues and earnings for Sempra Energy had the acquisition occurred on January 1, 2010 were $343 million and $23 million, respectively, for the three months ended March 31, 2011, and $277 million and $19 million, respectively, for the three months ended March 31, 2010.</w:t>
      </w:r>
    </w:p>
    <w:p>
      <w:pPr>
        <w:spacing w:after="0" w:line="138" w:lineRule="exact"/>
        <w:rPr>
          <w:sz w:val="20"/>
          <w:szCs w:val="20"/>
          <w:color w:val="auto"/>
        </w:rPr>
      </w:pPr>
    </w:p>
    <w:p>
      <w:pPr>
        <w:ind w:right="160"/>
        <w:spacing w:after="0" w:line="251" w:lineRule="auto"/>
        <w:rPr>
          <w:sz w:val="20"/>
          <w:szCs w:val="20"/>
          <w:color w:val="auto"/>
        </w:rPr>
      </w:pPr>
      <w:r>
        <w:rPr>
          <w:rFonts w:ascii="Arial" w:cs="Arial" w:eastAsia="Arial" w:hAnsi="Arial"/>
          <w:sz w:val="14"/>
          <w:szCs w:val="14"/>
          <w:color w:val="auto"/>
        </w:rPr>
        <w:t>We expect the acquisition to be accretive to our EPS in 2011 and beyond, based on historically strong operating performance of the companies within sound regulatory environments and stable and growing countries.</w:t>
      </w:r>
    </w:p>
    <w:p>
      <w:pPr>
        <w:sectPr>
          <w:pgSz w:w="11900" w:h="16838" w:orient="portrait"/>
          <w:cols w:equalWidth="0" w:num="1">
            <w:col w:w="11460"/>
          </w:cols>
          <w:pgMar w:left="220" w:top="127" w:right="219" w:bottom="1440" w:gutter="0" w:footer="0" w:header="0"/>
        </w:sectPr>
      </w:pPr>
    </w:p>
    <w:bookmarkStart w:id="42" w:name="page43"/>
    <w:bookmarkEnd w:id="42"/>
    <w:p>
      <w:pPr>
        <w:spacing w:after="0" w:line="251" w:lineRule="auto"/>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92"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You should read the following discussion in conjunction with the financial statements contained in this Form 10-Q, "Management's Discussion and Analysis of Financial Condition and Results of Operations" contained in our 2010 Annual Report on Form 10-K (Annual Report), and "Risk Factors" contained in our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252095</wp:posOffset>
            </wp:positionV>
            <wp:extent cx="729170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1705" cy="635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OVERVIEW</w:t>
      </w:r>
    </w:p>
    <w:p>
      <w:pPr>
        <w:spacing w:after="0" w:line="150" w:lineRule="exact"/>
        <w:rPr>
          <w:sz w:val="20"/>
          <w:szCs w:val="20"/>
          <w:color w:val="auto"/>
        </w:rPr>
      </w:pPr>
    </w:p>
    <w:p>
      <w:pPr>
        <w:ind w:right="80"/>
        <w:spacing w:after="0" w:line="285" w:lineRule="auto"/>
        <w:rPr>
          <w:sz w:val="20"/>
          <w:szCs w:val="20"/>
          <w:color w:val="auto"/>
        </w:rPr>
      </w:pPr>
      <w:r>
        <w:rPr>
          <w:rFonts w:ascii="Arial" w:cs="Arial" w:eastAsia="Arial" w:hAnsi="Arial"/>
          <w:sz w:val="13"/>
          <w:szCs w:val="13"/>
          <w:color w:val="auto"/>
        </w:rPr>
        <w:t>Sempra Energy is a Fortune 500 energy services holding company whose business units develop energy infrastructure, operate utilities and provide related products and services to their customers. Our operations are divided principally between the Sempra Utilities and Sempra Global. The Sempra Utilities consist of two California regulated public utility companies, (1) San Diego Gas &amp; Electric Company (SDG&amp;E) and (2) Southern California Gas Company (SoCalGas). Sempra Global consists of other businesses engaged in providing energy products and services.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This report includes information for the following separate registrants:</w:t>
      </w:r>
    </w:p>
    <w:p>
      <w:pPr>
        <w:spacing w:after="0" w:line="170" w:lineRule="exact"/>
        <w:rPr>
          <w:sz w:val="20"/>
          <w:szCs w:val="20"/>
          <w:color w:val="auto"/>
        </w:rPr>
      </w:pPr>
    </w:p>
    <w:p>
      <w:pPr>
        <w:ind w:left="260" w:hanging="147"/>
        <w:spacing w:after="0"/>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Sempra Energy and its consolidated entities</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SDG&amp;E</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Pacific Enterprises (PE), the holding company for SoCalGas</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SoCalGas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References in this report to "we," "our" and "Sempra Energy Consolidated" are to Sempra Energy and its consolidated entities, collectively, unless otherwise indicated by its context.</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PE's operations consist solely of those of SoCalGas and additional items (e.g., cash, intercompany accounts and equity) attributable to serving as a holding company for SoCalGas.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Below are summary descriptions of our operating business units, which are also our reportable segments.</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SEMPRA ENERGY BUSINESS UNITS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The Sempra Utilities consist of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7279005" cy="1047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9005" cy="10477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SEMPRA UTILITIES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82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tcPr>
          <w:p>
            <w:pPr>
              <w:ind w:left="1660"/>
              <w:spacing w:after="0"/>
              <w:rPr>
                <w:sz w:val="20"/>
                <w:szCs w:val="20"/>
                <w:color w:val="auto"/>
              </w:rPr>
            </w:pPr>
            <w:r>
              <w:rPr>
                <w:rFonts w:ascii="Arial" w:cs="Arial" w:eastAsia="Arial" w:hAnsi="Arial"/>
                <w:sz w:val="11"/>
                <w:szCs w:val="11"/>
                <w:b w:val="1"/>
                <w:bCs w:val="1"/>
                <w:color w:val="auto"/>
              </w:rPr>
              <w:t>MARKET</w:t>
            </w:r>
          </w:p>
        </w:tc>
        <w:tc>
          <w:tcPr>
            <w:tcW w:w="3800" w:type="dxa"/>
            <w:vAlign w:val="bottom"/>
            <w:tcBorders>
              <w:bottom w:val="single" w:sz="8" w:color="auto"/>
            </w:tcBorders>
          </w:tcPr>
          <w:p>
            <w:pPr>
              <w:ind w:left="1320"/>
              <w:spacing w:after="0"/>
              <w:rPr>
                <w:sz w:val="20"/>
                <w:szCs w:val="20"/>
                <w:color w:val="auto"/>
              </w:rPr>
            </w:pPr>
            <w:r>
              <w:rPr>
                <w:rFonts w:ascii="Arial" w:cs="Arial" w:eastAsia="Arial" w:hAnsi="Arial"/>
                <w:sz w:val="11"/>
                <w:szCs w:val="11"/>
                <w:b w:val="1"/>
                <w:bCs w:val="1"/>
                <w:color w:val="auto"/>
              </w:rPr>
              <w:t>SERVICE TERRITORY</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820" w:type="dxa"/>
            <w:vAlign w:val="bottom"/>
            <w:tcBorders>
              <w:right w:val="single" w:sz="8" w:color="auto"/>
            </w:tcBorders>
          </w:tcPr>
          <w:p>
            <w:pPr>
              <w:spacing w:after="0" w:line="126" w:lineRule="exact"/>
              <w:rPr>
                <w:sz w:val="20"/>
                <w:szCs w:val="20"/>
                <w:color w:val="auto"/>
              </w:rPr>
            </w:pPr>
            <w:r>
              <w:rPr>
                <w:rFonts w:ascii="Arial" w:cs="Arial" w:eastAsia="Arial" w:hAnsi="Arial"/>
                <w:sz w:val="12"/>
                <w:szCs w:val="12"/>
                <w:b w:val="1"/>
                <w:bCs w:val="1"/>
                <w:color w:val="auto"/>
              </w:rPr>
              <w:t>SAN DIEGO GAS &amp; ELECTRIC COMPANY (SDG&amp;E)</w:t>
            </w:r>
          </w:p>
        </w:tc>
        <w:tc>
          <w:tcPr>
            <w:tcW w:w="3820" w:type="dxa"/>
            <w:vAlign w:val="bottom"/>
            <w:tcBorders>
              <w:right w:val="single" w:sz="8" w:color="auto"/>
            </w:tcBorders>
          </w:tcPr>
          <w:p>
            <w:pPr>
              <w:ind w:left="240"/>
              <w:spacing w:after="0" w:line="126" w:lineRule="exact"/>
              <w:rPr>
                <w:sz w:val="20"/>
                <w:szCs w:val="20"/>
                <w:color w:val="auto"/>
              </w:rPr>
            </w:pPr>
            <w:r>
              <w:rPr>
                <w:rFonts w:ascii="Arial" w:cs="Arial" w:eastAsia="Arial" w:hAnsi="Arial"/>
                <w:sz w:val="12"/>
                <w:szCs w:val="12"/>
                <w:color w:val="auto"/>
              </w:rPr>
              <w:t>§   Provides electricity to 3.5 million consumers (1.4 million</w:t>
            </w:r>
          </w:p>
        </w:tc>
        <w:tc>
          <w:tcPr>
            <w:tcW w:w="3800" w:type="dxa"/>
            <w:vAlign w:val="bottom"/>
          </w:tcPr>
          <w:p>
            <w:pPr>
              <w:spacing w:after="0" w:line="126" w:lineRule="exact"/>
              <w:rPr>
                <w:sz w:val="20"/>
                <w:szCs w:val="20"/>
                <w:color w:val="auto"/>
              </w:rPr>
            </w:pPr>
            <w:r>
              <w:rPr>
                <w:rFonts w:ascii="Arial" w:cs="Arial" w:eastAsia="Arial" w:hAnsi="Arial"/>
                <w:sz w:val="12"/>
                <w:szCs w:val="12"/>
                <w:color w:val="auto"/>
              </w:rPr>
              <w:t>Serves the county of San Diego, California and an adjacent portion</w:t>
            </w:r>
          </w:p>
        </w:tc>
        <w:tc>
          <w:tcPr>
            <w:tcW w:w="0" w:type="dxa"/>
            <w:vAlign w:val="bottom"/>
          </w:tcPr>
          <w:p>
            <w:pPr>
              <w:spacing w:after="0"/>
              <w:rPr>
                <w:sz w:val="1"/>
                <w:szCs w:val="1"/>
                <w:color w:val="auto"/>
              </w:rPr>
            </w:pPr>
          </w:p>
        </w:tc>
      </w:tr>
      <w:tr>
        <w:trPr>
          <w:trHeight w:val="134"/>
        </w:trPr>
        <w:tc>
          <w:tcPr>
            <w:tcW w:w="3840" w:type="dxa"/>
            <w:vAlign w:val="bottom"/>
            <w:tcBorders>
              <w:right w:val="single" w:sz="8" w:color="auto"/>
            </w:tcBorders>
            <w:gridSpan w:val="2"/>
          </w:tcPr>
          <w:p>
            <w:pPr>
              <w:spacing w:after="0" w:line="134" w:lineRule="exact"/>
              <w:rPr>
                <w:sz w:val="20"/>
                <w:szCs w:val="20"/>
                <w:color w:val="auto"/>
              </w:rPr>
            </w:pPr>
            <w:r>
              <w:rPr>
                <w:rFonts w:ascii="Arial" w:cs="Arial" w:eastAsia="Arial" w:hAnsi="Arial"/>
                <w:sz w:val="12"/>
                <w:szCs w:val="12"/>
                <w:color w:val="auto"/>
              </w:rPr>
              <w:t>A regulated public utility; infrastructure supports electric generation,</w:t>
            </w:r>
          </w:p>
        </w:tc>
        <w:tc>
          <w:tcPr>
            <w:tcW w:w="38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2"/>
                <w:szCs w:val="12"/>
                <w:color w:val="auto"/>
              </w:rPr>
              <w:t>meters)</w:t>
            </w:r>
          </w:p>
        </w:tc>
        <w:tc>
          <w:tcPr>
            <w:tcW w:w="3800" w:type="dxa"/>
            <w:vAlign w:val="bottom"/>
          </w:tcPr>
          <w:p>
            <w:pPr>
              <w:spacing w:after="0" w:line="134" w:lineRule="exact"/>
              <w:rPr>
                <w:sz w:val="20"/>
                <w:szCs w:val="20"/>
                <w:color w:val="auto"/>
              </w:rPr>
            </w:pPr>
            <w:r>
              <w:rPr>
                <w:rFonts w:ascii="Arial" w:cs="Arial" w:eastAsia="Arial" w:hAnsi="Arial"/>
                <w:sz w:val="12"/>
                <w:szCs w:val="12"/>
                <w:color w:val="auto"/>
              </w:rPr>
              <w:t>of southern Orange County covering 4,100 square miles</w:t>
            </w:r>
          </w:p>
        </w:tc>
        <w:tc>
          <w:tcPr>
            <w:tcW w:w="0" w:type="dxa"/>
            <w:vAlign w:val="bottom"/>
          </w:tcPr>
          <w:p>
            <w:pPr>
              <w:spacing w:after="0"/>
              <w:rPr>
                <w:sz w:val="1"/>
                <w:szCs w:val="1"/>
                <w:color w:val="auto"/>
              </w:rPr>
            </w:pPr>
          </w:p>
        </w:tc>
      </w:tr>
      <w:tr>
        <w:trPr>
          <w:trHeight w:val="55"/>
        </w:trPr>
        <w:tc>
          <w:tcPr>
            <w:tcW w:w="38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2"/>
                <w:szCs w:val="12"/>
                <w:color w:val="auto"/>
              </w:rPr>
              <w:t>transmission and distribution, and natural gas distribution</w:t>
            </w:r>
          </w:p>
        </w:tc>
        <w:tc>
          <w:tcPr>
            <w:tcW w:w="3820" w:type="dxa"/>
            <w:vAlign w:val="bottom"/>
            <w:tcBorders>
              <w:right w:val="single" w:sz="8" w:color="auto"/>
            </w:tcBorders>
            <w:vMerge w:val="continue"/>
          </w:tcPr>
          <w:p>
            <w:pPr>
              <w:spacing w:after="0"/>
              <w:rPr>
                <w:sz w:val="4"/>
                <w:szCs w:val="4"/>
                <w:color w:val="auto"/>
              </w:rPr>
            </w:pPr>
          </w:p>
        </w:tc>
        <w:tc>
          <w:tcPr>
            <w:tcW w:w="3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3840" w:type="dxa"/>
            <w:vAlign w:val="bottom"/>
            <w:tcBorders>
              <w:right w:val="single" w:sz="8" w:color="auto"/>
            </w:tcBorders>
            <w:gridSpan w:val="2"/>
            <w:vMerge w:val="continue"/>
          </w:tcPr>
          <w:p>
            <w:pPr>
              <w:spacing w:after="0"/>
              <w:rPr>
                <w:sz w:val="8"/>
                <w:szCs w:val="8"/>
                <w:color w:val="auto"/>
              </w:rPr>
            </w:pPr>
          </w:p>
        </w:tc>
        <w:tc>
          <w:tcPr>
            <w:tcW w:w="3820" w:type="dxa"/>
            <w:vAlign w:val="bottom"/>
            <w:tcBorders>
              <w:right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820" w:type="dxa"/>
            <w:vAlign w:val="bottom"/>
            <w:tcBorders>
              <w:right w:val="single" w:sz="8" w:color="auto"/>
            </w:tcBorders>
          </w:tcPr>
          <w:p>
            <w:pPr>
              <w:spacing w:after="0"/>
              <w:rPr>
                <w:sz w:val="19"/>
                <w:szCs w:val="19"/>
                <w:color w:val="auto"/>
              </w:rPr>
            </w:pPr>
          </w:p>
        </w:tc>
        <w:tc>
          <w:tcPr>
            <w:tcW w:w="3820" w:type="dxa"/>
            <w:vAlign w:val="bottom"/>
            <w:tcBorders>
              <w:right w:val="single" w:sz="8" w:color="auto"/>
            </w:tcBorders>
          </w:tcPr>
          <w:p>
            <w:pPr>
              <w:ind w:left="240"/>
              <w:spacing w:after="0"/>
              <w:rPr>
                <w:sz w:val="20"/>
                <w:szCs w:val="20"/>
                <w:color w:val="auto"/>
              </w:rPr>
            </w:pPr>
            <w:r>
              <w:rPr>
                <w:rFonts w:ascii="Arial" w:cs="Arial" w:eastAsia="Arial" w:hAnsi="Arial"/>
                <w:sz w:val="12"/>
                <w:szCs w:val="12"/>
                <w:color w:val="auto"/>
              </w:rPr>
              <w:t>§   Provides natural gas to 3.2 million consumers (850,000</w:t>
            </w:r>
          </w:p>
        </w:tc>
        <w:tc>
          <w:tcPr>
            <w:tcW w:w="3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2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240"/>
              <w:spacing w:after="0"/>
              <w:rPr>
                <w:sz w:val="20"/>
                <w:szCs w:val="20"/>
                <w:color w:val="auto"/>
              </w:rPr>
            </w:pPr>
            <w:r>
              <w:rPr>
                <w:rFonts w:ascii="Arial" w:cs="Arial" w:eastAsia="Arial" w:hAnsi="Arial"/>
                <w:sz w:val="12"/>
                <w:szCs w:val="12"/>
                <w:color w:val="auto"/>
              </w:rPr>
              <w:t>meters)</w:t>
            </w:r>
          </w:p>
        </w:tc>
        <w:tc>
          <w:tcPr>
            <w:tcW w:w="3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3820" w:type="dxa"/>
            <w:vAlign w:val="bottom"/>
            <w:tcBorders>
              <w:bottom w:val="single" w:sz="8" w:color="auto"/>
              <w:right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vMerge w:val="continue"/>
          </w:tcPr>
          <w:p>
            <w:pPr>
              <w:spacing w:after="0"/>
              <w:rPr>
                <w:sz w:val="10"/>
                <w:szCs w:val="10"/>
                <w:color w:val="auto"/>
              </w:rPr>
            </w:pPr>
          </w:p>
        </w:tc>
        <w:tc>
          <w:tcPr>
            <w:tcW w:w="3820" w:type="dxa"/>
            <w:vAlign w:val="bottom"/>
            <w:tcBorders>
              <w:right w:val="single" w:sz="8" w:color="auto"/>
            </w:tcBorders>
          </w:tcPr>
          <w:p>
            <w:pPr>
              <w:spacing w:after="0" w:line="126" w:lineRule="exact"/>
              <w:rPr>
                <w:sz w:val="20"/>
                <w:szCs w:val="20"/>
                <w:color w:val="auto"/>
              </w:rPr>
            </w:pPr>
            <w:r>
              <w:rPr>
                <w:rFonts w:ascii="Arial" w:cs="Arial" w:eastAsia="Arial" w:hAnsi="Arial"/>
                <w:sz w:val="12"/>
                <w:szCs w:val="12"/>
                <w:b w:val="1"/>
                <w:bCs w:val="1"/>
                <w:color w:val="auto"/>
              </w:rPr>
              <w:t>SOUTHERN CALIFORNIA GAS COMPANY (SOCALGAS)</w:t>
            </w:r>
          </w:p>
        </w:tc>
        <w:tc>
          <w:tcPr>
            <w:tcW w:w="3820" w:type="dxa"/>
            <w:vAlign w:val="bottom"/>
            <w:tcBorders>
              <w:right w:val="single" w:sz="8" w:color="auto"/>
            </w:tcBorders>
          </w:tcPr>
          <w:p>
            <w:pPr>
              <w:ind w:left="240"/>
              <w:spacing w:after="0" w:line="126" w:lineRule="exact"/>
              <w:rPr>
                <w:sz w:val="20"/>
                <w:szCs w:val="20"/>
                <w:color w:val="auto"/>
              </w:rPr>
            </w:pPr>
            <w:r>
              <w:rPr>
                <w:rFonts w:ascii="Arial" w:cs="Arial" w:eastAsia="Arial" w:hAnsi="Arial"/>
                <w:sz w:val="12"/>
                <w:szCs w:val="12"/>
                <w:color w:val="auto"/>
              </w:rPr>
              <w:t>§   Residential, commercial, industrial, utility electric generation</w:t>
            </w:r>
          </w:p>
        </w:tc>
        <w:tc>
          <w:tcPr>
            <w:tcW w:w="3800" w:type="dxa"/>
            <w:vAlign w:val="bottom"/>
          </w:tcPr>
          <w:p>
            <w:pPr>
              <w:spacing w:after="0" w:line="126" w:lineRule="exact"/>
              <w:rPr>
                <w:sz w:val="20"/>
                <w:szCs w:val="20"/>
                <w:color w:val="auto"/>
              </w:rPr>
            </w:pPr>
            <w:r>
              <w:rPr>
                <w:rFonts w:ascii="Arial" w:cs="Arial" w:eastAsia="Arial" w:hAnsi="Arial"/>
                <w:sz w:val="12"/>
                <w:szCs w:val="12"/>
                <w:color w:val="auto"/>
              </w:rPr>
              <w:t>Southern California and portions of central California (excluding San</w:t>
            </w:r>
          </w:p>
        </w:tc>
        <w:tc>
          <w:tcPr>
            <w:tcW w:w="0" w:type="dxa"/>
            <w:vAlign w:val="bottom"/>
          </w:tcPr>
          <w:p>
            <w:pPr>
              <w:spacing w:after="0"/>
              <w:rPr>
                <w:sz w:val="1"/>
                <w:szCs w:val="1"/>
                <w:color w:val="auto"/>
              </w:rPr>
            </w:pPr>
          </w:p>
        </w:tc>
      </w:tr>
      <w:tr>
        <w:trPr>
          <w:trHeight w:val="134"/>
        </w:trPr>
        <w:tc>
          <w:tcPr>
            <w:tcW w:w="3840" w:type="dxa"/>
            <w:vAlign w:val="bottom"/>
            <w:tcBorders>
              <w:right w:val="single" w:sz="8" w:color="auto"/>
            </w:tcBorders>
            <w:gridSpan w:val="2"/>
          </w:tcPr>
          <w:p>
            <w:pPr>
              <w:spacing w:after="0" w:line="134" w:lineRule="exact"/>
              <w:rPr>
                <w:sz w:val="20"/>
                <w:szCs w:val="20"/>
                <w:color w:val="auto"/>
              </w:rPr>
            </w:pPr>
            <w:r>
              <w:rPr>
                <w:rFonts w:ascii="Arial" w:cs="Arial" w:eastAsia="Arial" w:hAnsi="Arial"/>
                <w:sz w:val="12"/>
                <w:szCs w:val="12"/>
                <w:color w:val="auto"/>
              </w:rPr>
              <w:t>A regulated public utility; infrastructure supports natural gas</w:t>
            </w:r>
          </w:p>
        </w:tc>
        <w:tc>
          <w:tcPr>
            <w:tcW w:w="38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2"/>
                <w:szCs w:val="12"/>
                <w:color w:val="auto"/>
              </w:rPr>
              <w:t>and wholesale customers</w:t>
            </w:r>
          </w:p>
        </w:tc>
        <w:tc>
          <w:tcPr>
            <w:tcW w:w="3800" w:type="dxa"/>
            <w:vAlign w:val="bottom"/>
          </w:tcPr>
          <w:p>
            <w:pPr>
              <w:spacing w:after="0" w:line="134" w:lineRule="exact"/>
              <w:rPr>
                <w:sz w:val="20"/>
                <w:szCs w:val="20"/>
                <w:color w:val="auto"/>
              </w:rPr>
            </w:pPr>
            <w:r>
              <w:rPr>
                <w:rFonts w:ascii="Arial" w:cs="Arial" w:eastAsia="Arial" w:hAnsi="Arial"/>
                <w:sz w:val="12"/>
                <w:szCs w:val="12"/>
                <w:color w:val="auto"/>
              </w:rPr>
              <w:t>Diego County, the city of Long Beach and the desert area of San</w:t>
            </w:r>
          </w:p>
        </w:tc>
        <w:tc>
          <w:tcPr>
            <w:tcW w:w="0" w:type="dxa"/>
            <w:vAlign w:val="bottom"/>
          </w:tcPr>
          <w:p>
            <w:pPr>
              <w:spacing w:after="0"/>
              <w:rPr>
                <w:sz w:val="1"/>
                <w:szCs w:val="1"/>
                <w:color w:val="auto"/>
              </w:rPr>
            </w:pPr>
          </w:p>
        </w:tc>
      </w:tr>
      <w:tr>
        <w:trPr>
          <w:trHeight w:val="55"/>
        </w:trPr>
        <w:tc>
          <w:tcPr>
            <w:tcW w:w="38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2"/>
                <w:szCs w:val="12"/>
                <w:color w:val="auto"/>
              </w:rPr>
              <w:t>distribution, transmission and storage</w:t>
            </w:r>
          </w:p>
        </w:tc>
        <w:tc>
          <w:tcPr>
            <w:tcW w:w="3820" w:type="dxa"/>
            <w:vAlign w:val="bottom"/>
            <w:tcBorders>
              <w:right w:val="single" w:sz="8" w:color="auto"/>
            </w:tcBorders>
            <w:vMerge w:val="continue"/>
          </w:tcPr>
          <w:p>
            <w:pPr>
              <w:spacing w:after="0"/>
              <w:rPr>
                <w:sz w:val="4"/>
                <w:szCs w:val="4"/>
                <w:color w:val="auto"/>
              </w:rPr>
            </w:pPr>
          </w:p>
        </w:tc>
        <w:tc>
          <w:tcPr>
            <w:tcW w:w="3800" w:type="dxa"/>
            <w:vAlign w:val="bottom"/>
            <w:vMerge w:val="restart"/>
          </w:tcPr>
          <w:p>
            <w:pPr>
              <w:spacing w:after="0"/>
              <w:rPr>
                <w:sz w:val="20"/>
                <w:szCs w:val="20"/>
                <w:color w:val="auto"/>
              </w:rPr>
            </w:pPr>
            <w:r>
              <w:rPr>
                <w:rFonts w:ascii="Arial" w:cs="Arial" w:eastAsia="Arial" w:hAnsi="Arial"/>
                <w:sz w:val="12"/>
                <w:szCs w:val="12"/>
                <w:color w:val="auto"/>
              </w:rPr>
              <w:t>Bernardino County) covering 20,000 square miles</w:t>
            </w:r>
          </w:p>
        </w:tc>
        <w:tc>
          <w:tcPr>
            <w:tcW w:w="0" w:type="dxa"/>
            <w:vAlign w:val="bottom"/>
          </w:tcPr>
          <w:p>
            <w:pPr>
              <w:spacing w:after="0"/>
              <w:rPr>
                <w:sz w:val="1"/>
                <w:szCs w:val="1"/>
                <w:color w:val="auto"/>
              </w:rPr>
            </w:pPr>
          </w:p>
        </w:tc>
      </w:tr>
      <w:tr>
        <w:trPr>
          <w:trHeight w:val="93"/>
        </w:trPr>
        <w:tc>
          <w:tcPr>
            <w:tcW w:w="3840" w:type="dxa"/>
            <w:vAlign w:val="bottom"/>
            <w:tcBorders>
              <w:right w:val="single" w:sz="8" w:color="auto"/>
            </w:tcBorders>
            <w:gridSpan w:val="2"/>
            <w:vMerge w:val="continue"/>
          </w:tcPr>
          <w:p>
            <w:pPr>
              <w:spacing w:after="0"/>
              <w:rPr>
                <w:sz w:val="8"/>
                <w:szCs w:val="8"/>
                <w:color w:val="auto"/>
              </w:rPr>
            </w:pPr>
          </w:p>
        </w:tc>
        <w:tc>
          <w:tcPr>
            <w:tcW w:w="3820" w:type="dxa"/>
            <w:vAlign w:val="bottom"/>
            <w:tcBorders>
              <w:right w:val="single" w:sz="8" w:color="auto"/>
            </w:tcBorders>
          </w:tcPr>
          <w:p>
            <w:pPr>
              <w:spacing w:after="0"/>
              <w:rPr>
                <w:sz w:val="8"/>
                <w:szCs w:val="8"/>
                <w:color w:val="auto"/>
              </w:rPr>
            </w:pPr>
          </w:p>
        </w:tc>
        <w:tc>
          <w:tcPr>
            <w:tcW w:w="3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820" w:type="dxa"/>
            <w:vAlign w:val="bottom"/>
            <w:tcBorders>
              <w:right w:val="single" w:sz="8" w:color="auto"/>
            </w:tcBorders>
          </w:tcPr>
          <w:p>
            <w:pPr>
              <w:spacing w:after="0"/>
              <w:rPr>
                <w:sz w:val="19"/>
                <w:szCs w:val="19"/>
                <w:color w:val="auto"/>
              </w:rPr>
            </w:pPr>
          </w:p>
        </w:tc>
        <w:tc>
          <w:tcPr>
            <w:tcW w:w="3820" w:type="dxa"/>
            <w:vAlign w:val="bottom"/>
            <w:tcBorders>
              <w:right w:val="single" w:sz="8" w:color="auto"/>
            </w:tcBorders>
          </w:tcPr>
          <w:p>
            <w:pPr>
              <w:ind w:left="240"/>
              <w:spacing w:after="0"/>
              <w:rPr>
                <w:sz w:val="20"/>
                <w:szCs w:val="20"/>
                <w:color w:val="auto"/>
              </w:rPr>
            </w:pPr>
            <w:r>
              <w:rPr>
                <w:rFonts w:ascii="Arial" w:cs="Arial" w:eastAsia="Arial" w:hAnsi="Arial"/>
                <w:sz w:val="12"/>
                <w:szCs w:val="12"/>
                <w:color w:val="auto"/>
              </w:rPr>
              <w:t>§   Covers a population of 20.9 million (5.8 million meters)</w:t>
            </w:r>
          </w:p>
        </w:tc>
        <w:tc>
          <w:tcPr>
            <w:tcW w:w="3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Borders>
              <w:bottom w:val="single" w:sz="8" w:color="auto"/>
              <w:right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60"/>
        <w:spacing w:after="0" w:line="267" w:lineRule="auto"/>
        <w:rPr>
          <w:sz w:val="20"/>
          <w:szCs w:val="20"/>
          <w:color w:val="auto"/>
        </w:rPr>
      </w:pPr>
      <w:r>
        <w:rPr>
          <w:rFonts w:ascii="Arial" w:cs="Arial" w:eastAsia="Arial" w:hAnsi="Arial"/>
          <w:sz w:val="14"/>
          <w:szCs w:val="14"/>
          <w:color w:val="auto"/>
        </w:rPr>
        <w:t>Sempra Global is a holding company for most of our subsidiaries that are not subject to California utility regulation. Sempra Global's principal business units, which provide energy-related products and services, are</w:t>
      </w:r>
    </w:p>
    <w:p>
      <w:pPr>
        <w:spacing w:after="0" w:line="138" w:lineRule="exact"/>
        <w:rPr>
          <w:sz w:val="20"/>
          <w:szCs w:val="20"/>
          <w:color w:val="auto"/>
        </w:rPr>
      </w:pPr>
    </w:p>
    <w:p>
      <w:pPr>
        <w:ind w:left="260" w:hanging="147"/>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Sempra Generation</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Sempra Pipelines &amp; Storage</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Sempra LNG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337820</wp:posOffset>
            </wp:positionV>
            <wp:extent cx="7279005" cy="1047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9005" cy="10477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SEMPRA GLOBAL</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8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2"/>
          </w:tcPr>
          <w:p>
            <w:pPr>
              <w:jc w:val="right"/>
              <w:ind w:right="2038"/>
              <w:spacing w:after="0"/>
              <w:rPr>
                <w:sz w:val="20"/>
                <w:szCs w:val="20"/>
                <w:color w:val="auto"/>
              </w:rPr>
            </w:pPr>
            <w:r>
              <w:rPr>
                <w:rFonts w:ascii="Arial" w:cs="Arial" w:eastAsia="Arial" w:hAnsi="Arial"/>
                <w:sz w:val="11"/>
                <w:szCs w:val="11"/>
                <w:b w:val="1"/>
                <w:bCs w:val="1"/>
                <w:color w:val="auto"/>
                <w:w w:val="97"/>
              </w:rPr>
              <w:t>MARKET</w:t>
            </w:r>
          </w:p>
        </w:tc>
        <w:tc>
          <w:tcPr>
            <w:tcW w:w="3400" w:type="dxa"/>
            <w:vAlign w:val="bottom"/>
            <w:tcBorders>
              <w:bottom w:val="single" w:sz="8" w:color="auto"/>
            </w:tcBorders>
          </w:tcPr>
          <w:p>
            <w:pPr>
              <w:ind w:left="880"/>
              <w:spacing w:after="0"/>
              <w:rPr>
                <w:sz w:val="20"/>
                <w:szCs w:val="20"/>
                <w:color w:val="auto"/>
              </w:rPr>
            </w:pPr>
            <w:r>
              <w:rPr>
                <w:rFonts w:ascii="Arial" w:cs="Arial" w:eastAsia="Arial" w:hAnsi="Arial"/>
                <w:sz w:val="11"/>
                <w:szCs w:val="11"/>
                <w:b w:val="1"/>
                <w:bCs w:val="1"/>
                <w:color w:val="auto"/>
              </w:rPr>
              <w:t>GEOGRAPHIC REGION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820" w:type="dxa"/>
            <w:vAlign w:val="bottom"/>
            <w:tcBorders>
              <w:right w:val="single" w:sz="8" w:color="auto"/>
            </w:tcBorders>
          </w:tcPr>
          <w:p>
            <w:pPr>
              <w:spacing w:after="0" w:line="126" w:lineRule="exact"/>
              <w:rPr>
                <w:sz w:val="20"/>
                <w:szCs w:val="20"/>
                <w:color w:val="auto"/>
              </w:rPr>
            </w:pPr>
            <w:r>
              <w:rPr>
                <w:rFonts w:ascii="Arial" w:cs="Arial" w:eastAsia="Arial" w:hAnsi="Arial"/>
                <w:sz w:val="12"/>
                <w:szCs w:val="12"/>
                <w:b w:val="1"/>
                <w:bCs w:val="1"/>
                <w:color w:val="auto"/>
              </w:rPr>
              <w:t>SEMPRA GENERATION</w:t>
            </w:r>
          </w:p>
        </w:tc>
        <w:tc>
          <w:tcPr>
            <w:tcW w:w="380" w:type="dxa"/>
            <w:vAlign w:val="bottom"/>
          </w:tcPr>
          <w:p>
            <w:pPr>
              <w:jc w:val="right"/>
              <w:ind w:right="18"/>
              <w:spacing w:after="0" w:line="126" w:lineRule="exact"/>
              <w:rPr>
                <w:sz w:val="20"/>
                <w:szCs w:val="20"/>
                <w:color w:val="auto"/>
              </w:rPr>
            </w:pPr>
            <w:r>
              <w:rPr>
                <w:rFonts w:ascii="Arial" w:cs="Arial" w:eastAsia="Arial" w:hAnsi="Arial"/>
                <w:sz w:val="12"/>
                <w:szCs w:val="12"/>
                <w:color w:val="auto"/>
              </w:rPr>
              <w:t>§</w:t>
            </w:r>
          </w:p>
        </w:tc>
        <w:tc>
          <w:tcPr>
            <w:tcW w:w="1260" w:type="dxa"/>
            <w:vAlign w:val="bottom"/>
          </w:tcPr>
          <w:p>
            <w:pPr>
              <w:ind w:left="80"/>
              <w:spacing w:after="0" w:line="126" w:lineRule="exact"/>
              <w:rPr>
                <w:sz w:val="20"/>
                <w:szCs w:val="20"/>
                <w:color w:val="auto"/>
              </w:rPr>
            </w:pPr>
            <w:r>
              <w:rPr>
                <w:rFonts w:ascii="Arial" w:cs="Arial" w:eastAsia="Arial" w:hAnsi="Arial"/>
                <w:sz w:val="12"/>
                <w:szCs w:val="12"/>
                <w:color w:val="auto"/>
              </w:rPr>
              <w:t>Wholesale electricity</w:t>
            </w:r>
          </w:p>
        </w:tc>
        <w:tc>
          <w:tcPr>
            <w:tcW w:w="2180" w:type="dxa"/>
            <w:vAlign w:val="bottom"/>
            <w:tcBorders>
              <w:right w:val="single" w:sz="8" w:color="auto"/>
            </w:tcBorders>
          </w:tcPr>
          <w:p>
            <w:pPr>
              <w:spacing w:after="0"/>
              <w:rPr>
                <w:sz w:val="10"/>
                <w:szCs w:val="10"/>
                <w:color w:val="auto"/>
              </w:rPr>
            </w:pPr>
          </w:p>
        </w:tc>
        <w:tc>
          <w:tcPr>
            <w:tcW w:w="400" w:type="dxa"/>
            <w:vAlign w:val="bottom"/>
          </w:tcPr>
          <w:p>
            <w:pPr>
              <w:jc w:val="right"/>
              <w:ind w:right="18"/>
              <w:spacing w:after="0" w:line="126" w:lineRule="exact"/>
              <w:rPr>
                <w:sz w:val="20"/>
                <w:szCs w:val="20"/>
                <w:color w:val="auto"/>
              </w:rPr>
            </w:pPr>
            <w:r>
              <w:rPr>
                <w:rFonts w:ascii="Arial" w:cs="Arial" w:eastAsia="Arial" w:hAnsi="Arial"/>
                <w:sz w:val="12"/>
                <w:szCs w:val="12"/>
                <w:color w:val="auto"/>
              </w:rPr>
              <w:t>§</w:t>
            </w:r>
          </w:p>
        </w:tc>
        <w:tc>
          <w:tcPr>
            <w:tcW w:w="3400" w:type="dxa"/>
            <w:vAlign w:val="bottom"/>
          </w:tcPr>
          <w:p>
            <w:pPr>
              <w:ind w:left="80"/>
              <w:spacing w:after="0" w:line="126" w:lineRule="exact"/>
              <w:rPr>
                <w:sz w:val="20"/>
                <w:szCs w:val="20"/>
                <w:color w:val="auto"/>
              </w:rPr>
            </w:pPr>
            <w:r>
              <w:rPr>
                <w:rFonts w:ascii="Arial" w:cs="Arial" w:eastAsia="Arial" w:hAnsi="Arial"/>
                <w:sz w:val="12"/>
                <w:szCs w:val="12"/>
                <w:color w:val="auto"/>
              </w:rPr>
              <w:t>U.S.A.</w:t>
            </w:r>
          </w:p>
        </w:tc>
        <w:tc>
          <w:tcPr>
            <w:tcW w:w="0" w:type="dxa"/>
            <w:vAlign w:val="bottom"/>
          </w:tcPr>
          <w:p>
            <w:pPr>
              <w:spacing w:after="0"/>
              <w:rPr>
                <w:sz w:val="1"/>
                <w:szCs w:val="1"/>
                <w:color w:val="auto"/>
              </w:rPr>
            </w:pPr>
          </w:p>
        </w:tc>
      </w:tr>
      <w:tr>
        <w:trPr>
          <w:trHeight w:val="134"/>
        </w:trPr>
        <w:tc>
          <w:tcPr>
            <w:tcW w:w="3840" w:type="dxa"/>
            <w:vAlign w:val="bottom"/>
            <w:tcBorders>
              <w:right w:val="single" w:sz="8" w:color="auto"/>
            </w:tcBorders>
            <w:gridSpan w:val="2"/>
          </w:tcPr>
          <w:p>
            <w:pPr>
              <w:spacing w:after="0" w:line="134" w:lineRule="exact"/>
              <w:rPr>
                <w:sz w:val="20"/>
                <w:szCs w:val="20"/>
                <w:color w:val="auto"/>
              </w:rPr>
            </w:pPr>
            <w:r>
              <w:rPr>
                <w:rFonts w:ascii="Arial" w:cs="Arial" w:eastAsia="Arial" w:hAnsi="Arial"/>
                <w:sz w:val="12"/>
                <w:szCs w:val="12"/>
                <w:color w:val="auto"/>
              </w:rPr>
              <w:t>Develops, owns and operates, or holds interests in, electric power</w:t>
            </w: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18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40" w:type="dxa"/>
            <w:vAlign w:val="bottom"/>
            <w:tcBorders>
              <w:right w:val="single" w:sz="8" w:color="auto"/>
            </w:tcBorders>
            <w:gridSpan w:val="2"/>
          </w:tcPr>
          <w:p>
            <w:pPr>
              <w:spacing w:after="0"/>
              <w:rPr>
                <w:sz w:val="20"/>
                <w:szCs w:val="20"/>
                <w:color w:val="auto"/>
              </w:rPr>
            </w:pPr>
            <w:r>
              <w:rPr>
                <w:rFonts w:ascii="Arial" w:cs="Arial" w:eastAsia="Arial" w:hAnsi="Arial"/>
                <w:sz w:val="12"/>
                <w:szCs w:val="12"/>
                <w:color w:val="auto"/>
              </w:rPr>
              <w:t>plants and energy projects</w:t>
            </w: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180" w:type="dxa"/>
            <w:vAlign w:val="bottom"/>
            <w:tcBorders>
              <w:right w:val="single" w:sz="8" w:color="auto"/>
            </w:tcBorders>
          </w:tcPr>
          <w:p>
            <w:pPr>
              <w:spacing w:after="0"/>
              <w:rPr>
                <w:sz w:val="12"/>
                <w:szCs w:val="12"/>
                <w:color w:val="auto"/>
              </w:rPr>
            </w:pPr>
          </w:p>
        </w:tc>
        <w:tc>
          <w:tcPr>
            <w:tcW w:w="400" w:type="dxa"/>
            <w:vAlign w:val="bottom"/>
            <w:vMerge w:val="restart"/>
          </w:tcPr>
          <w:p>
            <w:pPr>
              <w:jc w:val="right"/>
              <w:ind w:right="18"/>
              <w:spacing w:after="0"/>
              <w:rPr>
                <w:sz w:val="20"/>
                <w:szCs w:val="20"/>
                <w:color w:val="auto"/>
              </w:rPr>
            </w:pPr>
            <w:r>
              <w:rPr>
                <w:rFonts w:ascii="Arial" w:cs="Arial" w:eastAsia="Arial" w:hAnsi="Arial"/>
                <w:sz w:val="12"/>
                <w:szCs w:val="12"/>
                <w:color w:val="auto"/>
              </w:rPr>
              <w:t>§</w:t>
            </w:r>
          </w:p>
        </w:tc>
        <w:tc>
          <w:tcPr>
            <w:tcW w:w="3400" w:type="dxa"/>
            <w:vAlign w:val="bottom"/>
            <w:vMerge w:val="restart"/>
          </w:tcPr>
          <w:p>
            <w:pPr>
              <w:ind w:left="80"/>
              <w:spacing w:after="0"/>
              <w:rPr>
                <w:sz w:val="20"/>
                <w:szCs w:val="20"/>
                <w:color w:val="auto"/>
              </w:rPr>
            </w:pPr>
            <w:r>
              <w:rPr>
                <w:rFonts w:ascii="Arial" w:cs="Arial" w:eastAsia="Arial" w:hAnsi="Arial"/>
                <w:sz w:val="12"/>
                <w:szCs w:val="12"/>
                <w:color w:val="auto"/>
              </w:rPr>
              <w:t>Mexico</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820" w:type="dxa"/>
            <w:vAlign w:val="bottom"/>
            <w:tcBorders>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400" w:type="dxa"/>
            <w:vAlign w:val="bottom"/>
            <w:vMerge w:val="continue"/>
          </w:tcPr>
          <w:p>
            <w:pPr>
              <w:spacing w:after="0"/>
              <w:rPr>
                <w:sz w:val="7"/>
                <w:szCs w:val="7"/>
                <w:color w:val="auto"/>
              </w:rPr>
            </w:pP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3820" w:type="dxa"/>
            <w:vAlign w:val="bottom"/>
            <w:tcBorders>
              <w:bottom w:val="single" w:sz="8" w:color="auto"/>
              <w:right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vMerge w:val="continue"/>
          </w:tcPr>
          <w:p>
            <w:pPr>
              <w:spacing w:after="0"/>
              <w:rPr>
                <w:sz w:val="10"/>
                <w:szCs w:val="10"/>
                <w:color w:val="auto"/>
              </w:rPr>
            </w:pPr>
          </w:p>
        </w:tc>
        <w:tc>
          <w:tcPr>
            <w:tcW w:w="3820" w:type="dxa"/>
            <w:vAlign w:val="bottom"/>
            <w:tcBorders>
              <w:right w:val="single" w:sz="8" w:color="auto"/>
            </w:tcBorders>
          </w:tcPr>
          <w:p>
            <w:pPr>
              <w:spacing w:after="0" w:line="126" w:lineRule="exact"/>
              <w:rPr>
                <w:sz w:val="20"/>
                <w:szCs w:val="20"/>
                <w:color w:val="auto"/>
              </w:rPr>
            </w:pPr>
            <w:r>
              <w:rPr>
                <w:rFonts w:ascii="Arial" w:cs="Arial" w:eastAsia="Arial" w:hAnsi="Arial"/>
                <w:sz w:val="12"/>
                <w:szCs w:val="12"/>
                <w:b w:val="1"/>
                <w:bCs w:val="1"/>
                <w:color w:val="auto"/>
              </w:rPr>
              <w:t>SEMPRA PIPELINES &amp; STORAGE</w:t>
            </w:r>
          </w:p>
        </w:tc>
        <w:tc>
          <w:tcPr>
            <w:tcW w:w="380" w:type="dxa"/>
            <w:vAlign w:val="bottom"/>
          </w:tcPr>
          <w:p>
            <w:pPr>
              <w:jc w:val="right"/>
              <w:ind w:right="18"/>
              <w:spacing w:after="0" w:line="126" w:lineRule="exact"/>
              <w:rPr>
                <w:sz w:val="20"/>
                <w:szCs w:val="20"/>
                <w:color w:val="auto"/>
              </w:rPr>
            </w:pPr>
            <w:r>
              <w:rPr>
                <w:rFonts w:ascii="Arial" w:cs="Arial" w:eastAsia="Arial" w:hAnsi="Arial"/>
                <w:sz w:val="12"/>
                <w:szCs w:val="12"/>
                <w:color w:val="auto"/>
              </w:rPr>
              <w:t>§</w:t>
            </w:r>
          </w:p>
        </w:tc>
        <w:tc>
          <w:tcPr>
            <w:tcW w:w="1260" w:type="dxa"/>
            <w:vAlign w:val="bottom"/>
          </w:tcPr>
          <w:p>
            <w:pPr>
              <w:ind w:left="80"/>
              <w:spacing w:after="0" w:line="126" w:lineRule="exact"/>
              <w:rPr>
                <w:sz w:val="20"/>
                <w:szCs w:val="20"/>
                <w:color w:val="auto"/>
              </w:rPr>
            </w:pPr>
            <w:r>
              <w:rPr>
                <w:rFonts w:ascii="Arial" w:cs="Arial" w:eastAsia="Arial" w:hAnsi="Arial"/>
                <w:sz w:val="12"/>
                <w:szCs w:val="12"/>
                <w:color w:val="auto"/>
              </w:rPr>
              <w:t>Natural gas</w:t>
            </w:r>
          </w:p>
        </w:tc>
        <w:tc>
          <w:tcPr>
            <w:tcW w:w="2180" w:type="dxa"/>
            <w:vAlign w:val="bottom"/>
            <w:tcBorders>
              <w:right w:val="single" w:sz="8" w:color="auto"/>
            </w:tcBorders>
          </w:tcPr>
          <w:p>
            <w:pPr>
              <w:spacing w:after="0"/>
              <w:rPr>
                <w:sz w:val="10"/>
                <w:szCs w:val="10"/>
                <w:color w:val="auto"/>
              </w:rPr>
            </w:pPr>
          </w:p>
        </w:tc>
        <w:tc>
          <w:tcPr>
            <w:tcW w:w="400" w:type="dxa"/>
            <w:vAlign w:val="bottom"/>
          </w:tcPr>
          <w:p>
            <w:pPr>
              <w:jc w:val="right"/>
              <w:ind w:right="18"/>
              <w:spacing w:after="0" w:line="126" w:lineRule="exact"/>
              <w:rPr>
                <w:sz w:val="20"/>
                <w:szCs w:val="20"/>
                <w:color w:val="auto"/>
              </w:rPr>
            </w:pPr>
            <w:r>
              <w:rPr>
                <w:rFonts w:ascii="Arial" w:cs="Arial" w:eastAsia="Arial" w:hAnsi="Arial"/>
                <w:sz w:val="12"/>
                <w:szCs w:val="12"/>
                <w:color w:val="auto"/>
              </w:rPr>
              <w:t>§</w:t>
            </w:r>
          </w:p>
        </w:tc>
        <w:tc>
          <w:tcPr>
            <w:tcW w:w="3400" w:type="dxa"/>
            <w:vAlign w:val="bottom"/>
          </w:tcPr>
          <w:p>
            <w:pPr>
              <w:ind w:left="80"/>
              <w:spacing w:after="0" w:line="126" w:lineRule="exact"/>
              <w:rPr>
                <w:sz w:val="20"/>
                <w:szCs w:val="20"/>
                <w:color w:val="auto"/>
              </w:rPr>
            </w:pPr>
            <w:r>
              <w:rPr>
                <w:rFonts w:ascii="Arial" w:cs="Arial" w:eastAsia="Arial" w:hAnsi="Arial"/>
                <w:sz w:val="12"/>
                <w:szCs w:val="12"/>
                <w:color w:val="auto"/>
              </w:rPr>
              <w:t>U.S.A.</w:t>
            </w:r>
          </w:p>
        </w:tc>
        <w:tc>
          <w:tcPr>
            <w:tcW w:w="0" w:type="dxa"/>
            <w:vAlign w:val="bottom"/>
          </w:tcPr>
          <w:p>
            <w:pPr>
              <w:spacing w:after="0"/>
              <w:rPr>
                <w:sz w:val="1"/>
                <w:szCs w:val="1"/>
                <w:color w:val="auto"/>
              </w:rPr>
            </w:pPr>
          </w:p>
        </w:tc>
      </w:tr>
      <w:tr>
        <w:trPr>
          <w:trHeight w:val="134"/>
        </w:trPr>
        <w:tc>
          <w:tcPr>
            <w:tcW w:w="3840" w:type="dxa"/>
            <w:vAlign w:val="bottom"/>
            <w:tcBorders>
              <w:right w:val="single" w:sz="8" w:color="auto"/>
            </w:tcBorders>
            <w:gridSpan w:val="2"/>
          </w:tcPr>
          <w:p>
            <w:pPr>
              <w:spacing w:after="0" w:line="134" w:lineRule="exact"/>
              <w:rPr>
                <w:sz w:val="20"/>
                <w:szCs w:val="20"/>
                <w:color w:val="auto"/>
              </w:rPr>
            </w:pPr>
            <w:r>
              <w:rPr>
                <w:rFonts w:ascii="Arial" w:cs="Arial" w:eastAsia="Arial" w:hAnsi="Arial"/>
                <w:sz w:val="12"/>
                <w:szCs w:val="12"/>
                <w:color w:val="auto"/>
              </w:rPr>
              <w:t>Develops, owns and operates, or holds interests in, natural gas and</w:t>
            </w: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18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840" w:type="dxa"/>
            <w:vAlign w:val="bottom"/>
            <w:tcBorders>
              <w:right w:val="single" w:sz="8" w:color="auto"/>
            </w:tcBorders>
            <w:gridSpan w:val="2"/>
          </w:tcPr>
          <w:p>
            <w:pPr>
              <w:spacing w:after="0" w:line="134" w:lineRule="exact"/>
              <w:rPr>
                <w:sz w:val="20"/>
                <w:szCs w:val="20"/>
                <w:color w:val="auto"/>
              </w:rPr>
            </w:pPr>
            <w:r>
              <w:rPr>
                <w:rFonts w:ascii="Arial" w:cs="Arial" w:eastAsia="Arial" w:hAnsi="Arial"/>
                <w:sz w:val="12"/>
                <w:szCs w:val="12"/>
                <w:color w:val="auto"/>
              </w:rPr>
              <w:t>propane pipelines, natural gas storage facilities, and natural gas and</w:t>
            </w:r>
          </w:p>
        </w:tc>
        <w:tc>
          <w:tcPr>
            <w:tcW w:w="380" w:type="dxa"/>
            <w:vAlign w:val="bottom"/>
            <w:vMerge w:val="restart"/>
          </w:tcPr>
          <w:p>
            <w:pPr>
              <w:jc w:val="right"/>
              <w:ind w:right="18"/>
              <w:spacing w:after="0"/>
              <w:rPr>
                <w:sz w:val="20"/>
                <w:szCs w:val="20"/>
                <w:color w:val="auto"/>
              </w:rPr>
            </w:pPr>
            <w:r>
              <w:rPr>
                <w:rFonts w:ascii="Arial" w:cs="Arial" w:eastAsia="Arial" w:hAnsi="Arial"/>
                <w:sz w:val="12"/>
                <w:szCs w:val="12"/>
                <w:color w:val="auto"/>
              </w:rPr>
              <w:t>§</w:t>
            </w:r>
          </w:p>
        </w:tc>
        <w:tc>
          <w:tcPr>
            <w:tcW w:w="1260" w:type="dxa"/>
            <w:vAlign w:val="bottom"/>
            <w:vMerge w:val="restart"/>
          </w:tcPr>
          <w:p>
            <w:pPr>
              <w:ind w:left="80"/>
              <w:spacing w:after="0"/>
              <w:rPr>
                <w:sz w:val="20"/>
                <w:szCs w:val="20"/>
                <w:color w:val="auto"/>
              </w:rPr>
            </w:pPr>
            <w:r>
              <w:rPr>
                <w:rFonts w:ascii="Arial" w:cs="Arial" w:eastAsia="Arial" w:hAnsi="Arial"/>
                <w:sz w:val="12"/>
                <w:szCs w:val="12"/>
                <w:color w:val="auto"/>
              </w:rPr>
              <w:t>Electricity</w:t>
            </w:r>
          </w:p>
        </w:tc>
        <w:tc>
          <w:tcPr>
            <w:tcW w:w="2180" w:type="dxa"/>
            <w:vAlign w:val="bottom"/>
            <w:tcBorders>
              <w:right w:val="single" w:sz="8" w:color="auto"/>
            </w:tcBorders>
          </w:tcPr>
          <w:p>
            <w:pPr>
              <w:spacing w:after="0"/>
              <w:rPr>
                <w:sz w:val="11"/>
                <w:szCs w:val="11"/>
                <w:color w:val="auto"/>
              </w:rPr>
            </w:pPr>
          </w:p>
        </w:tc>
        <w:tc>
          <w:tcPr>
            <w:tcW w:w="400" w:type="dxa"/>
            <w:vAlign w:val="bottom"/>
            <w:vMerge w:val="restart"/>
          </w:tcPr>
          <w:p>
            <w:pPr>
              <w:jc w:val="right"/>
              <w:ind w:right="18"/>
              <w:spacing w:after="0"/>
              <w:rPr>
                <w:sz w:val="20"/>
                <w:szCs w:val="20"/>
                <w:color w:val="auto"/>
              </w:rPr>
            </w:pPr>
            <w:r>
              <w:rPr>
                <w:rFonts w:ascii="Arial" w:cs="Arial" w:eastAsia="Arial" w:hAnsi="Arial"/>
                <w:sz w:val="12"/>
                <w:szCs w:val="12"/>
                <w:color w:val="auto"/>
              </w:rPr>
              <w:t>§</w:t>
            </w:r>
          </w:p>
        </w:tc>
        <w:tc>
          <w:tcPr>
            <w:tcW w:w="3400" w:type="dxa"/>
            <w:vAlign w:val="bottom"/>
            <w:vMerge w:val="restart"/>
          </w:tcPr>
          <w:p>
            <w:pPr>
              <w:ind w:left="80"/>
              <w:spacing w:after="0"/>
              <w:rPr>
                <w:sz w:val="20"/>
                <w:szCs w:val="20"/>
                <w:color w:val="auto"/>
              </w:rPr>
            </w:pPr>
            <w:r>
              <w:rPr>
                <w:rFonts w:ascii="Arial" w:cs="Arial" w:eastAsia="Arial" w:hAnsi="Arial"/>
                <w:sz w:val="12"/>
                <w:szCs w:val="12"/>
                <w:color w:val="auto"/>
              </w:rPr>
              <w:t>Mexico</w:t>
            </w:r>
          </w:p>
        </w:tc>
        <w:tc>
          <w:tcPr>
            <w:tcW w:w="0" w:type="dxa"/>
            <w:vAlign w:val="bottom"/>
          </w:tcPr>
          <w:p>
            <w:pPr>
              <w:spacing w:after="0"/>
              <w:rPr>
                <w:sz w:val="1"/>
                <w:szCs w:val="1"/>
                <w:color w:val="auto"/>
              </w:rPr>
            </w:pPr>
          </w:p>
        </w:tc>
      </w:tr>
      <w:tr>
        <w:trPr>
          <w:trHeight w:val="97"/>
        </w:trPr>
        <w:tc>
          <w:tcPr>
            <w:tcW w:w="38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2"/>
                <w:szCs w:val="12"/>
                <w:color w:val="auto"/>
              </w:rPr>
              <w:t>electric service providers</w:t>
            </w:r>
          </w:p>
        </w:tc>
        <w:tc>
          <w:tcPr>
            <w:tcW w:w="38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2180" w:type="dxa"/>
            <w:vAlign w:val="bottom"/>
            <w:tcBorders>
              <w:right w:val="single" w:sz="8" w:color="auto"/>
            </w:tcBorders>
          </w:tcPr>
          <w:p>
            <w:pPr>
              <w:spacing w:after="0"/>
              <w:rPr>
                <w:sz w:val="8"/>
                <w:szCs w:val="8"/>
                <w:color w:val="auto"/>
              </w:rPr>
            </w:pPr>
          </w:p>
        </w:tc>
        <w:tc>
          <w:tcPr>
            <w:tcW w:w="400" w:type="dxa"/>
            <w:vAlign w:val="bottom"/>
            <w:vMerge w:val="continue"/>
          </w:tcPr>
          <w:p>
            <w:pPr>
              <w:spacing w:after="0"/>
              <w:rPr>
                <w:sz w:val="8"/>
                <w:szCs w:val="8"/>
                <w:color w:val="auto"/>
              </w:rPr>
            </w:pPr>
          </w:p>
        </w:tc>
        <w:tc>
          <w:tcPr>
            <w:tcW w:w="3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3840" w:type="dxa"/>
            <w:vAlign w:val="bottom"/>
            <w:tcBorders>
              <w:right w:val="single" w:sz="8" w:color="auto"/>
            </w:tcBorders>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180" w:type="dxa"/>
            <w:vAlign w:val="bottom"/>
            <w:tcBorders>
              <w:right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3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40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400" w:type="dxa"/>
            <w:vAlign w:val="bottom"/>
          </w:tcPr>
          <w:p>
            <w:pPr>
              <w:ind w:left="80"/>
              <w:spacing w:after="0"/>
              <w:rPr>
                <w:sz w:val="20"/>
                <w:szCs w:val="20"/>
                <w:color w:val="auto"/>
              </w:rPr>
            </w:pPr>
            <w:r>
              <w:rPr>
                <w:rFonts w:ascii="Arial" w:cs="Arial" w:eastAsia="Arial" w:hAnsi="Arial"/>
                <w:sz w:val="12"/>
                <w:szCs w:val="12"/>
                <w:color w:val="auto"/>
              </w:rPr>
              <w:t>Argentina</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40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400" w:type="dxa"/>
            <w:vAlign w:val="bottom"/>
          </w:tcPr>
          <w:p>
            <w:pPr>
              <w:ind w:left="80"/>
              <w:spacing w:after="0"/>
              <w:rPr>
                <w:sz w:val="20"/>
                <w:szCs w:val="20"/>
                <w:color w:val="auto"/>
              </w:rPr>
            </w:pPr>
            <w:r>
              <w:rPr>
                <w:rFonts w:ascii="Arial" w:cs="Arial" w:eastAsia="Arial" w:hAnsi="Arial"/>
                <w:sz w:val="12"/>
                <w:szCs w:val="12"/>
                <w:color w:val="auto"/>
              </w:rPr>
              <w:t>Chile</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40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400" w:type="dxa"/>
            <w:vAlign w:val="bottom"/>
          </w:tcPr>
          <w:p>
            <w:pPr>
              <w:ind w:left="80"/>
              <w:spacing w:after="0"/>
              <w:rPr>
                <w:sz w:val="20"/>
                <w:szCs w:val="20"/>
                <w:color w:val="auto"/>
              </w:rPr>
            </w:pPr>
            <w:r>
              <w:rPr>
                <w:rFonts w:ascii="Arial" w:cs="Arial" w:eastAsia="Arial" w:hAnsi="Arial"/>
                <w:sz w:val="12"/>
                <w:szCs w:val="12"/>
                <w:color w:val="auto"/>
              </w:rPr>
              <w:t>Peru</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3820" w:type="dxa"/>
            <w:vAlign w:val="bottom"/>
            <w:tcBorders>
              <w:bottom w:val="single" w:sz="8" w:color="auto"/>
              <w:right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vMerge w:val="continue"/>
          </w:tcPr>
          <w:p>
            <w:pPr>
              <w:spacing w:after="0"/>
              <w:rPr>
                <w:sz w:val="10"/>
                <w:szCs w:val="10"/>
                <w:color w:val="auto"/>
              </w:rPr>
            </w:pPr>
          </w:p>
        </w:tc>
        <w:tc>
          <w:tcPr>
            <w:tcW w:w="3820" w:type="dxa"/>
            <w:vAlign w:val="bottom"/>
            <w:tcBorders>
              <w:right w:val="single" w:sz="8" w:color="auto"/>
            </w:tcBorders>
          </w:tcPr>
          <w:p>
            <w:pPr>
              <w:spacing w:after="0" w:line="126" w:lineRule="exact"/>
              <w:rPr>
                <w:sz w:val="20"/>
                <w:szCs w:val="20"/>
                <w:color w:val="auto"/>
              </w:rPr>
            </w:pPr>
            <w:r>
              <w:rPr>
                <w:rFonts w:ascii="Arial" w:cs="Arial" w:eastAsia="Arial" w:hAnsi="Arial"/>
                <w:sz w:val="12"/>
                <w:szCs w:val="12"/>
                <w:b w:val="1"/>
                <w:bCs w:val="1"/>
                <w:color w:val="auto"/>
              </w:rPr>
              <w:t>SEMPRA LNG</w:t>
            </w:r>
          </w:p>
        </w:tc>
        <w:tc>
          <w:tcPr>
            <w:tcW w:w="380" w:type="dxa"/>
            <w:vAlign w:val="bottom"/>
          </w:tcPr>
          <w:p>
            <w:pPr>
              <w:jc w:val="right"/>
              <w:ind w:right="18"/>
              <w:spacing w:after="0" w:line="126" w:lineRule="exact"/>
              <w:rPr>
                <w:sz w:val="20"/>
                <w:szCs w:val="20"/>
                <w:color w:val="auto"/>
              </w:rPr>
            </w:pPr>
            <w:r>
              <w:rPr>
                <w:rFonts w:ascii="Arial" w:cs="Arial" w:eastAsia="Arial" w:hAnsi="Arial"/>
                <w:sz w:val="12"/>
                <w:szCs w:val="12"/>
                <w:color w:val="auto"/>
              </w:rPr>
              <w:t>§</w:t>
            </w:r>
          </w:p>
        </w:tc>
        <w:tc>
          <w:tcPr>
            <w:tcW w:w="1260" w:type="dxa"/>
            <w:vAlign w:val="bottom"/>
          </w:tcPr>
          <w:p>
            <w:pPr>
              <w:ind w:left="80"/>
              <w:spacing w:after="0" w:line="126" w:lineRule="exact"/>
              <w:rPr>
                <w:sz w:val="20"/>
                <w:szCs w:val="20"/>
                <w:color w:val="auto"/>
              </w:rPr>
            </w:pPr>
            <w:r>
              <w:rPr>
                <w:rFonts w:ascii="Arial" w:cs="Arial" w:eastAsia="Arial" w:hAnsi="Arial"/>
                <w:sz w:val="12"/>
                <w:szCs w:val="12"/>
                <w:color w:val="auto"/>
              </w:rPr>
              <w:t>Liquefied natural gas</w:t>
            </w:r>
          </w:p>
        </w:tc>
        <w:tc>
          <w:tcPr>
            <w:tcW w:w="2180" w:type="dxa"/>
            <w:vAlign w:val="bottom"/>
            <w:tcBorders>
              <w:right w:val="single" w:sz="8" w:color="auto"/>
            </w:tcBorders>
          </w:tcPr>
          <w:p>
            <w:pPr>
              <w:spacing w:after="0"/>
              <w:rPr>
                <w:sz w:val="10"/>
                <w:szCs w:val="10"/>
                <w:color w:val="auto"/>
              </w:rPr>
            </w:pPr>
          </w:p>
        </w:tc>
        <w:tc>
          <w:tcPr>
            <w:tcW w:w="400" w:type="dxa"/>
            <w:vAlign w:val="bottom"/>
          </w:tcPr>
          <w:p>
            <w:pPr>
              <w:jc w:val="right"/>
              <w:ind w:right="18"/>
              <w:spacing w:after="0" w:line="126" w:lineRule="exact"/>
              <w:rPr>
                <w:sz w:val="20"/>
                <w:szCs w:val="20"/>
                <w:color w:val="auto"/>
              </w:rPr>
            </w:pPr>
            <w:r>
              <w:rPr>
                <w:rFonts w:ascii="Arial" w:cs="Arial" w:eastAsia="Arial" w:hAnsi="Arial"/>
                <w:sz w:val="12"/>
                <w:szCs w:val="12"/>
                <w:color w:val="auto"/>
              </w:rPr>
              <w:t>§</w:t>
            </w:r>
          </w:p>
        </w:tc>
        <w:tc>
          <w:tcPr>
            <w:tcW w:w="3400" w:type="dxa"/>
            <w:vAlign w:val="bottom"/>
          </w:tcPr>
          <w:p>
            <w:pPr>
              <w:ind w:left="80"/>
              <w:spacing w:after="0" w:line="126" w:lineRule="exact"/>
              <w:rPr>
                <w:sz w:val="20"/>
                <w:szCs w:val="20"/>
                <w:color w:val="auto"/>
              </w:rPr>
            </w:pPr>
            <w:r>
              <w:rPr>
                <w:rFonts w:ascii="Arial" w:cs="Arial" w:eastAsia="Arial" w:hAnsi="Arial"/>
                <w:sz w:val="12"/>
                <w:szCs w:val="12"/>
                <w:color w:val="auto"/>
              </w:rPr>
              <w:t>U.S.A.</w:t>
            </w:r>
          </w:p>
        </w:tc>
        <w:tc>
          <w:tcPr>
            <w:tcW w:w="0" w:type="dxa"/>
            <w:vAlign w:val="bottom"/>
          </w:tcPr>
          <w:p>
            <w:pPr>
              <w:spacing w:after="0"/>
              <w:rPr>
                <w:sz w:val="1"/>
                <w:szCs w:val="1"/>
                <w:color w:val="auto"/>
              </w:rPr>
            </w:pPr>
          </w:p>
        </w:tc>
      </w:tr>
      <w:tr>
        <w:trPr>
          <w:trHeight w:val="134"/>
        </w:trPr>
        <w:tc>
          <w:tcPr>
            <w:tcW w:w="3840" w:type="dxa"/>
            <w:vAlign w:val="bottom"/>
            <w:tcBorders>
              <w:right w:val="single" w:sz="8" w:color="auto"/>
            </w:tcBorders>
            <w:gridSpan w:val="2"/>
          </w:tcPr>
          <w:p>
            <w:pPr>
              <w:spacing w:after="0" w:line="134" w:lineRule="exact"/>
              <w:rPr>
                <w:sz w:val="20"/>
                <w:szCs w:val="20"/>
                <w:color w:val="auto"/>
              </w:rPr>
            </w:pPr>
            <w:r>
              <w:rPr>
                <w:rFonts w:ascii="Arial" w:cs="Arial" w:eastAsia="Arial" w:hAnsi="Arial"/>
                <w:sz w:val="12"/>
                <w:szCs w:val="12"/>
                <w:color w:val="auto"/>
              </w:rPr>
              <w:t>Develops, owns and operates receipt terminals for importation of</w:t>
            </w: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18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40" w:type="dxa"/>
            <w:vAlign w:val="bottom"/>
            <w:tcBorders>
              <w:right w:val="single" w:sz="8" w:color="auto"/>
            </w:tcBorders>
            <w:gridSpan w:val="2"/>
          </w:tcPr>
          <w:p>
            <w:pPr>
              <w:spacing w:after="0"/>
              <w:rPr>
                <w:sz w:val="20"/>
                <w:szCs w:val="20"/>
                <w:color w:val="auto"/>
              </w:rPr>
            </w:pPr>
            <w:r>
              <w:rPr>
                <w:rFonts w:ascii="Arial" w:cs="Arial" w:eastAsia="Arial" w:hAnsi="Arial"/>
                <w:sz w:val="12"/>
                <w:szCs w:val="12"/>
                <w:color w:val="auto"/>
              </w:rPr>
              <w:t>liquefied natural gas (LNG) and sale of natural gas</w:t>
            </w:r>
          </w:p>
        </w:tc>
        <w:tc>
          <w:tcPr>
            <w:tcW w:w="380" w:type="dxa"/>
            <w:vAlign w:val="bottom"/>
            <w:vMerge w:val="restart"/>
          </w:tcPr>
          <w:p>
            <w:pPr>
              <w:jc w:val="right"/>
              <w:ind w:right="18"/>
              <w:spacing w:after="0"/>
              <w:rPr>
                <w:sz w:val="20"/>
                <w:szCs w:val="20"/>
                <w:color w:val="auto"/>
              </w:rPr>
            </w:pPr>
            <w:r>
              <w:rPr>
                <w:rFonts w:ascii="Arial" w:cs="Arial" w:eastAsia="Arial" w:hAnsi="Arial"/>
                <w:sz w:val="12"/>
                <w:szCs w:val="12"/>
                <w:color w:val="auto"/>
              </w:rPr>
              <w:t>§</w:t>
            </w:r>
          </w:p>
        </w:tc>
        <w:tc>
          <w:tcPr>
            <w:tcW w:w="1260" w:type="dxa"/>
            <w:vAlign w:val="bottom"/>
            <w:vMerge w:val="restart"/>
          </w:tcPr>
          <w:p>
            <w:pPr>
              <w:ind w:left="80"/>
              <w:spacing w:after="0"/>
              <w:rPr>
                <w:sz w:val="20"/>
                <w:szCs w:val="20"/>
                <w:color w:val="auto"/>
              </w:rPr>
            </w:pPr>
            <w:r>
              <w:rPr>
                <w:rFonts w:ascii="Arial" w:cs="Arial" w:eastAsia="Arial" w:hAnsi="Arial"/>
                <w:sz w:val="12"/>
                <w:szCs w:val="12"/>
                <w:color w:val="auto"/>
              </w:rPr>
              <w:t>Natural gas</w:t>
            </w:r>
          </w:p>
        </w:tc>
        <w:tc>
          <w:tcPr>
            <w:tcW w:w="2180" w:type="dxa"/>
            <w:vAlign w:val="bottom"/>
            <w:tcBorders>
              <w:right w:val="single" w:sz="8" w:color="auto"/>
            </w:tcBorders>
          </w:tcPr>
          <w:p>
            <w:pPr>
              <w:spacing w:after="0"/>
              <w:rPr>
                <w:sz w:val="12"/>
                <w:szCs w:val="12"/>
                <w:color w:val="auto"/>
              </w:rPr>
            </w:pPr>
          </w:p>
        </w:tc>
        <w:tc>
          <w:tcPr>
            <w:tcW w:w="400" w:type="dxa"/>
            <w:vAlign w:val="bottom"/>
            <w:vMerge w:val="restart"/>
          </w:tcPr>
          <w:p>
            <w:pPr>
              <w:jc w:val="right"/>
              <w:ind w:right="18"/>
              <w:spacing w:after="0"/>
              <w:rPr>
                <w:sz w:val="20"/>
                <w:szCs w:val="20"/>
                <w:color w:val="auto"/>
              </w:rPr>
            </w:pPr>
            <w:r>
              <w:rPr>
                <w:rFonts w:ascii="Arial" w:cs="Arial" w:eastAsia="Arial" w:hAnsi="Arial"/>
                <w:sz w:val="12"/>
                <w:szCs w:val="12"/>
                <w:color w:val="auto"/>
              </w:rPr>
              <w:t>§</w:t>
            </w:r>
          </w:p>
        </w:tc>
        <w:tc>
          <w:tcPr>
            <w:tcW w:w="3400" w:type="dxa"/>
            <w:vAlign w:val="bottom"/>
            <w:vMerge w:val="restart"/>
          </w:tcPr>
          <w:p>
            <w:pPr>
              <w:ind w:left="80"/>
              <w:spacing w:after="0"/>
              <w:rPr>
                <w:sz w:val="20"/>
                <w:szCs w:val="20"/>
                <w:color w:val="auto"/>
              </w:rPr>
            </w:pPr>
            <w:r>
              <w:rPr>
                <w:rFonts w:ascii="Arial" w:cs="Arial" w:eastAsia="Arial" w:hAnsi="Arial"/>
                <w:sz w:val="12"/>
                <w:szCs w:val="12"/>
                <w:color w:val="auto"/>
              </w:rPr>
              <w:t>Mexico</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820" w:type="dxa"/>
            <w:vAlign w:val="bottom"/>
            <w:tcBorders>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400" w:type="dxa"/>
            <w:vAlign w:val="bottom"/>
            <w:vMerge w:val="continue"/>
          </w:tcPr>
          <w:p>
            <w:pPr>
              <w:spacing w:after="0"/>
              <w:rPr>
                <w:sz w:val="7"/>
                <w:szCs w:val="7"/>
                <w:color w:val="auto"/>
              </w:rPr>
            </w:pP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40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3400" w:type="dxa"/>
            <w:vAlign w:val="bottom"/>
          </w:tcPr>
          <w:p>
            <w:pPr>
              <w:ind w:left="80"/>
              <w:spacing w:after="0"/>
              <w:rPr>
                <w:sz w:val="20"/>
                <w:szCs w:val="20"/>
                <w:color w:val="auto"/>
              </w:rPr>
            </w:pPr>
            <w:r>
              <w:rPr>
                <w:rFonts w:ascii="Arial" w:cs="Arial" w:eastAsia="Arial" w:hAnsi="Arial"/>
                <w:sz w:val="12"/>
                <w:szCs w:val="12"/>
                <w:color w:val="auto"/>
              </w:rPr>
              <w:t>Global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Borders>
              <w:bottom w:val="single" w:sz="8" w:color="auto"/>
              <w:right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18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right="40"/>
        <w:spacing w:after="0" w:line="279" w:lineRule="auto"/>
        <w:rPr>
          <w:sz w:val="20"/>
          <w:szCs w:val="20"/>
          <w:color w:val="auto"/>
        </w:rPr>
      </w:pPr>
      <w:r>
        <w:rPr>
          <w:rFonts w:ascii="Arial" w:cs="Arial" w:eastAsia="Arial" w:hAnsi="Arial"/>
          <w:sz w:val="13"/>
          <w:szCs w:val="13"/>
          <w:color w:val="auto"/>
        </w:rPr>
        <w:t>Prior to 2011, our Sempra Commodities segment contained our investment in RBS Sempra Commodities LLP (RBS Sempra Commodities), which held commodities-marketing businesses previously owned by us. Our investment in the partnership is reported on the equity method. We and The Royal Bank of Scotland (RBS), our partner in the joint venture, sold substantially all of the partnership’s businesses and assets in four separate transactions completed in July, November and December of 2010 and February of 2011. We discuss these transactions and other matters concerning the partnership in Note 4 of the Notes to Condensed Consolidated Financial Statements herein and in Note 4 of the Notes to Consolidated Financial Statements in the Annual Report.</w:t>
      </w:r>
    </w:p>
    <w:p>
      <w:pPr>
        <w:spacing w:after="0" w:line="132"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The activity in the partnership no longer meets the quantitative thresholds that require Sempra Commodities to be reported as a reportable segment under applicable generally accepted accounting principles, and we do not consider the remaining wind-down activities of the partnership to be of continuing significance. As a result, effective January 1, 2011, we are reporting the former Sempra Commodities segment in Parent and Other, and have restated prior year information to be consistent with this treatment. Also, in the fourth quarter of 2010, we changed the composition of our reporting segments to include Sempra Rockies Marketing, which was previously included in the Sempra Commodities segment, in the Sempra Generation segment.</w:t>
      </w:r>
    </w:p>
    <w:p>
      <w:pPr>
        <w:sectPr>
          <w:pgSz w:w="11900" w:h="16838" w:orient="portrait"/>
          <w:cols w:equalWidth="0" w:num="1">
            <w:col w:w="11460"/>
          </w:cols>
          <w:pgMar w:left="220" w:top="443" w:right="219" w:bottom="0" w:gutter="0" w:footer="0" w:header="0"/>
        </w:sectPr>
      </w:pPr>
    </w:p>
    <w:bookmarkStart w:id="44" w:name="page45"/>
    <w:bookmarkEnd w:id="44"/>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627380</wp:posOffset>
            </wp:positionV>
            <wp:extent cx="729170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1705" cy="635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We discuss the following in Results of Operations:</w:t>
      </w:r>
    </w:p>
    <w:p>
      <w:pPr>
        <w:spacing w:after="0" w:line="170" w:lineRule="exact"/>
        <w:rPr>
          <w:sz w:val="20"/>
          <w:szCs w:val="20"/>
          <w:color w:val="auto"/>
        </w:rPr>
      </w:pPr>
    </w:p>
    <w:p>
      <w:pPr>
        <w:ind w:left="260" w:hanging="147"/>
        <w:spacing w:after="0"/>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Overall results of our operations and factors affecting those results</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business unit results</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Significant changes in revenues, costs and earnings between periods</w:t>
      </w:r>
    </w:p>
    <w:p>
      <w:pPr>
        <w:spacing w:after="0" w:line="200" w:lineRule="exact"/>
        <w:rPr>
          <w:sz w:val="20"/>
          <w:szCs w:val="20"/>
          <w:color w:val="auto"/>
        </w:rPr>
      </w:pPr>
    </w:p>
    <w:p>
      <w:pPr>
        <w:spacing w:after="0" w:line="321" w:lineRule="exact"/>
        <w:rPr>
          <w:sz w:val="20"/>
          <w:szCs w:val="20"/>
          <w:color w:val="auto"/>
        </w:rPr>
      </w:pPr>
    </w:p>
    <w:p>
      <w:pPr>
        <w:ind w:left="260" w:hanging="147"/>
        <w:spacing w:after="0"/>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litigation expense recorded in 2010 of $96 million related to an agreement to settle certain energy crisis litigation;</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improved operating results at Sempra Generation and Sempra Pipelines &amp; Storage; and</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lower losses at Parent and Other.</w:t>
      </w:r>
    </w:p>
    <w:p>
      <w:pPr>
        <w:spacing w:after="0" w:line="190" w:lineRule="exact"/>
        <w:rPr>
          <w:sz w:val="20"/>
          <w:szCs w:val="20"/>
          <w:color w:val="auto"/>
        </w:rPr>
      </w:pPr>
    </w:p>
    <w:p>
      <w:pPr>
        <w:ind w:right="220"/>
        <w:spacing w:after="0" w:line="267" w:lineRule="auto"/>
        <w:rPr>
          <w:sz w:val="20"/>
          <w:szCs w:val="20"/>
          <w:color w:val="auto"/>
        </w:rPr>
      </w:pPr>
      <w:r>
        <w:rPr>
          <w:rFonts w:ascii="Arial" w:cs="Arial" w:eastAsia="Arial" w:hAnsi="Arial"/>
          <w:sz w:val="14"/>
          <w:szCs w:val="14"/>
          <w:color w:val="auto"/>
        </w:rPr>
        <w:t>Diluted earnings per share for the three-month period increased by $0.65 (155%) per share to $1.07 per share, due to higher earnings ($0.61 per share) and a decrease in the number of shares primarily as a result of our share repurchase program initiated in 2010 ($0.04 per share).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our earnings (losses) by business unit, which we discuss below in "Business Unit Results."</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SEMPRA ENERGY EARNINGS (LOSSES) BY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(Dollars in millions)</w:t>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2"/>
          </w:tcPr>
          <w:p>
            <w:pPr>
              <w:jc w:val="right"/>
              <w:ind w:right="238"/>
              <w:spacing w:after="0" w:line="121" w:lineRule="exact"/>
              <w:rPr>
                <w:sz w:val="20"/>
                <w:szCs w:val="20"/>
                <w:color w:val="auto"/>
              </w:rPr>
            </w:pPr>
            <w:r>
              <w:rPr>
                <w:rFonts w:ascii="Arial" w:cs="Arial" w:eastAsia="Arial" w:hAnsi="Arial"/>
                <w:sz w:val="11"/>
                <w:szCs w:val="11"/>
                <w:color w:val="auto"/>
              </w:rPr>
              <w:t>Three months ended March 31,</w:t>
            </w:r>
          </w:p>
        </w:tc>
        <w:tc>
          <w:tcPr>
            <w:tcW w:w="10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50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299"/>
              <w:spacing w:after="0"/>
              <w:rPr>
                <w:sz w:val="20"/>
                <w:szCs w:val="20"/>
                <w:color w:val="auto"/>
              </w:rPr>
            </w:pPr>
            <w:r>
              <w:rPr>
                <w:rFonts w:ascii="Arial" w:cs="Arial" w:eastAsia="Arial" w:hAnsi="Arial"/>
                <w:sz w:val="11"/>
                <w:szCs w:val="11"/>
                <w:color w:val="auto"/>
              </w:rPr>
              <w:t>2011</w:t>
            </w:r>
          </w:p>
        </w:tc>
        <w:tc>
          <w:tcPr>
            <w:tcW w:w="9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1"/>
                <w:szCs w:val="11"/>
                <w:color w:val="auto"/>
              </w:rPr>
              <w:t>2010</w:t>
            </w:r>
          </w:p>
        </w:tc>
        <w:tc>
          <w:tcPr>
            <w:tcW w:w="1080" w:type="dxa"/>
            <w:vAlign w:val="bottom"/>
            <w:tcBorders>
              <w:bottom w:val="single" w:sz="8" w:color="auto"/>
            </w:tcBorders>
          </w:tcPr>
          <w:p>
            <w:pPr>
              <w:spacing w:after="0"/>
              <w:rPr>
                <w:sz w:val="11"/>
                <w:szCs w:val="11"/>
                <w:color w:val="auto"/>
              </w:rPr>
            </w:pPr>
          </w:p>
        </w:tc>
      </w:tr>
      <w:tr>
        <w:trPr>
          <w:trHeight w:val="125"/>
        </w:trPr>
        <w:tc>
          <w:tcPr>
            <w:tcW w:w="20" w:type="dxa"/>
            <w:vAlign w:val="bottom"/>
          </w:tcPr>
          <w:p>
            <w:pPr>
              <w:spacing w:after="0"/>
              <w:rPr>
                <w:sz w:val="10"/>
                <w:szCs w:val="10"/>
                <w:color w:val="auto"/>
              </w:rPr>
            </w:pPr>
          </w:p>
        </w:tc>
        <w:tc>
          <w:tcPr>
            <w:tcW w:w="5060" w:type="dxa"/>
            <w:vAlign w:val="bottom"/>
          </w:tcPr>
          <w:p>
            <w:pPr>
              <w:spacing w:after="0" w:line="126" w:lineRule="exact"/>
              <w:rPr>
                <w:sz w:val="20"/>
                <w:szCs w:val="20"/>
                <w:color w:val="auto"/>
              </w:rPr>
            </w:pPr>
            <w:r>
              <w:rPr>
                <w:rFonts w:ascii="Arial" w:cs="Arial" w:eastAsia="Arial" w:hAnsi="Arial"/>
                <w:sz w:val="12"/>
                <w:szCs w:val="12"/>
                <w:color w:val="auto"/>
              </w:rPr>
              <w:t>Sempra Utilities:</w:t>
            </w:r>
          </w:p>
        </w:tc>
        <w:tc>
          <w:tcPr>
            <w:tcW w:w="7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5060" w:type="dxa"/>
            <w:vAlign w:val="bottom"/>
          </w:tcPr>
          <w:p>
            <w:pPr>
              <w:ind w:left="120"/>
              <w:spacing w:after="0" w:line="134" w:lineRule="exact"/>
              <w:rPr>
                <w:sz w:val="20"/>
                <w:szCs w:val="20"/>
                <w:color w:val="auto"/>
              </w:rPr>
            </w:pPr>
            <w:r>
              <w:rPr>
                <w:rFonts w:ascii="Arial" w:cs="Arial" w:eastAsia="Arial" w:hAnsi="Arial"/>
                <w:sz w:val="12"/>
                <w:szCs w:val="12"/>
                <w:color w:val="auto"/>
              </w:rPr>
              <w:t>SDG&amp;E(1)</w:t>
            </w:r>
          </w:p>
        </w:tc>
        <w:tc>
          <w:tcPr>
            <w:tcW w:w="720" w:type="dxa"/>
            <w:vAlign w:val="bottom"/>
          </w:tcPr>
          <w:p>
            <w:pPr>
              <w:jc w:val="right"/>
              <w:ind w:right="578"/>
              <w:spacing w:after="0" w:line="134" w:lineRule="exact"/>
              <w:rPr>
                <w:sz w:val="20"/>
                <w:szCs w:val="20"/>
                <w:color w:val="auto"/>
              </w:rPr>
            </w:pPr>
            <w:r>
              <w:rPr>
                <w:rFonts w:ascii="Arial" w:cs="Arial" w:eastAsia="Arial" w:hAnsi="Arial"/>
                <w:sz w:val="12"/>
                <w:szCs w:val="12"/>
                <w:color w:val="auto"/>
                <w:w w:val="89"/>
              </w:rPr>
              <w:t>$</w:t>
            </w:r>
          </w:p>
        </w:tc>
        <w:tc>
          <w:tcPr>
            <w:tcW w:w="1340" w:type="dxa"/>
            <w:vAlign w:val="bottom"/>
          </w:tcPr>
          <w:p>
            <w:pPr>
              <w:jc w:val="right"/>
              <w:ind w:right="439"/>
              <w:spacing w:after="0" w:line="134" w:lineRule="exact"/>
              <w:rPr>
                <w:sz w:val="20"/>
                <w:szCs w:val="20"/>
                <w:color w:val="auto"/>
              </w:rPr>
            </w:pPr>
            <w:r>
              <w:rPr>
                <w:rFonts w:ascii="Arial" w:cs="Arial" w:eastAsia="Arial" w:hAnsi="Arial"/>
                <w:sz w:val="12"/>
                <w:szCs w:val="12"/>
                <w:color w:val="auto"/>
              </w:rPr>
              <w:t>89</w:t>
            </w:r>
          </w:p>
        </w:tc>
        <w:tc>
          <w:tcPr>
            <w:tcW w:w="960" w:type="dxa"/>
            <w:vAlign w:val="bottom"/>
          </w:tcPr>
          <w:p>
            <w:pPr>
              <w:jc w:val="right"/>
              <w:ind w:right="99"/>
              <w:spacing w:after="0" w:line="134" w:lineRule="exact"/>
              <w:rPr>
                <w:sz w:val="20"/>
                <w:szCs w:val="20"/>
                <w:color w:val="auto"/>
              </w:rPr>
            </w:pPr>
            <w:r>
              <w:rPr>
                <w:rFonts w:ascii="Arial" w:cs="Arial" w:eastAsia="Arial" w:hAnsi="Arial"/>
                <w:sz w:val="12"/>
                <w:szCs w:val="12"/>
                <w:color w:val="auto"/>
              </w:rPr>
              <w:t>35 %</w:t>
            </w:r>
          </w:p>
        </w:tc>
        <w:tc>
          <w:tcPr>
            <w:tcW w:w="1240" w:type="dxa"/>
            <w:vAlign w:val="bottom"/>
          </w:tcPr>
          <w:p>
            <w:pPr>
              <w:jc w:val="right"/>
              <w:ind w:right="938"/>
              <w:spacing w:after="0" w:line="134"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499"/>
              <w:spacing w:after="0" w:line="134" w:lineRule="exact"/>
              <w:rPr>
                <w:sz w:val="20"/>
                <w:szCs w:val="20"/>
                <w:color w:val="auto"/>
              </w:rPr>
            </w:pPr>
            <w:r>
              <w:rPr>
                <w:rFonts w:ascii="Arial" w:cs="Arial" w:eastAsia="Arial" w:hAnsi="Arial"/>
                <w:sz w:val="12"/>
                <w:szCs w:val="12"/>
                <w:color w:val="auto"/>
              </w:rPr>
              <w:t>83</w:t>
            </w:r>
          </w:p>
        </w:tc>
        <w:tc>
          <w:tcPr>
            <w:tcW w:w="108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78 %</w:t>
            </w:r>
          </w:p>
        </w:tc>
      </w:tr>
      <w:tr>
        <w:trPr>
          <w:trHeight w:val="134"/>
        </w:trPr>
        <w:tc>
          <w:tcPr>
            <w:tcW w:w="20" w:type="dxa"/>
            <w:vAlign w:val="bottom"/>
          </w:tcPr>
          <w:p>
            <w:pPr>
              <w:spacing w:after="0"/>
              <w:rPr>
                <w:sz w:val="11"/>
                <w:szCs w:val="11"/>
                <w:color w:val="auto"/>
              </w:rPr>
            </w:pPr>
          </w:p>
        </w:tc>
        <w:tc>
          <w:tcPr>
            <w:tcW w:w="5060" w:type="dxa"/>
            <w:vAlign w:val="bottom"/>
          </w:tcPr>
          <w:p>
            <w:pPr>
              <w:ind w:left="120"/>
              <w:spacing w:after="0" w:line="134" w:lineRule="exact"/>
              <w:rPr>
                <w:sz w:val="20"/>
                <w:szCs w:val="20"/>
                <w:color w:val="auto"/>
              </w:rPr>
            </w:pPr>
            <w:r>
              <w:rPr>
                <w:rFonts w:ascii="Arial" w:cs="Arial" w:eastAsia="Arial" w:hAnsi="Arial"/>
                <w:sz w:val="12"/>
                <w:szCs w:val="12"/>
                <w:color w:val="auto"/>
              </w:rPr>
              <w:t>SoCalGas(1)</w:t>
            </w:r>
          </w:p>
        </w:tc>
        <w:tc>
          <w:tcPr>
            <w:tcW w:w="720" w:type="dxa"/>
            <w:vAlign w:val="bottom"/>
          </w:tcPr>
          <w:p>
            <w:pPr>
              <w:spacing w:after="0"/>
              <w:rPr>
                <w:sz w:val="11"/>
                <w:szCs w:val="11"/>
                <w:color w:val="auto"/>
              </w:rPr>
            </w:pPr>
          </w:p>
        </w:tc>
        <w:tc>
          <w:tcPr>
            <w:tcW w:w="1340" w:type="dxa"/>
            <w:vAlign w:val="bottom"/>
          </w:tcPr>
          <w:p>
            <w:pPr>
              <w:jc w:val="right"/>
              <w:ind w:right="439"/>
              <w:spacing w:after="0" w:line="134" w:lineRule="exact"/>
              <w:rPr>
                <w:sz w:val="20"/>
                <w:szCs w:val="20"/>
                <w:color w:val="auto"/>
              </w:rPr>
            </w:pPr>
            <w:r>
              <w:rPr>
                <w:rFonts w:ascii="Arial" w:cs="Arial" w:eastAsia="Arial" w:hAnsi="Arial"/>
                <w:sz w:val="12"/>
                <w:szCs w:val="12"/>
                <w:color w:val="auto"/>
              </w:rPr>
              <w:t>68</w:t>
            </w:r>
          </w:p>
        </w:tc>
        <w:tc>
          <w:tcPr>
            <w:tcW w:w="960" w:type="dxa"/>
            <w:vAlign w:val="bottom"/>
          </w:tcPr>
          <w:p>
            <w:pPr>
              <w:jc w:val="right"/>
              <w:ind w:right="239"/>
              <w:spacing w:after="0" w:line="134" w:lineRule="exact"/>
              <w:rPr>
                <w:sz w:val="20"/>
                <w:szCs w:val="20"/>
                <w:color w:val="auto"/>
              </w:rPr>
            </w:pPr>
            <w:r>
              <w:rPr>
                <w:rFonts w:ascii="Arial" w:cs="Arial" w:eastAsia="Arial" w:hAnsi="Arial"/>
                <w:sz w:val="12"/>
                <w:szCs w:val="12"/>
                <w:color w:val="auto"/>
              </w:rPr>
              <w:t>26</w:t>
            </w:r>
          </w:p>
        </w:tc>
        <w:tc>
          <w:tcPr>
            <w:tcW w:w="1240" w:type="dxa"/>
            <w:vAlign w:val="bottom"/>
          </w:tcPr>
          <w:p>
            <w:pPr>
              <w:spacing w:after="0"/>
              <w:rPr>
                <w:sz w:val="11"/>
                <w:szCs w:val="11"/>
                <w:color w:val="auto"/>
              </w:rPr>
            </w:pPr>
          </w:p>
        </w:tc>
        <w:tc>
          <w:tcPr>
            <w:tcW w:w="1040" w:type="dxa"/>
            <w:vAlign w:val="bottom"/>
          </w:tcPr>
          <w:p>
            <w:pPr>
              <w:jc w:val="right"/>
              <w:ind w:right="499"/>
              <w:spacing w:after="0" w:line="134" w:lineRule="exact"/>
              <w:rPr>
                <w:sz w:val="20"/>
                <w:szCs w:val="20"/>
                <w:color w:val="auto"/>
              </w:rPr>
            </w:pPr>
            <w:r>
              <w:rPr>
                <w:rFonts w:ascii="Arial" w:cs="Arial" w:eastAsia="Arial" w:hAnsi="Arial"/>
                <w:sz w:val="12"/>
                <w:szCs w:val="12"/>
                <w:color w:val="auto"/>
              </w:rPr>
              <w:t>65</w:t>
            </w:r>
          </w:p>
        </w:tc>
        <w:tc>
          <w:tcPr>
            <w:tcW w:w="1080" w:type="dxa"/>
            <w:vAlign w:val="bottom"/>
          </w:tcPr>
          <w:p>
            <w:pPr>
              <w:jc w:val="right"/>
              <w:ind w:right="418"/>
              <w:spacing w:after="0" w:line="134" w:lineRule="exact"/>
              <w:rPr>
                <w:sz w:val="20"/>
                <w:szCs w:val="20"/>
                <w:color w:val="auto"/>
              </w:rPr>
            </w:pPr>
            <w:r>
              <w:rPr>
                <w:rFonts w:ascii="Arial" w:cs="Arial" w:eastAsia="Arial" w:hAnsi="Arial"/>
                <w:sz w:val="12"/>
                <w:szCs w:val="12"/>
                <w:color w:val="auto"/>
              </w:rPr>
              <w:t>61</w:t>
            </w:r>
          </w:p>
        </w:tc>
      </w:tr>
      <w:tr>
        <w:trPr>
          <w:trHeight w:val="134"/>
        </w:trPr>
        <w:tc>
          <w:tcPr>
            <w:tcW w:w="5080" w:type="dxa"/>
            <w:vAlign w:val="bottom"/>
            <w:gridSpan w:val="2"/>
          </w:tcPr>
          <w:p>
            <w:pPr>
              <w:spacing w:after="0" w:line="134" w:lineRule="exact"/>
              <w:rPr>
                <w:sz w:val="20"/>
                <w:szCs w:val="20"/>
                <w:color w:val="auto"/>
              </w:rPr>
            </w:pPr>
            <w:r>
              <w:rPr>
                <w:rFonts w:ascii="Arial" w:cs="Arial" w:eastAsia="Arial" w:hAnsi="Arial"/>
                <w:sz w:val="12"/>
                <w:szCs w:val="12"/>
                <w:color w:val="auto"/>
              </w:rPr>
              <w:t>Sempra Global:</w:t>
            </w: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5060" w:type="dxa"/>
            <w:vAlign w:val="bottom"/>
          </w:tcPr>
          <w:p>
            <w:pPr>
              <w:ind w:left="120"/>
              <w:spacing w:after="0" w:line="134" w:lineRule="exact"/>
              <w:rPr>
                <w:sz w:val="20"/>
                <w:szCs w:val="20"/>
                <w:color w:val="auto"/>
              </w:rPr>
            </w:pPr>
            <w:r>
              <w:rPr>
                <w:rFonts w:ascii="Arial" w:cs="Arial" w:eastAsia="Arial" w:hAnsi="Arial"/>
                <w:sz w:val="12"/>
                <w:szCs w:val="12"/>
                <w:color w:val="auto"/>
              </w:rPr>
              <w:t>Sempra Generation</w:t>
            </w:r>
          </w:p>
        </w:tc>
        <w:tc>
          <w:tcPr>
            <w:tcW w:w="720" w:type="dxa"/>
            <w:vAlign w:val="bottom"/>
          </w:tcPr>
          <w:p>
            <w:pPr>
              <w:spacing w:after="0"/>
              <w:rPr>
                <w:sz w:val="11"/>
                <w:szCs w:val="11"/>
                <w:color w:val="auto"/>
              </w:rPr>
            </w:pPr>
          </w:p>
        </w:tc>
        <w:tc>
          <w:tcPr>
            <w:tcW w:w="1340" w:type="dxa"/>
            <w:vAlign w:val="bottom"/>
          </w:tcPr>
          <w:p>
            <w:pPr>
              <w:jc w:val="right"/>
              <w:ind w:right="439"/>
              <w:spacing w:after="0" w:line="134" w:lineRule="exact"/>
              <w:rPr>
                <w:sz w:val="20"/>
                <w:szCs w:val="20"/>
                <w:color w:val="auto"/>
              </w:rPr>
            </w:pPr>
            <w:r>
              <w:rPr>
                <w:rFonts w:ascii="Arial" w:cs="Arial" w:eastAsia="Arial" w:hAnsi="Arial"/>
                <w:sz w:val="12"/>
                <w:szCs w:val="12"/>
                <w:color w:val="auto"/>
              </w:rPr>
              <w:t>44</w:t>
            </w:r>
          </w:p>
        </w:tc>
        <w:tc>
          <w:tcPr>
            <w:tcW w:w="960" w:type="dxa"/>
            <w:vAlign w:val="bottom"/>
          </w:tcPr>
          <w:p>
            <w:pPr>
              <w:jc w:val="right"/>
              <w:ind w:right="239"/>
              <w:spacing w:after="0" w:line="134" w:lineRule="exact"/>
              <w:rPr>
                <w:sz w:val="20"/>
                <w:szCs w:val="20"/>
                <w:color w:val="auto"/>
              </w:rPr>
            </w:pPr>
            <w:r>
              <w:rPr>
                <w:rFonts w:ascii="Arial" w:cs="Arial" w:eastAsia="Arial" w:hAnsi="Arial"/>
                <w:sz w:val="12"/>
                <w:szCs w:val="12"/>
                <w:color w:val="auto"/>
              </w:rPr>
              <w:t>17</w:t>
            </w:r>
          </w:p>
        </w:tc>
        <w:tc>
          <w:tcPr>
            <w:tcW w:w="1240" w:type="dxa"/>
            <w:vAlign w:val="bottom"/>
          </w:tcPr>
          <w:p>
            <w:pPr>
              <w:spacing w:after="0"/>
              <w:rPr>
                <w:sz w:val="11"/>
                <w:szCs w:val="11"/>
                <w:color w:val="auto"/>
              </w:rPr>
            </w:pPr>
          </w:p>
        </w:tc>
        <w:tc>
          <w:tcPr>
            <w:tcW w:w="1040" w:type="dxa"/>
            <w:vAlign w:val="bottom"/>
          </w:tcPr>
          <w:p>
            <w:pPr>
              <w:jc w:val="right"/>
              <w:ind w:right="459"/>
              <w:spacing w:after="0" w:line="134" w:lineRule="exact"/>
              <w:rPr>
                <w:sz w:val="20"/>
                <w:szCs w:val="20"/>
                <w:color w:val="auto"/>
              </w:rPr>
            </w:pPr>
            <w:r>
              <w:rPr>
                <w:rFonts w:ascii="Arial" w:cs="Arial" w:eastAsia="Arial" w:hAnsi="Arial"/>
                <w:sz w:val="12"/>
                <w:szCs w:val="12"/>
                <w:color w:val="auto"/>
              </w:rPr>
              <w:t>(51)</w:t>
            </w:r>
          </w:p>
        </w:tc>
        <w:tc>
          <w:tcPr>
            <w:tcW w:w="1080" w:type="dxa"/>
            <w:vAlign w:val="bottom"/>
          </w:tcPr>
          <w:p>
            <w:pPr>
              <w:jc w:val="right"/>
              <w:ind w:right="378"/>
              <w:spacing w:after="0" w:line="134" w:lineRule="exact"/>
              <w:rPr>
                <w:sz w:val="20"/>
                <w:szCs w:val="20"/>
                <w:color w:val="auto"/>
              </w:rPr>
            </w:pPr>
            <w:r>
              <w:rPr>
                <w:rFonts w:ascii="Arial" w:cs="Arial" w:eastAsia="Arial" w:hAnsi="Arial"/>
                <w:sz w:val="12"/>
                <w:szCs w:val="12"/>
                <w:color w:val="auto"/>
              </w:rPr>
              <w:t>(48)</w:t>
            </w:r>
          </w:p>
        </w:tc>
      </w:tr>
      <w:tr>
        <w:trPr>
          <w:trHeight w:val="134"/>
        </w:trPr>
        <w:tc>
          <w:tcPr>
            <w:tcW w:w="20" w:type="dxa"/>
            <w:vAlign w:val="bottom"/>
          </w:tcPr>
          <w:p>
            <w:pPr>
              <w:spacing w:after="0"/>
              <w:rPr>
                <w:sz w:val="11"/>
                <w:szCs w:val="11"/>
                <w:color w:val="auto"/>
              </w:rPr>
            </w:pPr>
          </w:p>
        </w:tc>
        <w:tc>
          <w:tcPr>
            <w:tcW w:w="5060" w:type="dxa"/>
            <w:vAlign w:val="bottom"/>
          </w:tcPr>
          <w:p>
            <w:pPr>
              <w:ind w:left="120"/>
              <w:spacing w:after="0" w:line="134" w:lineRule="exact"/>
              <w:rPr>
                <w:sz w:val="20"/>
                <w:szCs w:val="20"/>
                <w:color w:val="auto"/>
              </w:rPr>
            </w:pPr>
            <w:r>
              <w:rPr>
                <w:rFonts w:ascii="Arial" w:cs="Arial" w:eastAsia="Arial" w:hAnsi="Arial"/>
                <w:sz w:val="12"/>
                <w:szCs w:val="12"/>
                <w:color w:val="auto"/>
              </w:rPr>
              <w:t>Sempra Pipelines &amp; Storage</w:t>
            </w:r>
          </w:p>
        </w:tc>
        <w:tc>
          <w:tcPr>
            <w:tcW w:w="720" w:type="dxa"/>
            <w:vAlign w:val="bottom"/>
          </w:tcPr>
          <w:p>
            <w:pPr>
              <w:spacing w:after="0"/>
              <w:rPr>
                <w:sz w:val="11"/>
                <w:szCs w:val="11"/>
                <w:color w:val="auto"/>
              </w:rPr>
            </w:pPr>
          </w:p>
        </w:tc>
        <w:tc>
          <w:tcPr>
            <w:tcW w:w="1340" w:type="dxa"/>
            <w:vAlign w:val="bottom"/>
          </w:tcPr>
          <w:p>
            <w:pPr>
              <w:jc w:val="right"/>
              <w:ind w:right="439"/>
              <w:spacing w:after="0" w:line="134" w:lineRule="exact"/>
              <w:rPr>
                <w:sz w:val="20"/>
                <w:szCs w:val="20"/>
                <w:color w:val="auto"/>
              </w:rPr>
            </w:pPr>
            <w:r>
              <w:rPr>
                <w:rFonts w:ascii="Arial" w:cs="Arial" w:eastAsia="Arial" w:hAnsi="Arial"/>
                <w:sz w:val="12"/>
                <w:szCs w:val="12"/>
                <w:color w:val="auto"/>
              </w:rPr>
              <w:t>54</w:t>
            </w:r>
          </w:p>
        </w:tc>
        <w:tc>
          <w:tcPr>
            <w:tcW w:w="960" w:type="dxa"/>
            <w:vAlign w:val="bottom"/>
          </w:tcPr>
          <w:p>
            <w:pPr>
              <w:jc w:val="right"/>
              <w:ind w:right="239"/>
              <w:spacing w:after="0" w:line="134" w:lineRule="exact"/>
              <w:rPr>
                <w:sz w:val="20"/>
                <w:szCs w:val="20"/>
                <w:color w:val="auto"/>
              </w:rPr>
            </w:pPr>
            <w:r>
              <w:rPr>
                <w:rFonts w:ascii="Arial" w:cs="Arial" w:eastAsia="Arial" w:hAnsi="Arial"/>
                <w:sz w:val="12"/>
                <w:szCs w:val="12"/>
                <w:color w:val="auto"/>
              </w:rPr>
              <w:t>21</w:t>
            </w:r>
          </w:p>
        </w:tc>
        <w:tc>
          <w:tcPr>
            <w:tcW w:w="1240" w:type="dxa"/>
            <w:vAlign w:val="bottom"/>
          </w:tcPr>
          <w:p>
            <w:pPr>
              <w:spacing w:after="0"/>
              <w:rPr>
                <w:sz w:val="11"/>
                <w:szCs w:val="11"/>
                <w:color w:val="auto"/>
              </w:rPr>
            </w:pPr>
          </w:p>
        </w:tc>
        <w:tc>
          <w:tcPr>
            <w:tcW w:w="1040" w:type="dxa"/>
            <w:vAlign w:val="bottom"/>
          </w:tcPr>
          <w:p>
            <w:pPr>
              <w:jc w:val="right"/>
              <w:ind w:right="499"/>
              <w:spacing w:after="0" w:line="134" w:lineRule="exact"/>
              <w:rPr>
                <w:sz w:val="20"/>
                <w:szCs w:val="20"/>
                <w:color w:val="auto"/>
              </w:rPr>
            </w:pPr>
            <w:r>
              <w:rPr>
                <w:rFonts w:ascii="Arial" w:cs="Arial" w:eastAsia="Arial" w:hAnsi="Arial"/>
                <w:sz w:val="12"/>
                <w:szCs w:val="12"/>
                <w:color w:val="auto"/>
              </w:rPr>
              <w:t>38</w:t>
            </w:r>
          </w:p>
        </w:tc>
        <w:tc>
          <w:tcPr>
            <w:tcW w:w="1080" w:type="dxa"/>
            <w:vAlign w:val="bottom"/>
          </w:tcPr>
          <w:p>
            <w:pPr>
              <w:jc w:val="right"/>
              <w:ind w:right="418"/>
              <w:spacing w:after="0" w:line="134" w:lineRule="exact"/>
              <w:rPr>
                <w:sz w:val="20"/>
                <w:szCs w:val="20"/>
                <w:color w:val="auto"/>
              </w:rPr>
            </w:pPr>
            <w:r>
              <w:rPr>
                <w:rFonts w:ascii="Arial" w:cs="Arial" w:eastAsia="Arial" w:hAnsi="Arial"/>
                <w:sz w:val="12"/>
                <w:szCs w:val="12"/>
                <w:color w:val="auto"/>
              </w:rPr>
              <w:t>36</w:t>
            </w:r>
          </w:p>
        </w:tc>
      </w:tr>
      <w:tr>
        <w:trPr>
          <w:trHeight w:val="134"/>
        </w:trPr>
        <w:tc>
          <w:tcPr>
            <w:tcW w:w="20" w:type="dxa"/>
            <w:vAlign w:val="bottom"/>
          </w:tcPr>
          <w:p>
            <w:pPr>
              <w:spacing w:after="0"/>
              <w:rPr>
                <w:sz w:val="11"/>
                <w:szCs w:val="11"/>
                <w:color w:val="auto"/>
              </w:rPr>
            </w:pPr>
          </w:p>
        </w:tc>
        <w:tc>
          <w:tcPr>
            <w:tcW w:w="5060" w:type="dxa"/>
            <w:vAlign w:val="bottom"/>
          </w:tcPr>
          <w:p>
            <w:pPr>
              <w:ind w:left="120"/>
              <w:spacing w:after="0" w:line="134" w:lineRule="exact"/>
              <w:rPr>
                <w:sz w:val="20"/>
                <w:szCs w:val="20"/>
                <w:color w:val="auto"/>
              </w:rPr>
            </w:pPr>
            <w:r>
              <w:rPr>
                <w:rFonts w:ascii="Arial" w:cs="Arial" w:eastAsia="Arial" w:hAnsi="Arial"/>
                <w:sz w:val="12"/>
                <w:szCs w:val="12"/>
                <w:color w:val="auto"/>
              </w:rPr>
              <w:t>Sempra LNG</w:t>
            </w:r>
          </w:p>
        </w:tc>
        <w:tc>
          <w:tcPr>
            <w:tcW w:w="720" w:type="dxa"/>
            <w:vAlign w:val="bottom"/>
          </w:tcPr>
          <w:p>
            <w:pPr>
              <w:spacing w:after="0"/>
              <w:rPr>
                <w:sz w:val="11"/>
                <w:szCs w:val="11"/>
                <w:color w:val="auto"/>
              </w:rPr>
            </w:pPr>
          </w:p>
        </w:tc>
        <w:tc>
          <w:tcPr>
            <w:tcW w:w="1340" w:type="dxa"/>
            <w:vAlign w:val="bottom"/>
          </w:tcPr>
          <w:p>
            <w:pPr>
              <w:jc w:val="right"/>
              <w:ind w:right="439"/>
              <w:spacing w:after="0" w:line="134" w:lineRule="exact"/>
              <w:rPr>
                <w:sz w:val="20"/>
                <w:szCs w:val="20"/>
                <w:color w:val="auto"/>
              </w:rPr>
            </w:pPr>
            <w:r>
              <w:rPr>
                <w:rFonts w:ascii="Arial" w:cs="Arial" w:eastAsia="Arial" w:hAnsi="Arial"/>
                <w:sz w:val="12"/>
                <w:szCs w:val="12"/>
                <w:color w:val="auto"/>
              </w:rPr>
              <w:t>33</w:t>
            </w:r>
          </w:p>
        </w:tc>
        <w:tc>
          <w:tcPr>
            <w:tcW w:w="960" w:type="dxa"/>
            <w:vAlign w:val="bottom"/>
          </w:tcPr>
          <w:p>
            <w:pPr>
              <w:jc w:val="right"/>
              <w:ind w:right="239"/>
              <w:spacing w:after="0" w:line="134" w:lineRule="exact"/>
              <w:rPr>
                <w:sz w:val="20"/>
                <w:szCs w:val="20"/>
                <w:color w:val="auto"/>
              </w:rPr>
            </w:pPr>
            <w:r>
              <w:rPr>
                <w:rFonts w:ascii="Arial" w:cs="Arial" w:eastAsia="Arial" w:hAnsi="Arial"/>
                <w:sz w:val="12"/>
                <w:szCs w:val="12"/>
                <w:color w:val="auto"/>
              </w:rPr>
              <w:t>13</w:t>
            </w:r>
          </w:p>
        </w:tc>
        <w:tc>
          <w:tcPr>
            <w:tcW w:w="1240" w:type="dxa"/>
            <w:vAlign w:val="bottom"/>
          </w:tcPr>
          <w:p>
            <w:pPr>
              <w:spacing w:after="0"/>
              <w:rPr>
                <w:sz w:val="11"/>
                <w:szCs w:val="11"/>
                <w:color w:val="auto"/>
              </w:rPr>
            </w:pPr>
          </w:p>
        </w:tc>
        <w:tc>
          <w:tcPr>
            <w:tcW w:w="1040" w:type="dxa"/>
            <w:vAlign w:val="bottom"/>
          </w:tcPr>
          <w:p>
            <w:pPr>
              <w:jc w:val="right"/>
              <w:ind w:right="499"/>
              <w:spacing w:after="0" w:line="134" w:lineRule="exact"/>
              <w:rPr>
                <w:sz w:val="20"/>
                <w:szCs w:val="20"/>
                <w:color w:val="auto"/>
              </w:rPr>
            </w:pPr>
            <w:r>
              <w:rPr>
                <w:rFonts w:ascii="Arial" w:cs="Arial" w:eastAsia="Arial" w:hAnsi="Arial"/>
                <w:sz w:val="12"/>
                <w:szCs w:val="12"/>
                <w:color w:val="auto"/>
              </w:rPr>
              <w:t>32</w:t>
            </w:r>
          </w:p>
        </w:tc>
        <w:tc>
          <w:tcPr>
            <w:tcW w:w="1080" w:type="dxa"/>
            <w:vAlign w:val="bottom"/>
          </w:tcPr>
          <w:p>
            <w:pPr>
              <w:jc w:val="right"/>
              <w:ind w:right="418"/>
              <w:spacing w:after="0" w:line="134" w:lineRule="exact"/>
              <w:rPr>
                <w:sz w:val="20"/>
                <w:szCs w:val="20"/>
                <w:color w:val="auto"/>
              </w:rPr>
            </w:pPr>
            <w:r>
              <w:rPr>
                <w:rFonts w:ascii="Arial" w:cs="Arial" w:eastAsia="Arial" w:hAnsi="Arial"/>
                <w:sz w:val="12"/>
                <w:szCs w:val="12"/>
                <w:color w:val="auto"/>
              </w:rPr>
              <w:t>30</w:t>
            </w:r>
          </w:p>
        </w:tc>
      </w:tr>
      <w:tr>
        <w:trPr>
          <w:trHeight w:val="144"/>
        </w:trPr>
        <w:tc>
          <w:tcPr>
            <w:tcW w:w="5080" w:type="dxa"/>
            <w:vAlign w:val="bottom"/>
            <w:gridSpan w:val="2"/>
          </w:tcPr>
          <w:p>
            <w:pPr>
              <w:spacing w:after="0"/>
              <w:rPr>
                <w:sz w:val="20"/>
                <w:szCs w:val="20"/>
                <w:color w:val="auto"/>
              </w:rPr>
            </w:pPr>
            <w:r>
              <w:rPr>
                <w:rFonts w:ascii="Arial" w:cs="Arial" w:eastAsia="Arial" w:hAnsi="Arial"/>
                <w:sz w:val="12"/>
                <w:szCs w:val="12"/>
                <w:color w:val="auto"/>
              </w:rPr>
              <w:t>Parent and other(2)</w:t>
            </w:r>
          </w:p>
        </w:tc>
        <w:tc>
          <w:tcPr>
            <w:tcW w:w="7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color w:val="auto"/>
              </w:rPr>
              <w:t>(30)</w:t>
            </w: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(12)</w:t>
            </w:r>
          </w:p>
        </w:tc>
        <w:tc>
          <w:tcPr>
            <w:tcW w:w="1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auto"/>
              </w:rPr>
              <w:t>(61)</w:t>
            </w:r>
          </w:p>
        </w:tc>
        <w:tc>
          <w:tcPr>
            <w:tcW w:w="108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(57)</w:t>
            </w:r>
          </w:p>
        </w:tc>
      </w:tr>
      <w:tr>
        <w:trPr>
          <w:trHeight w:val="148"/>
        </w:trPr>
        <w:tc>
          <w:tcPr>
            <w:tcW w:w="5080" w:type="dxa"/>
            <w:vAlign w:val="bottom"/>
            <w:gridSpan w:val="2"/>
          </w:tcPr>
          <w:p>
            <w:pPr>
              <w:spacing w:after="0"/>
              <w:rPr>
                <w:sz w:val="20"/>
                <w:szCs w:val="20"/>
                <w:color w:val="auto"/>
              </w:rPr>
            </w:pPr>
            <w:r>
              <w:rPr>
                <w:rFonts w:ascii="Arial" w:cs="Arial" w:eastAsia="Arial" w:hAnsi="Arial"/>
                <w:sz w:val="12"/>
                <w:szCs w:val="12"/>
                <w:color w:val="auto"/>
              </w:rPr>
              <w:t>Earnings</w:t>
            </w:r>
          </w:p>
        </w:tc>
        <w:tc>
          <w:tcPr>
            <w:tcW w:w="720" w:type="dxa"/>
            <w:vAlign w:val="bottom"/>
          </w:tcPr>
          <w:p>
            <w:pPr>
              <w:jc w:val="right"/>
              <w:ind w:right="578"/>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439"/>
              <w:spacing w:after="0"/>
              <w:rPr>
                <w:sz w:val="20"/>
                <w:szCs w:val="20"/>
                <w:color w:val="auto"/>
              </w:rPr>
            </w:pPr>
            <w:r>
              <w:rPr>
                <w:rFonts w:ascii="Arial" w:cs="Arial" w:eastAsia="Arial" w:hAnsi="Arial"/>
                <w:sz w:val="12"/>
                <w:szCs w:val="12"/>
                <w:color w:val="auto"/>
              </w:rPr>
              <w:t>258</w:t>
            </w:r>
          </w:p>
        </w:tc>
        <w:tc>
          <w:tcPr>
            <w:tcW w:w="960" w:type="dxa"/>
            <w:vAlign w:val="bottom"/>
          </w:tcPr>
          <w:p>
            <w:pPr>
              <w:jc w:val="right"/>
              <w:ind w:right="99"/>
              <w:spacing w:after="0"/>
              <w:rPr>
                <w:sz w:val="20"/>
                <w:szCs w:val="20"/>
                <w:color w:val="auto"/>
              </w:rPr>
            </w:pPr>
            <w:r>
              <w:rPr>
                <w:rFonts w:ascii="Arial" w:cs="Arial" w:eastAsia="Arial" w:hAnsi="Arial"/>
                <w:sz w:val="12"/>
                <w:szCs w:val="12"/>
                <w:color w:val="auto"/>
              </w:rPr>
              <w:t>100 %</w:t>
            </w:r>
          </w:p>
        </w:tc>
        <w:tc>
          <w:tcPr>
            <w:tcW w:w="1240" w:type="dxa"/>
            <w:vAlign w:val="bottom"/>
          </w:tcPr>
          <w:p>
            <w:pPr>
              <w:jc w:val="right"/>
              <w:ind w:right="938"/>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499"/>
              <w:spacing w:after="0"/>
              <w:rPr>
                <w:sz w:val="20"/>
                <w:szCs w:val="20"/>
                <w:color w:val="auto"/>
              </w:rPr>
            </w:pPr>
            <w:r>
              <w:rPr>
                <w:rFonts w:ascii="Arial" w:cs="Arial" w:eastAsia="Arial" w:hAnsi="Arial"/>
                <w:sz w:val="12"/>
                <w:szCs w:val="12"/>
                <w:color w:val="auto"/>
              </w:rPr>
              <w:t>106</w:t>
            </w:r>
          </w:p>
        </w:tc>
        <w:tc>
          <w:tcPr>
            <w:tcW w:w="1080" w:type="dxa"/>
            <w:vAlign w:val="bottom"/>
          </w:tcPr>
          <w:p>
            <w:pPr>
              <w:jc w:val="right"/>
              <w:ind w:right="258"/>
              <w:spacing w:after="0"/>
              <w:rPr>
                <w:sz w:val="20"/>
                <w:szCs w:val="20"/>
                <w:color w:val="auto"/>
              </w:rPr>
            </w:pPr>
            <w:r>
              <w:rPr>
                <w:rFonts w:ascii="Arial" w:cs="Arial" w:eastAsia="Arial" w:hAnsi="Arial"/>
                <w:sz w:val="12"/>
                <w:szCs w:val="12"/>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279005" cy="133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ind w:left="580" w:hanging="577"/>
        <w:spacing w:after="0"/>
        <w:tabs>
          <w:tab w:leader="none" w:pos="580" w:val="left"/>
        </w:tabs>
        <w:numPr>
          <w:ilvl w:val="0"/>
          <w:numId w:val="29"/>
        </w:numPr>
        <w:rPr>
          <w:rFonts w:ascii="Arial" w:cs="Arial" w:eastAsia="Arial" w:hAnsi="Arial"/>
          <w:sz w:val="11"/>
          <w:szCs w:val="11"/>
          <w:i w:val="1"/>
          <w:iCs w:val="1"/>
          <w:color w:val="auto"/>
        </w:rPr>
      </w:pPr>
      <w:r>
        <w:rPr>
          <w:rFonts w:ascii="Arial" w:cs="Arial" w:eastAsia="Arial" w:hAnsi="Arial"/>
          <w:sz w:val="11"/>
          <w:szCs w:val="11"/>
          <w:i w:val="1"/>
          <w:iCs w:val="1"/>
          <w:color w:val="auto"/>
        </w:rPr>
        <w:t>After preferred dividends.</w:t>
      </w:r>
    </w:p>
    <w:p>
      <w:pPr>
        <w:spacing w:after="0" w:line="7" w:lineRule="exact"/>
        <w:rPr>
          <w:rFonts w:ascii="Arial" w:cs="Arial" w:eastAsia="Arial" w:hAnsi="Arial"/>
          <w:sz w:val="11"/>
          <w:szCs w:val="11"/>
          <w:i w:val="1"/>
          <w:iCs w:val="1"/>
          <w:color w:val="auto"/>
        </w:rPr>
      </w:pPr>
    </w:p>
    <w:p>
      <w:pPr>
        <w:ind w:left="580" w:right="80" w:hanging="577"/>
        <w:spacing w:after="0" w:line="245" w:lineRule="auto"/>
        <w:tabs>
          <w:tab w:leader="none" w:pos="580" w:val="left"/>
        </w:tabs>
        <w:numPr>
          <w:ilvl w:val="0"/>
          <w:numId w:val="29"/>
        </w:numPr>
        <w:rPr>
          <w:rFonts w:ascii="Arial" w:cs="Arial" w:eastAsia="Arial" w:hAnsi="Arial"/>
          <w:sz w:val="11"/>
          <w:szCs w:val="11"/>
          <w:i w:val="1"/>
          <w:iCs w:val="1"/>
          <w:color w:val="auto"/>
        </w:rPr>
      </w:pPr>
      <w:r>
        <w:rPr>
          <w:rFonts w:ascii="Arial" w:cs="Arial" w:eastAsia="Arial" w:hAnsi="Arial"/>
          <w:sz w:val="11"/>
          <w:szCs w:val="11"/>
          <w:i w:val="1"/>
          <w:iCs w:val="1"/>
          <w:color w:val="auto"/>
        </w:rPr>
        <w:t>Includes after-tax interest expense ($34 million and $38 million for the three months ended March 31, 2011 and 2010, respectively), results from our former Sempra Commodities segment (losses of $5 million and $7 million for the three months ended March 31, 2011 and 2010, respectively), intercompany eliminations recorded in consolidation and certain corporate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UNIT RESULTS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section is a discussion of earnings (losses) by business unit, as it appears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7279005" cy="1905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9005" cy="19050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EARNINGS BY BUSINESS UNIT -- SEMPRA UTILITIES</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342900</wp:posOffset>
            </wp:positionV>
            <wp:extent cx="4594225" cy="1148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59422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SDG&amp;E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SDG&amp;E business unit earnings were</w:t>
      </w:r>
    </w:p>
    <w:p>
      <w:pPr>
        <w:spacing w:after="0" w:line="170" w:lineRule="exact"/>
        <w:rPr>
          <w:sz w:val="20"/>
          <w:szCs w:val="20"/>
          <w:color w:val="auto"/>
        </w:rPr>
      </w:pPr>
    </w:p>
    <w:p>
      <w:pPr>
        <w:ind w:left="260" w:hanging="147"/>
        <w:spacing w:after="0"/>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$89 million in the first three months of 2011 ($90 million before preferred dividends)</w:t>
      </w:r>
    </w:p>
    <w:p>
      <w:pPr>
        <w:spacing w:after="0" w:line="190" w:lineRule="exact"/>
        <w:rPr>
          <w:rFonts w:ascii="Arial" w:cs="Arial" w:eastAsia="Arial" w:hAnsi="Arial"/>
          <w:sz w:val="14"/>
          <w:szCs w:val="14"/>
          <w:color w:val="auto"/>
        </w:rPr>
      </w:pPr>
    </w:p>
    <w:p>
      <w:pPr>
        <w:ind w:right="6500" w:firstLine="113"/>
        <w:spacing w:after="0" w:line="505" w:lineRule="auto"/>
        <w:tabs>
          <w:tab w:leader="none" w:pos="248" w:val="left"/>
        </w:tabs>
        <w:numPr>
          <w:ilvl w:val="0"/>
          <w:numId w:val="30"/>
        </w:numPr>
        <w:rPr>
          <w:rFonts w:ascii="Arial" w:cs="Arial" w:eastAsia="Arial" w:hAnsi="Arial"/>
          <w:sz w:val="14"/>
          <w:szCs w:val="14"/>
          <w:color w:val="auto"/>
        </w:rPr>
      </w:pPr>
      <w:r>
        <w:rPr>
          <w:rFonts w:ascii="Arial" w:cs="Arial" w:eastAsia="Arial" w:hAnsi="Arial"/>
          <w:sz w:val="14"/>
          <w:szCs w:val="14"/>
          <w:color w:val="auto"/>
        </w:rPr>
        <w:t>$83 million in the first three months of 2010 ($84 million before preferred dividends) The increase of $6 million (7%) was due to:</w:t>
      </w:r>
    </w:p>
    <w:p>
      <w:pPr>
        <w:spacing w:after="0" w:line="4" w:lineRule="exact"/>
        <w:rPr>
          <w:rFonts w:ascii="Arial" w:cs="Arial" w:eastAsia="Arial" w:hAnsi="Arial"/>
          <w:sz w:val="14"/>
          <w:szCs w:val="14"/>
          <w:color w:val="auto"/>
        </w:rPr>
      </w:pPr>
    </w:p>
    <w:p>
      <w:pPr>
        <w:ind w:left="260" w:hanging="147"/>
        <w:spacing w:after="0" w:line="267" w:lineRule="auto"/>
        <w:tabs>
          <w:tab w:leader="none" w:pos="260" w:val="left"/>
        </w:tabs>
        <w:numPr>
          <w:ilvl w:val="0"/>
          <w:numId w:val="30"/>
        </w:numPr>
        <w:rPr>
          <w:rFonts w:ascii="Arial" w:cs="Arial" w:eastAsia="Arial" w:hAnsi="Arial"/>
          <w:sz w:val="14"/>
          <w:szCs w:val="14"/>
          <w:b w:val="1"/>
          <w:bCs w:val="1"/>
          <w:color w:val="auto"/>
        </w:rPr>
      </w:pPr>
      <w:r>
        <w:rPr>
          <w:rFonts w:ascii="Arial" w:cs="Arial" w:eastAsia="Arial" w:hAnsi="Arial"/>
          <w:sz w:val="14"/>
          <w:szCs w:val="14"/>
          <w:color w:val="auto"/>
        </w:rPr>
        <w:t>$5 million higher authorized margin for California Public Utilities Commission (CPUC)-regulated operations and lower operation and maintenance expenses (excluding insurance premiums for wildfire coverage and litigation-related expenses);</w:t>
      </w:r>
    </w:p>
    <w:p>
      <w:pPr>
        <w:sectPr>
          <w:pgSz w:w="11900" w:h="16905" w:orient="portrait"/>
          <w:cols w:equalWidth="0" w:num="1">
            <w:col w:w="11460"/>
          </w:cols>
          <w:pgMar w:left="220" w:top="1077" w:right="219" w:bottom="0" w:gutter="0" w:footer="0" w:header="0"/>
        </w:sectPr>
      </w:pPr>
    </w:p>
    <w:bookmarkStart w:id="45" w:name="page46"/>
    <w:bookmarkEnd w:id="45"/>
    <w:p>
      <w:pPr>
        <w:ind w:left="260" w:hanging="147"/>
        <w:spacing w:after="0"/>
        <w:tabs>
          <w:tab w:leader="none" w:pos="260" w:val="left"/>
        </w:tabs>
        <w:numPr>
          <w:ilvl w:val="0"/>
          <w:numId w:val="31"/>
        </w:numPr>
        <w:rPr>
          <w:rFonts w:ascii="Arial" w:cs="Arial" w:eastAsia="Arial" w:hAnsi="Arial"/>
          <w:sz w:val="14"/>
          <w:szCs w:val="14"/>
          <w:b w:val="1"/>
          <w:bCs w:val="1"/>
          <w:color w:val="auto"/>
        </w:rPr>
      </w:pPr>
      <w:r>
        <w:rPr>
          <w:rFonts w:ascii="Arial" w:cs="Arial" w:eastAsia="Arial" w:hAnsi="Arial"/>
          <w:sz w:val="14"/>
          <w:szCs w:val="14"/>
          <w:color w:val="auto"/>
        </w:rPr>
        <w:t>$3 million due to the write-down of deferred tax assets as a result of a change in U.S. tax law regarding the Medicare Part D subsidy in 2010;</w:t>
      </w:r>
    </w:p>
    <w:p>
      <w:pPr>
        <w:spacing w:after="0" w:line="190" w:lineRule="exact"/>
        <w:rPr>
          <w:rFonts w:ascii="Arial" w:cs="Arial" w:eastAsia="Arial" w:hAnsi="Arial"/>
          <w:sz w:val="14"/>
          <w:szCs w:val="14"/>
          <w:b w:val="1"/>
          <w:bCs w:val="1"/>
          <w:color w:val="auto"/>
        </w:rPr>
      </w:pPr>
    </w:p>
    <w:p>
      <w:pPr>
        <w:ind w:left="260" w:hanging="147"/>
        <w:spacing w:after="0"/>
        <w:tabs>
          <w:tab w:leader="none" w:pos="260" w:val="left"/>
        </w:tabs>
        <w:numPr>
          <w:ilvl w:val="0"/>
          <w:numId w:val="31"/>
        </w:numPr>
        <w:rPr>
          <w:rFonts w:ascii="Arial" w:cs="Arial" w:eastAsia="Arial" w:hAnsi="Arial"/>
          <w:sz w:val="14"/>
          <w:szCs w:val="14"/>
          <w:b w:val="1"/>
          <w:bCs w:val="1"/>
          <w:color w:val="auto"/>
        </w:rPr>
      </w:pPr>
      <w:r>
        <w:rPr>
          <w:rFonts w:ascii="Arial" w:cs="Arial" w:eastAsia="Arial" w:hAnsi="Arial"/>
          <w:sz w:val="14"/>
          <w:szCs w:val="14"/>
          <w:color w:val="auto"/>
        </w:rPr>
        <w:t>$2 million lower litigation reserves; and</w:t>
      </w:r>
    </w:p>
    <w:p>
      <w:pPr>
        <w:spacing w:after="0" w:line="186" w:lineRule="exact"/>
        <w:rPr>
          <w:rFonts w:ascii="Arial" w:cs="Arial" w:eastAsia="Arial" w:hAnsi="Arial"/>
          <w:sz w:val="14"/>
          <w:szCs w:val="14"/>
          <w:b w:val="1"/>
          <w:bCs w:val="1"/>
          <w:color w:val="auto"/>
        </w:rPr>
      </w:pPr>
    </w:p>
    <w:p>
      <w:pPr>
        <w:ind w:left="260" w:hanging="147"/>
        <w:spacing w:after="0"/>
        <w:tabs>
          <w:tab w:leader="none" w:pos="260" w:val="left"/>
        </w:tabs>
        <w:numPr>
          <w:ilvl w:val="0"/>
          <w:numId w:val="31"/>
        </w:numPr>
        <w:rPr>
          <w:rFonts w:ascii="Arial" w:cs="Arial" w:eastAsia="Arial" w:hAnsi="Arial"/>
          <w:sz w:val="14"/>
          <w:szCs w:val="14"/>
          <w:b w:val="1"/>
          <w:bCs w:val="1"/>
          <w:color w:val="auto"/>
        </w:rPr>
      </w:pPr>
      <w:r>
        <w:rPr>
          <w:rFonts w:ascii="Arial" w:cs="Arial" w:eastAsia="Arial" w:hAnsi="Arial"/>
          <w:sz w:val="14"/>
          <w:szCs w:val="14"/>
          <w:color w:val="auto"/>
        </w:rPr>
        <w:t xml:space="preserve">$2 million higher electric transmission margin; </w:t>
      </w:r>
      <w:r>
        <w:rPr>
          <w:rFonts w:ascii="Arial" w:cs="Arial" w:eastAsia="Arial" w:hAnsi="Arial"/>
          <w:sz w:val="14"/>
          <w:szCs w:val="14"/>
          <w:b w:val="1"/>
          <w:bCs w:val="1"/>
          <w:color w:val="auto"/>
        </w:rPr>
        <w:t>offset by</w:t>
      </w:r>
    </w:p>
    <w:p>
      <w:pPr>
        <w:spacing w:after="0" w:line="194" w:lineRule="exact"/>
        <w:rPr>
          <w:rFonts w:ascii="Arial" w:cs="Arial" w:eastAsia="Arial" w:hAnsi="Arial"/>
          <w:sz w:val="14"/>
          <w:szCs w:val="14"/>
          <w:b w:val="1"/>
          <w:bCs w:val="1"/>
          <w:color w:val="auto"/>
        </w:rPr>
      </w:pPr>
    </w:p>
    <w:p>
      <w:pPr>
        <w:ind w:left="260" w:hanging="147"/>
        <w:spacing w:after="0"/>
        <w:tabs>
          <w:tab w:leader="none" w:pos="260" w:val="left"/>
        </w:tabs>
        <w:numPr>
          <w:ilvl w:val="0"/>
          <w:numId w:val="31"/>
        </w:numPr>
        <w:rPr>
          <w:rFonts w:ascii="Arial" w:cs="Arial" w:eastAsia="Arial" w:hAnsi="Arial"/>
          <w:sz w:val="14"/>
          <w:szCs w:val="14"/>
          <w:b w:val="1"/>
          <w:bCs w:val="1"/>
          <w:color w:val="auto"/>
        </w:rPr>
      </w:pPr>
      <w:r>
        <w:rPr>
          <w:rFonts w:ascii="Arial" w:cs="Arial" w:eastAsia="Arial" w:hAnsi="Arial"/>
          <w:sz w:val="14"/>
          <w:szCs w:val="14"/>
          <w:color w:val="auto"/>
        </w:rPr>
        <w:t>$5 million higher liability insurance premiums for wildfire coverage.</w:t>
      </w: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SoCalGas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SoCalGas business unit earnings were</w:t>
      </w:r>
    </w:p>
    <w:p>
      <w:pPr>
        <w:spacing w:after="0" w:line="170" w:lineRule="exact"/>
        <w:rPr>
          <w:sz w:val="20"/>
          <w:szCs w:val="20"/>
          <w:color w:val="auto"/>
        </w:rPr>
      </w:pPr>
    </w:p>
    <w:p>
      <w:pPr>
        <w:ind w:left="260" w:hanging="147"/>
        <w:spacing w:after="0"/>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$68 million in the first three months of 2011 (both before and after preferred dividends)</w:t>
      </w:r>
    </w:p>
    <w:p>
      <w:pPr>
        <w:spacing w:after="0" w:line="190" w:lineRule="exact"/>
        <w:rPr>
          <w:rFonts w:ascii="Arial" w:cs="Arial" w:eastAsia="Arial" w:hAnsi="Arial"/>
          <w:sz w:val="14"/>
          <w:szCs w:val="14"/>
          <w:color w:val="auto"/>
        </w:rPr>
      </w:pPr>
    </w:p>
    <w:p>
      <w:pPr>
        <w:ind w:right="6380" w:firstLine="113"/>
        <w:spacing w:after="0" w:line="505" w:lineRule="auto"/>
        <w:tabs>
          <w:tab w:leader="none" w:pos="248" w:val="left"/>
        </w:tabs>
        <w:numPr>
          <w:ilvl w:val="0"/>
          <w:numId w:val="32"/>
        </w:numPr>
        <w:rPr>
          <w:rFonts w:ascii="Arial" w:cs="Arial" w:eastAsia="Arial" w:hAnsi="Arial"/>
          <w:sz w:val="14"/>
          <w:szCs w:val="14"/>
          <w:color w:val="auto"/>
        </w:rPr>
      </w:pPr>
      <w:r>
        <w:rPr>
          <w:rFonts w:ascii="Arial" w:cs="Arial" w:eastAsia="Arial" w:hAnsi="Arial"/>
          <w:sz w:val="14"/>
          <w:szCs w:val="14"/>
          <w:color w:val="auto"/>
        </w:rPr>
        <w:t>$65 million in the first three months of 2010 (both before and after preferred dividends) The increase of $3 million (5%) was primarily due to:</w:t>
      </w:r>
    </w:p>
    <w:p>
      <w:pPr>
        <w:ind w:left="260" w:hanging="147"/>
        <w:spacing w:after="0"/>
        <w:tabs>
          <w:tab w:leader="none" w:pos="260" w:val="left"/>
        </w:tabs>
        <w:numPr>
          <w:ilvl w:val="0"/>
          <w:numId w:val="32"/>
        </w:numPr>
        <w:rPr>
          <w:rFonts w:ascii="Arial" w:cs="Arial" w:eastAsia="Arial" w:hAnsi="Arial"/>
          <w:sz w:val="14"/>
          <w:szCs w:val="14"/>
          <w:b w:val="1"/>
          <w:bCs w:val="1"/>
          <w:color w:val="auto"/>
        </w:rPr>
      </w:pPr>
      <w:r>
        <w:rPr>
          <w:rFonts w:ascii="Arial" w:cs="Arial" w:eastAsia="Arial" w:hAnsi="Arial"/>
          <w:sz w:val="14"/>
          <w:szCs w:val="14"/>
          <w:color w:val="auto"/>
        </w:rPr>
        <w:t xml:space="preserve">$13 million due to the write-down of deferred tax assets as a result of the change in U.S. tax law regarding the Medicare Part D subsidy in 2010; </w:t>
      </w:r>
      <w:r>
        <w:rPr>
          <w:rFonts w:ascii="Arial" w:cs="Arial" w:eastAsia="Arial" w:hAnsi="Arial"/>
          <w:sz w:val="14"/>
          <w:szCs w:val="14"/>
          <w:b w:val="1"/>
          <w:bCs w:val="1"/>
          <w:color w:val="auto"/>
        </w:rPr>
        <w:t>offset by</w:t>
      </w:r>
    </w:p>
    <w:p>
      <w:pPr>
        <w:spacing w:after="0" w:line="194" w:lineRule="exact"/>
        <w:rPr>
          <w:rFonts w:ascii="Arial" w:cs="Arial" w:eastAsia="Arial" w:hAnsi="Arial"/>
          <w:sz w:val="14"/>
          <w:szCs w:val="14"/>
          <w:b w:val="1"/>
          <w:bCs w:val="1"/>
          <w:color w:val="auto"/>
        </w:rPr>
      </w:pPr>
    </w:p>
    <w:p>
      <w:pPr>
        <w:ind w:left="260" w:hanging="147"/>
        <w:spacing w:after="0"/>
        <w:tabs>
          <w:tab w:leader="none" w:pos="260" w:val="left"/>
        </w:tabs>
        <w:numPr>
          <w:ilvl w:val="0"/>
          <w:numId w:val="32"/>
        </w:numPr>
        <w:rPr>
          <w:rFonts w:ascii="Arial" w:cs="Arial" w:eastAsia="Arial" w:hAnsi="Arial"/>
          <w:sz w:val="14"/>
          <w:szCs w:val="14"/>
          <w:b w:val="1"/>
          <w:bCs w:val="1"/>
          <w:color w:val="auto"/>
        </w:rPr>
      </w:pPr>
      <w:r>
        <w:rPr>
          <w:rFonts w:ascii="Arial" w:cs="Arial" w:eastAsia="Arial" w:hAnsi="Arial"/>
          <w:sz w:val="14"/>
          <w:szCs w:val="14"/>
          <w:color w:val="auto"/>
        </w:rPr>
        <w:t>$7 million lower regulatory awards.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EARNINGS (LOSSES) BY BUSINESS UNIT – SEMPRA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337185</wp:posOffset>
            </wp:positionV>
            <wp:extent cx="4594225" cy="1148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59422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Generation</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Sempra Generation recorded business unit earnings (losses) of:</w:t>
      </w:r>
    </w:p>
    <w:p>
      <w:pPr>
        <w:spacing w:after="0" w:line="170" w:lineRule="exact"/>
        <w:rPr>
          <w:sz w:val="20"/>
          <w:szCs w:val="20"/>
          <w:color w:val="auto"/>
        </w:rPr>
      </w:pPr>
    </w:p>
    <w:p>
      <w:pPr>
        <w:ind w:left="260" w:hanging="147"/>
        <w:spacing w:after="0"/>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$44 million in the first three months of 2011</w:t>
      </w:r>
    </w:p>
    <w:p>
      <w:pPr>
        <w:spacing w:after="0" w:line="190" w:lineRule="exact"/>
        <w:rPr>
          <w:rFonts w:ascii="Arial" w:cs="Arial" w:eastAsia="Arial" w:hAnsi="Arial"/>
          <w:sz w:val="14"/>
          <w:szCs w:val="14"/>
          <w:color w:val="auto"/>
        </w:rPr>
      </w:pPr>
    </w:p>
    <w:p>
      <w:pPr>
        <w:jc w:val="both"/>
        <w:ind w:right="8640" w:firstLine="113"/>
        <w:spacing w:after="0" w:line="647" w:lineRule="auto"/>
        <w:tabs>
          <w:tab w:leader="none" w:pos="248" w:val="left"/>
        </w:tabs>
        <w:numPr>
          <w:ilvl w:val="0"/>
          <w:numId w:val="33"/>
        </w:numPr>
        <w:rPr>
          <w:rFonts w:ascii="Arial" w:cs="Arial" w:eastAsia="Arial" w:hAnsi="Arial"/>
          <w:sz w:val="11"/>
          <w:szCs w:val="11"/>
          <w:color w:val="auto"/>
        </w:rPr>
      </w:pPr>
      <w:r>
        <w:rPr>
          <w:rFonts w:ascii="Arial" w:cs="Arial" w:eastAsia="Arial" w:hAnsi="Arial"/>
          <w:sz w:val="11"/>
          <w:szCs w:val="11"/>
          <w:color w:val="auto"/>
        </w:rPr>
        <w:t>$(51) million in the first three months of 2010 The increase in earnings of $95 million was due to:</w:t>
      </w:r>
    </w:p>
    <w:p>
      <w:pPr>
        <w:ind w:left="260" w:hanging="147"/>
        <w:spacing w:after="0" w:line="267" w:lineRule="auto"/>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$83 million decreased litigation expense primarily related to a 2010 agreement to settle energy crisis litigation, as we discuss in Note 16 of the Notes to Consolidated Financial Statements in the Annual Report; and</w:t>
      </w:r>
    </w:p>
    <w:p>
      <w:pPr>
        <w:spacing w:after="0" w:line="158" w:lineRule="exact"/>
        <w:rPr>
          <w:rFonts w:ascii="Arial" w:cs="Arial" w:eastAsia="Arial" w:hAnsi="Arial"/>
          <w:sz w:val="14"/>
          <w:szCs w:val="14"/>
          <w:color w:val="auto"/>
        </w:rPr>
      </w:pPr>
    </w:p>
    <w:p>
      <w:pPr>
        <w:ind w:left="260" w:hanging="147"/>
        <w:spacing w:after="0"/>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$11 million lower operation and maintenance costs primarily as a result of 2010 scheduled plant maintenance.</w:t>
      </w: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Pipelines &amp; Storage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Sempra Pipelines &amp; Storage recorded business unit earnings of:</w:t>
      </w:r>
    </w:p>
    <w:p>
      <w:pPr>
        <w:spacing w:after="0" w:line="170" w:lineRule="exact"/>
        <w:rPr>
          <w:sz w:val="20"/>
          <w:szCs w:val="20"/>
          <w:color w:val="auto"/>
        </w:rPr>
      </w:pPr>
    </w:p>
    <w:p>
      <w:pPr>
        <w:ind w:left="260" w:hanging="147"/>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$54 million in the first three months of 2011</w:t>
      </w:r>
    </w:p>
    <w:p>
      <w:pPr>
        <w:spacing w:after="0" w:line="190" w:lineRule="exact"/>
        <w:rPr>
          <w:rFonts w:ascii="Arial" w:cs="Arial" w:eastAsia="Arial" w:hAnsi="Arial"/>
          <w:sz w:val="14"/>
          <w:szCs w:val="14"/>
          <w:color w:val="auto"/>
        </w:rPr>
      </w:pPr>
    </w:p>
    <w:p>
      <w:pPr>
        <w:ind w:right="8760" w:firstLine="113"/>
        <w:spacing w:after="0" w:line="647" w:lineRule="auto"/>
        <w:tabs>
          <w:tab w:leader="none" w:pos="248" w:val="left"/>
        </w:tabs>
        <w:numPr>
          <w:ilvl w:val="0"/>
          <w:numId w:val="34"/>
        </w:numPr>
        <w:rPr>
          <w:rFonts w:ascii="Arial" w:cs="Arial" w:eastAsia="Arial" w:hAnsi="Arial"/>
          <w:sz w:val="11"/>
          <w:szCs w:val="11"/>
          <w:color w:val="auto"/>
        </w:rPr>
      </w:pPr>
      <w:r>
        <w:rPr>
          <w:rFonts w:ascii="Arial" w:cs="Arial" w:eastAsia="Arial" w:hAnsi="Arial"/>
          <w:sz w:val="11"/>
          <w:szCs w:val="11"/>
          <w:color w:val="auto"/>
        </w:rPr>
        <w:t>$38 million in the first three months of 2010 The increase of $16 million (42%) was due to:</w:t>
      </w:r>
    </w:p>
    <w:p>
      <w:pPr>
        <w:ind w:left="260" w:hanging="147"/>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$8 million higher earnings related to a Mexican pipeline acquisition in April 2010;</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$6 million higher operating results from its investments in Chile and Peru; and</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$2 million higher earnings primarily related to natural gas storage placed into service in the second half of 2010.</w:t>
      </w: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LNG</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Sempra LNG recorded earnings of:</w:t>
      </w:r>
    </w:p>
    <w:p>
      <w:pPr>
        <w:sectPr>
          <w:pgSz w:w="11900" w:h="16838" w:orient="portrait"/>
          <w:cols w:equalWidth="0" w:num="1">
            <w:col w:w="11460"/>
          </w:cols>
          <w:pgMar w:left="220" w:top="315" w:right="219" w:bottom="0" w:gutter="0" w:footer="0" w:header="0"/>
        </w:sectPr>
      </w:pPr>
    </w:p>
    <w:bookmarkStart w:id="46" w:name="page47"/>
    <w:bookmarkEnd w:id="46"/>
    <w:p>
      <w:pPr>
        <w:spacing w:after="0" w:line="8" w:lineRule="exact"/>
        <w:rPr>
          <w:sz w:val="20"/>
          <w:szCs w:val="20"/>
          <w:color w:val="auto"/>
        </w:rPr>
      </w:pPr>
    </w:p>
    <w:p>
      <w:pPr>
        <w:ind w:left="260" w:hanging="147"/>
        <w:spacing w:after="0"/>
        <w:tabs>
          <w:tab w:leader="none" w:pos="2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$33 million in the first three months of 2011</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$32 million in the first three months of 2010</w:t>
      </w:r>
    </w:p>
    <w:p>
      <w:pPr>
        <w:spacing w:after="0" w:line="190" w:lineRule="exact"/>
        <w:rPr>
          <w:sz w:val="20"/>
          <w:szCs w:val="20"/>
          <w:color w:val="auto"/>
        </w:rPr>
      </w:pPr>
    </w:p>
    <w:p>
      <w:pPr>
        <w:ind w:right="320"/>
        <w:spacing w:after="0" w:line="267" w:lineRule="auto"/>
        <w:rPr>
          <w:sz w:val="20"/>
          <w:szCs w:val="20"/>
          <w:color w:val="auto"/>
        </w:rPr>
      </w:pPr>
      <w:r>
        <w:rPr>
          <w:rFonts w:ascii="Arial" w:cs="Arial" w:eastAsia="Arial" w:hAnsi="Arial"/>
          <w:sz w:val="14"/>
          <w:szCs w:val="14"/>
          <w:color w:val="auto"/>
        </w:rPr>
        <w:t>Earnings for the first quarter of 2011 were consistent with the first quarter of the prior year. Both years included $11 million of earnings related to contractual counterparty obligations for non-delivery of cargoes.</w:t>
      </w: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Parent and Other</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Losses for Parent and Other were</w:t>
      </w:r>
    </w:p>
    <w:p>
      <w:pPr>
        <w:spacing w:after="0" w:line="170" w:lineRule="exact"/>
        <w:rPr>
          <w:sz w:val="20"/>
          <w:szCs w:val="20"/>
          <w:color w:val="auto"/>
        </w:rPr>
      </w:pPr>
    </w:p>
    <w:p>
      <w:pPr>
        <w:ind w:left="260" w:hanging="147"/>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$30 million in the first three months of 2011</w:t>
      </w:r>
    </w:p>
    <w:p>
      <w:pPr>
        <w:spacing w:after="0" w:line="190" w:lineRule="exact"/>
        <w:rPr>
          <w:rFonts w:ascii="Arial" w:cs="Arial" w:eastAsia="Arial" w:hAnsi="Arial"/>
          <w:sz w:val="14"/>
          <w:szCs w:val="14"/>
          <w:color w:val="auto"/>
        </w:rPr>
      </w:pPr>
    </w:p>
    <w:p>
      <w:pPr>
        <w:ind w:right="8480" w:firstLine="113"/>
        <w:spacing w:after="0" w:line="643" w:lineRule="auto"/>
        <w:tabs>
          <w:tab w:leader="none" w:pos="248" w:val="left"/>
        </w:tabs>
        <w:numPr>
          <w:ilvl w:val="0"/>
          <w:numId w:val="36"/>
        </w:numPr>
        <w:rPr>
          <w:rFonts w:ascii="Arial" w:cs="Arial" w:eastAsia="Arial" w:hAnsi="Arial"/>
          <w:sz w:val="11"/>
          <w:szCs w:val="11"/>
          <w:color w:val="auto"/>
        </w:rPr>
      </w:pPr>
      <w:r>
        <w:rPr>
          <w:rFonts w:ascii="Arial" w:cs="Arial" w:eastAsia="Arial" w:hAnsi="Arial"/>
          <w:sz w:val="11"/>
          <w:szCs w:val="11"/>
          <w:color w:val="auto"/>
        </w:rPr>
        <w:t>$61 million in the first three months of 2010 The decrease in losses of $31 million (51%) included:</w:t>
      </w:r>
    </w:p>
    <w:p>
      <w:pPr>
        <w:spacing w:after="0" w:line="4" w:lineRule="exact"/>
        <w:rPr>
          <w:rFonts w:ascii="Arial" w:cs="Arial" w:eastAsia="Arial" w:hAnsi="Arial"/>
          <w:sz w:val="11"/>
          <w:szCs w:val="11"/>
          <w:color w:val="auto"/>
        </w:rPr>
      </w:pPr>
    </w:p>
    <w:p>
      <w:pPr>
        <w:ind w:left="260" w:hanging="147"/>
        <w:spacing w:after="0"/>
        <w:tabs>
          <w:tab w:leader="none" w:pos="260" w:val="left"/>
        </w:tabs>
        <w:numPr>
          <w:ilvl w:val="0"/>
          <w:numId w:val="36"/>
        </w:numPr>
        <w:rPr>
          <w:rFonts w:ascii="Arial" w:cs="Arial" w:eastAsia="Arial" w:hAnsi="Arial"/>
          <w:sz w:val="14"/>
          <w:szCs w:val="14"/>
          <w:b w:val="1"/>
          <w:bCs w:val="1"/>
          <w:color w:val="auto"/>
        </w:rPr>
      </w:pPr>
      <w:r>
        <w:rPr>
          <w:rFonts w:ascii="Arial" w:cs="Arial" w:eastAsia="Arial" w:hAnsi="Arial"/>
          <w:sz w:val="14"/>
          <w:szCs w:val="14"/>
          <w:color w:val="auto"/>
        </w:rPr>
        <w:t>$19 million lower income tax expense;</w:t>
      </w:r>
    </w:p>
    <w:p>
      <w:pPr>
        <w:spacing w:after="0" w:line="190" w:lineRule="exact"/>
        <w:rPr>
          <w:rFonts w:ascii="Arial" w:cs="Arial" w:eastAsia="Arial" w:hAnsi="Arial"/>
          <w:sz w:val="14"/>
          <w:szCs w:val="14"/>
          <w:b w:val="1"/>
          <w:bCs w:val="1"/>
          <w:color w:val="auto"/>
        </w:rPr>
      </w:pPr>
    </w:p>
    <w:p>
      <w:pPr>
        <w:ind w:left="260" w:hanging="147"/>
        <w:spacing w:after="0"/>
        <w:tabs>
          <w:tab w:leader="none" w:pos="260" w:val="left"/>
        </w:tabs>
        <w:numPr>
          <w:ilvl w:val="0"/>
          <w:numId w:val="36"/>
        </w:numPr>
        <w:rPr>
          <w:rFonts w:ascii="Arial" w:cs="Arial" w:eastAsia="Arial" w:hAnsi="Arial"/>
          <w:sz w:val="14"/>
          <w:szCs w:val="14"/>
          <w:b w:val="1"/>
          <w:bCs w:val="1"/>
          <w:color w:val="auto"/>
        </w:rPr>
      </w:pPr>
      <w:r>
        <w:rPr>
          <w:rFonts w:ascii="Arial" w:cs="Arial" w:eastAsia="Arial" w:hAnsi="Arial"/>
          <w:sz w:val="14"/>
          <w:szCs w:val="14"/>
          <w:color w:val="auto"/>
        </w:rPr>
        <w:t>$12 million energy crisis litigation expense recorded in 2010 related to our former commodities-marketing businesses; and</w:t>
      </w:r>
    </w:p>
    <w:p>
      <w:pPr>
        <w:spacing w:after="0" w:line="186" w:lineRule="exact"/>
        <w:rPr>
          <w:rFonts w:ascii="Arial" w:cs="Arial" w:eastAsia="Arial" w:hAnsi="Arial"/>
          <w:sz w:val="14"/>
          <w:szCs w:val="14"/>
          <w:b w:val="1"/>
          <w:bCs w:val="1"/>
          <w:color w:val="auto"/>
        </w:rPr>
      </w:pPr>
    </w:p>
    <w:p>
      <w:pPr>
        <w:ind w:left="260" w:hanging="147"/>
        <w:spacing w:after="0"/>
        <w:tabs>
          <w:tab w:leader="none" w:pos="260" w:val="left"/>
        </w:tabs>
        <w:numPr>
          <w:ilvl w:val="0"/>
          <w:numId w:val="36"/>
        </w:numPr>
        <w:rPr>
          <w:rFonts w:ascii="Arial" w:cs="Arial" w:eastAsia="Arial" w:hAnsi="Arial"/>
          <w:sz w:val="14"/>
          <w:szCs w:val="14"/>
          <w:b w:val="1"/>
          <w:bCs w:val="1"/>
          <w:color w:val="auto"/>
        </w:rPr>
      </w:pPr>
      <w:r>
        <w:rPr>
          <w:rFonts w:ascii="Arial" w:cs="Arial" w:eastAsia="Arial" w:hAnsi="Arial"/>
          <w:sz w:val="14"/>
          <w:szCs w:val="14"/>
          <w:color w:val="auto"/>
        </w:rPr>
        <w:t xml:space="preserve">$5 million Mexican peso exchange gain; </w:t>
      </w:r>
      <w:r>
        <w:rPr>
          <w:rFonts w:ascii="Arial" w:cs="Arial" w:eastAsia="Arial" w:hAnsi="Arial"/>
          <w:sz w:val="14"/>
          <w:szCs w:val="14"/>
          <w:b w:val="1"/>
          <w:bCs w:val="1"/>
          <w:color w:val="auto"/>
        </w:rPr>
        <w:t>offset by</w:t>
      </w:r>
    </w:p>
    <w:p>
      <w:pPr>
        <w:spacing w:after="0" w:line="194" w:lineRule="exact"/>
        <w:rPr>
          <w:rFonts w:ascii="Arial" w:cs="Arial" w:eastAsia="Arial" w:hAnsi="Arial"/>
          <w:sz w:val="14"/>
          <w:szCs w:val="14"/>
          <w:b w:val="1"/>
          <w:bCs w:val="1"/>
          <w:color w:val="auto"/>
        </w:rPr>
      </w:pPr>
    </w:p>
    <w:p>
      <w:pPr>
        <w:ind w:left="260" w:hanging="147"/>
        <w:spacing w:after="0"/>
        <w:tabs>
          <w:tab w:leader="none" w:pos="260" w:val="left"/>
        </w:tabs>
        <w:numPr>
          <w:ilvl w:val="0"/>
          <w:numId w:val="36"/>
        </w:numPr>
        <w:rPr>
          <w:rFonts w:ascii="Arial" w:cs="Arial" w:eastAsia="Arial" w:hAnsi="Arial"/>
          <w:sz w:val="14"/>
          <w:szCs w:val="14"/>
          <w:b w:val="1"/>
          <w:bCs w:val="1"/>
          <w:color w:val="auto"/>
        </w:rPr>
      </w:pPr>
      <w:r>
        <w:rPr>
          <w:rFonts w:ascii="Arial" w:cs="Arial" w:eastAsia="Arial" w:hAnsi="Arial"/>
          <w:sz w:val="14"/>
          <w:szCs w:val="14"/>
          <w:color w:val="auto"/>
        </w:rPr>
        <w:t>$5 million equity losses from our former commodities-marketing businesses in 2011 compared to $8 million equity earnings in 2010.</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REVENUES, COSTS AND EARNINGS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This section contains a discussion of the differences between periods in specific line items of the Condensed Consolidated Statements of Operations for Sempra Energy, SDG&amp;E, PE and SoCalGas.</w:t>
      </w: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Utilities Revenues</w:t>
      </w:r>
    </w:p>
    <w:p>
      <w:pPr>
        <w:spacing w:after="0" w:line="160" w:lineRule="exact"/>
        <w:rPr>
          <w:sz w:val="20"/>
          <w:szCs w:val="20"/>
          <w:color w:val="auto"/>
        </w:rPr>
      </w:pPr>
    </w:p>
    <w:p>
      <w:pPr>
        <w:ind w:right="380"/>
        <w:spacing w:after="0" w:line="267" w:lineRule="auto"/>
        <w:rPr>
          <w:sz w:val="20"/>
          <w:szCs w:val="20"/>
          <w:color w:val="auto"/>
        </w:rPr>
      </w:pPr>
      <w:r>
        <w:rPr>
          <w:rFonts w:ascii="Arial" w:cs="Arial" w:eastAsia="Arial" w:hAnsi="Arial"/>
          <w:sz w:val="14"/>
          <w:szCs w:val="14"/>
          <w:color w:val="auto"/>
        </w:rPr>
        <w:t>Sempra Utilities revenues are comprised of natural gas revenues at SDG&amp;E and SoCalGas, and electric revenues at SDG&amp;E. Intercompany revenues included in the separate revenues of each utility are eliminated in the Sempra Energy Condensed Consolidated Statements of Operations.</w:t>
      </w:r>
    </w:p>
    <w:p>
      <w:pPr>
        <w:spacing w:after="0" w:line="138" w:lineRule="exact"/>
        <w:rPr>
          <w:sz w:val="20"/>
          <w:szCs w:val="20"/>
          <w:color w:val="auto"/>
        </w:rPr>
      </w:pPr>
    </w:p>
    <w:p>
      <w:pPr>
        <w:spacing w:after="0" w:line="344" w:lineRule="auto"/>
        <w:rPr>
          <w:sz w:val="20"/>
          <w:szCs w:val="20"/>
          <w:color w:val="auto"/>
        </w:rPr>
      </w:pPr>
      <w:r>
        <w:rPr>
          <w:rFonts w:ascii="Arial" w:cs="Arial" w:eastAsia="Arial" w:hAnsi="Arial"/>
          <w:sz w:val="11"/>
          <w:szCs w:val="11"/>
          <w:color w:val="auto"/>
        </w:rPr>
        <w:t>The current regulatory framework permits the cost of natural gas purchased for core customers (primarily residential and small commercial and industrial customers) to be passed on to customers substantially as incurred. However, SoCalGas' Gas Cost Incentive Mechanism provides SoCalGas the opportunity to share in the savings and/or costs from buying natural gas for its core customers at prices below or above monthly market-based benchmarks. This mechanism permits full recovery of costs incurred when average purchase costs are within a price range around the benchmark price. Any higher costs incurred or savings realized outside this range are shared between the core customers and SoCalGas. We provide further discussion in Note 9 of the Notes to Condensed Consolidated Financial Statements herein.</w:t>
      </w:r>
    </w:p>
    <w:p>
      <w:pPr>
        <w:spacing w:after="0" w:line="102"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The regulatory framework also permits SDG&amp;E to recover the actual cost incurred to generate or procure electricity based on annual estimates of the cost of electricity supplied to customers. The differences in cost between estimates and actual are recovered in the next year through rates.</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Utilities: Natural Gas Revenues and Cost of Natural Gas</w:t>
      </w:r>
    </w:p>
    <w:p>
      <w:pPr>
        <w:spacing w:after="0" w:line="160" w:lineRule="exact"/>
        <w:rPr>
          <w:sz w:val="20"/>
          <w:szCs w:val="20"/>
          <w:color w:val="auto"/>
        </w:rPr>
      </w:pPr>
    </w:p>
    <w:p>
      <w:pPr>
        <w:ind w:right="40"/>
        <w:spacing w:after="0" w:line="251" w:lineRule="auto"/>
        <w:rPr>
          <w:sz w:val="20"/>
          <w:szCs w:val="20"/>
          <w:color w:val="auto"/>
        </w:rPr>
      </w:pPr>
      <w:r>
        <w:rPr>
          <w:rFonts w:ascii="Arial" w:cs="Arial" w:eastAsia="Arial" w:hAnsi="Arial"/>
          <w:sz w:val="14"/>
          <w:szCs w:val="14"/>
          <w:color w:val="auto"/>
        </w:rPr>
        <w:t>The tables below show natural gas revenues for Sempra Energy, SDG&amp;E and SoCalGas for the three-month periods ended March 31, 2011 and 2010. The Sempra Energy Consolidated amounts reflect SDG&amp;E and SoCalGas revenues, net of intercompany transactions. Because the cost of natural gas is recovered in rates, changes in the cost are reflected in the changes in revenues. In addition to the change in market prices, natural gas revenues recorded during a period are impacted by the difference between customer billings and recorded or CPUC-authorized costs. These differences are required to be balanced over time, resulting in over- and undercollected regulatory balancing accounts. We discuss balancing accounts and their effects further in Note 1 of the Notes to Consolidated Financial Statements in the Annual Report.</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SEMPRA ENERGY CONSOLIDATED — SEMPRA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255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9005" cy="25590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NATURAL GAS SALES AND TRANSPORTATION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960" w:type="dxa"/>
            <w:vAlign w:val="bottom"/>
            <w:gridSpan w:val="2"/>
          </w:tcPr>
          <w:p>
            <w:pPr>
              <w:spacing w:after="0"/>
              <w:rPr>
                <w:sz w:val="20"/>
                <w:szCs w:val="20"/>
                <w:color w:val="auto"/>
              </w:rPr>
            </w:pPr>
            <w:r>
              <w:rPr>
                <w:rFonts w:ascii="Arial" w:cs="Arial" w:eastAsia="Arial" w:hAnsi="Arial"/>
                <w:sz w:val="11"/>
                <w:szCs w:val="11"/>
                <w:i w:val="1"/>
                <w:iCs w:val="1"/>
                <w:color w:val="auto"/>
              </w:rPr>
              <w:t>(Volumes in billion cubic feet, dollars in millions)</w:t>
            </w:r>
          </w:p>
        </w:tc>
        <w:tc>
          <w:tcPr>
            <w:tcW w:w="1860" w:type="dxa"/>
            <w:vAlign w:val="bottom"/>
            <w:gridSpan w:val="2"/>
            <w:vMerge w:val="restart"/>
          </w:tcPr>
          <w:p>
            <w:pPr>
              <w:jc w:val="right"/>
              <w:spacing w:after="0"/>
              <w:rPr>
                <w:sz w:val="20"/>
                <w:szCs w:val="20"/>
                <w:color w:val="auto"/>
              </w:rPr>
            </w:pPr>
            <w:r>
              <w:rPr>
                <w:rFonts w:ascii="Arial" w:cs="Arial" w:eastAsia="Arial" w:hAnsi="Arial"/>
                <w:sz w:val="11"/>
                <w:szCs w:val="11"/>
                <w:color w:val="auto"/>
              </w:rPr>
              <w:t>Natural Gas Sales</w:t>
            </w:r>
          </w:p>
        </w:tc>
        <w:tc>
          <w:tcPr>
            <w:tcW w:w="1180" w:type="dxa"/>
            <w:vAlign w:val="bottom"/>
          </w:tcPr>
          <w:p>
            <w:pPr>
              <w:spacing w:after="0"/>
              <w:rPr>
                <w:sz w:val="12"/>
                <w:szCs w:val="12"/>
                <w:color w:val="auto"/>
              </w:rPr>
            </w:pPr>
          </w:p>
        </w:tc>
        <w:tc>
          <w:tcPr>
            <w:tcW w:w="2260" w:type="dxa"/>
            <w:vAlign w:val="bottom"/>
            <w:gridSpan w:val="2"/>
            <w:vMerge w:val="restart"/>
          </w:tcPr>
          <w:p>
            <w:pPr>
              <w:jc w:val="right"/>
              <w:ind w:right="639"/>
              <w:spacing w:after="0"/>
              <w:rPr>
                <w:sz w:val="20"/>
                <w:szCs w:val="20"/>
                <w:color w:val="auto"/>
              </w:rPr>
            </w:pPr>
            <w:r>
              <w:rPr>
                <w:rFonts w:ascii="Arial" w:cs="Arial" w:eastAsia="Arial" w:hAnsi="Arial"/>
                <w:sz w:val="11"/>
                <w:szCs w:val="11"/>
                <w:color w:val="auto"/>
              </w:rPr>
              <w:t>Transportation</w:t>
            </w:r>
          </w:p>
        </w:tc>
        <w:tc>
          <w:tcPr>
            <w:tcW w:w="560" w:type="dxa"/>
            <w:vAlign w:val="bottom"/>
          </w:tcPr>
          <w:p>
            <w:pPr>
              <w:spacing w:after="0"/>
              <w:rPr>
                <w:sz w:val="12"/>
                <w:szCs w:val="12"/>
                <w:color w:val="auto"/>
              </w:rPr>
            </w:pPr>
          </w:p>
        </w:tc>
        <w:tc>
          <w:tcPr>
            <w:tcW w:w="1500" w:type="dxa"/>
            <w:vAlign w:val="bottom"/>
            <w:gridSpan w:val="2"/>
            <w:vMerge w:val="restart"/>
          </w:tcPr>
          <w:p>
            <w:pPr>
              <w:jc w:val="right"/>
              <w:ind w:right="98"/>
              <w:spacing w:after="0"/>
              <w:rPr>
                <w:sz w:val="20"/>
                <w:szCs w:val="20"/>
                <w:color w:val="auto"/>
              </w:rPr>
            </w:pPr>
            <w:r>
              <w:rPr>
                <w:rFonts w:ascii="Arial" w:cs="Arial" w:eastAsia="Arial" w:hAnsi="Arial"/>
                <w:sz w:val="11"/>
                <w:szCs w:val="11"/>
                <w:color w:val="auto"/>
              </w:rPr>
              <w:t>Total</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860" w:type="dxa"/>
            <w:vAlign w:val="bottom"/>
            <w:tcBorders>
              <w:bottom w:val="single" w:sz="8" w:color="auto"/>
            </w:tcBorders>
            <w:gridSpan w:val="2"/>
            <w:vMerge w:val="continue"/>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gridSpan w:val="2"/>
            <w:vMerge w:val="continue"/>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gridSpan w:val="2"/>
            <w:vMerge w:val="continue"/>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960" w:type="dxa"/>
            <w:vAlign w:val="bottom"/>
            <w:tcBorders>
              <w:bottom w:val="single" w:sz="8" w:color="auto"/>
            </w:tcBorders>
            <w:gridSpan w:val="2"/>
          </w:tcPr>
          <w:p>
            <w:pPr>
              <w:spacing w:after="0" w:line="124" w:lineRule="exact"/>
              <w:rPr>
                <w:sz w:val="20"/>
                <w:szCs w:val="20"/>
                <w:color w:val="auto"/>
              </w:rPr>
            </w:pPr>
            <w:r>
              <w:rPr>
                <w:rFonts w:ascii="Arial" w:cs="Arial" w:eastAsia="Arial" w:hAnsi="Arial"/>
                <w:sz w:val="11"/>
                <w:szCs w:val="11"/>
                <w:color w:val="auto"/>
              </w:rPr>
              <w:t>Customer class</w:t>
            </w:r>
          </w:p>
        </w:tc>
        <w:tc>
          <w:tcPr>
            <w:tcW w:w="1340" w:type="dxa"/>
            <w:vAlign w:val="bottom"/>
            <w:tcBorders>
              <w:bottom w:val="single" w:sz="8" w:color="auto"/>
            </w:tcBorders>
          </w:tcPr>
          <w:p>
            <w:pPr>
              <w:jc w:val="right"/>
              <w:ind w:right="379"/>
              <w:spacing w:after="0" w:line="124" w:lineRule="exact"/>
              <w:rPr>
                <w:sz w:val="20"/>
                <w:szCs w:val="20"/>
                <w:color w:val="auto"/>
              </w:rPr>
            </w:pPr>
            <w:r>
              <w:rPr>
                <w:rFonts w:ascii="Arial" w:cs="Arial" w:eastAsia="Arial" w:hAnsi="Arial"/>
                <w:sz w:val="11"/>
                <w:szCs w:val="11"/>
                <w:color w:val="auto"/>
              </w:rPr>
              <w:t>Volumes</w:t>
            </w:r>
          </w:p>
        </w:tc>
        <w:tc>
          <w:tcPr>
            <w:tcW w:w="5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659"/>
              <w:spacing w:after="0" w:line="124" w:lineRule="exact"/>
              <w:rPr>
                <w:sz w:val="20"/>
                <w:szCs w:val="20"/>
                <w:color w:val="auto"/>
              </w:rPr>
            </w:pPr>
            <w:r>
              <w:rPr>
                <w:rFonts w:ascii="Arial" w:cs="Arial" w:eastAsia="Arial" w:hAnsi="Arial"/>
                <w:sz w:val="11"/>
                <w:szCs w:val="11"/>
                <w:color w:val="auto"/>
                <w:w w:val="99"/>
              </w:rPr>
              <w:t>Revenue</w:t>
            </w:r>
          </w:p>
        </w:tc>
        <w:tc>
          <w:tcPr>
            <w:tcW w:w="1120" w:type="dxa"/>
            <w:vAlign w:val="bottom"/>
            <w:tcBorders>
              <w:bottom w:val="single" w:sz="8" w:color="auto"/>
            </w:tcBorders>
          </w:tcPr>
          <w:p>
            <w:pPr>
              <w:jc w:val="right"/>
              <w:ind w:right="379"/>
              <w:spacing w:after="0" w:line="124" w:lineRule="exact"/>
              <w:rPr>
                <w:sz w:val="20"/>
                <w:szCs w:val="20"/>
                <w:color w:val="auto"/>
              </w:rPr>
            </w:pPr>
            <w:r>
              <w:rPr>
                <w:rFonts w:ascii="Arial" w:cs="Arial" w:eastAsia="Arial" w:hAnsi="Arial"/>
                <w:sz w:val="11"/>
                <w:szCs w:val="11"/>
                <w:color w:val="auto"/>
              </w:rPr>
              <w:t>Volumes</w:t>
            </w:r>
          </w:p>
        </w:tc>
        <w:tc>
          <w:tcPr>
            <w:tcW w:w="1140" w:type="dxa"/>
            <w:vAlign w:val="bottom"/>
            <w:tcBorders>
              <w:bottom w:val="single" w:sz="8" w:color="auto"/>
            </w:tcBorders>
          </w:tcPr>
          <w:p>
            <w:pPr>
              <w:jc w:val="right"/>
              <w:ind w:right="99"/>
              <w:spacing w:after="0" w:line="124" w:lineRule="exact"/>
              <w:rPr>
                <w:sz w:val="20"/>
                <w:szCs w:val="20"/>
                <w:color w:val="auto"/>
              </w:rPr>
            </w:pPr>
            <w:r>
              <w:rPr>
                <w:rFonts w:ascii="Arial" w:cs="Arial" w:eastAsia="Arial" w:hAnsi="Arial"/>
                <w:sz w:val="11"/>
                <w:szCs w:val="11"/>
                <w:color w:val="auto"/>
              </w:rPr>
              <w:t>Revenue</w:t>
            </w:r>
          </w:p>
        </w:tc>
        <w:tc>
          <w:tcPr>
            <w:tcW w:w="5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399"/>
              <w:spacing w:after="0" w:line="124" w:lineRule="exact"/>
              <w:rPr>
                <w:sz w:val="20"/>
                <w:szCs w:val="20"/>
                <w:color w:val="auto"/>
              </w:rPr>
            </w:pPr>
            <w:r>
              <w:rPr>
                <w:rFonts w:ascii="Arial" w:cs="Arial" w:eastAsia="Arial" w:hAnsi="Arial"/>
                <w:sz w:val="11"/>
                <w:szCs w:val="11"/>
                <w:color w:val="auto"/>
              </w:rPr>
              <w:t>Volumes</w:t>
            </w: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458"/>
              <w:spacing w:after="0" w:line="124" w:lineRule="exact"/>
              <w:rPr>
                <w:sz w:val="20"/>
                <w:szCs w:val="20"/>
                <w:color w:val="auto"/>
              </w:rPr>
            </w:pPr>
            <w:r>
              <w:rPr>
                <w:rFonts w:ascii="Arial" w:cs="Arial" w:eastAsia="Arial" w:hAnsi="Arial"/>
                <w:sz w:val="11"/>
                <w:szCs w:val="11"/>
                <w:color w:val="auto"/>
              </w:rPr>
              <w:t>Revenue</w:t>
            </w:r>
          </w:p>
        </w:tc>
        <w:tc>
          <w:tcPr>
            <w:tcW w:w="0" w:type="dxa"/>
            <w:vAlign w:val="bottom"/>
          </w:tcPr>
          <w:p>
            <w:pPr>
              <w:spacing w:after="0"/>
              <w:rPr>
                <w:sz w:val="1"/>
                <w:szCs w:val="1"/>
                <w:color w:val="auto"/>
              </w:rPr>
            </w:pPr>
          </w:p>
        </w:tc>
      </w:tr>
      <w:tr>
        <w:trPr>
          <w:trHeight w:val="125"/>
        </w:trPr>
        <w:tc>
          <w:tcPr>
            <w:tcW w:w="2960" w:type="dxa"/>
            <w:vAlign w:val="bottom"/>
            <w:gridSpan w:val="2"/>
          </w:tcPr>
          <w:p>
            <w:pPr>
              <w:spacing w:after="0" w:line="126" w:lineRule="exact"/>
              <w:rPr>
                <w:sz w:val="20"/>
                <w:szCs w:val="20"/>
                <w:color w:val="auto"/>
              </w:rPr>
            </w:pPr>
            <w:r>
              <w:rPr>
                <w:rFonts w:ascii="Arial" w:cs="Arial" w:eastAsia="Arial" w:hAnsi="Arial"/>
                <w:sz w:val="12"/>
                <w:szCs w:val="12"/>
                <w:color w:val="auto"/>
              </w:rPr>
              <w:t>2011:</w:t>
            </w:r>
          </w:p>
        </w:tc>
        <w:tc>
          <w:tcPr>
            <w:tcW w:w="1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940" w:type="dxa"/>
            <w:vAlign w:val="bottom"/>
          </w:tcPr>
          <w:p>
            <w:pPr>
              <w:ind w:left="120"/>
              <w:spacing w:after="0" w:line="134" w:lineRule="exact"/>
              <w:rPr>
                <w:sz w:val="20"/>
                <w:szCs w:val="20"/>
                <w:color w:val="auto"/>
              </w:rPr>
            </w:pPr>
            <w:r>
              <w:rPr>
                <w:rFonts w:ascii="Arial" w:cs="Arial" w:eastAsia="Arial" w:hAnsi="Arial"/>
                <w:sz w:val="12"/>
                <w:szCs w:val="12"/>
                <w:color w:val="auto"/>
              </w:rPr>
              <w:t>Residential</w:t>
            </w:r>
          </w:p>
        </w:tc>
        <w:tc>
          <w:tcPr>
            <w:tcW w:w="1340" w:type="dxa"/>
            <w:vAlign w:val="bottom"/>
          </w:tcPr>
          <w:p>
            <w:pPr>
              <w:jc w:val="right"/>
              <w:spacing w:after="0" w:line="134" w:lineRule="exact"/>
              <w:rPr>
                <w:sz w:val="20"/>
                <w:szCs w:val="20"/>
                <w:color w:val="auto"/>
              </w:rPr>
            </w:pPr>
            <w:r>
              <w:rPr>
                <w:rFonts w:ascii="Arial" w:cs="Arial" w:eastAsia="Arial" w:hAnsi="Arial"/>
                <w:sz w:val="12"/>
                <w:szCs w:val="12"/>
                <w:color w:val="auto"/>
              </w:rPr>
              <w:t>104</w:t>
            </w:r>
          </w:p>
        </w:tc>
        <w:tc>
          <w:tcPr>
            <w:tcW w:w="520" w:type="dxa"/>
            <w:vAlign w:val="bottom"/>
          </w:tcPr>
          <w:p>
            <w:pPr>
              <w:jc w:val="right"/>
              <w:ind w:right="378"/>
              <w:spacing w:after="0" w:line="134" w:lineRule="exact"/>
              <w:rPr>
                <w:sz w:val="20"/>
                <w:szCs w:val="20"/>
                <w:color w:val="auto"/>
              </w:rPr>
            </w:pPr>
            <w:r>
              <w:rPr>
                <w:rFonts w:ascii="Arial" w:cs="Arial" w:eastAsia="Arial" w:hAnsi="Arial"/>
                <w:sz w:val="12"/>
                <w:szCs w:val="12"/>
                <w:color w:val="auto"/>
                <w:w w:val="89"/>
              </w:rPr>
              <w:t>$</w:t>
            </w:r>
          </w:p>
        </w:tc>
        <w:tc>
          <w:tcPr>
            <w:tcW w:w="1180" w:type="dxa"/>
            <w:vAlign w:val="bottom"/>
          </w:tcPr>
          <w:p>
            <w:pPr>
              <w:jc w:val="right"/>
              <w:ind w:right="179"/>
              <w:spacing w:after="0" w:line="134" w:lineRule="exact"/>
              <w:rPr>
                <w:sz w:val="20"/>
                <w:szCs w:val="20"/>
                <w:color w:val="auto"/>
              </w:rPr>
            </w:pPr>
            <w:r>
              <w:rPr>
                <w:rFonts w:ascii="Arial" w:cs="Arial" w:eastAsia="Arial" w:hAnsi="Arial"/>
                <w:sz w:val="12"/>
                <w:szCs w:val="12"/>
                <w:color w:val="auto"/>
              </w:rPr>
              <w:t>958</w:t>
            </w:r>
          </w:p>
        </w:tc>
        <w:tc>
          <w:tcPr>
            <w:tcW w:w="112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c>
          <w:tcPr>
            <w:tcW w:w="1140" w:type="dxa"/>
            <w:vAlign w:val="bottom"/>
          </w:tcPr>
          <w:p>
            <w:pPr>
              <w:jc w:val="right"/>
              <w:ind w:right="999"/>
              <w:spacing w:after="0" w:line="134" w:lineRule="exact"/>
              <w:rPr>
                <w:sz w:val="20"/>
                <w:szCs w:val="20"/>
                <w:color w:val="auto"/>
              </w:rPr>
            </w:pPr>
            <w:r>
              <w:rPr>
                <w:rFonts w:ascii="Arial" w:cs="Arial" w:eastAsia="Arial" w:hAnsi="Arial"/>
                <w:sz w:val="12"/>
                <w:szCs w:val="12"/>
                <w:color w:val="auto"/>
                <w:w w:val="89"/>
              </w:rPr>
              <w:t>$</w:t>
            </w:r>
          </w:p>
        </w:tc>
        <w:tc>
          <w:tcPr>
            <w:tcW w:w="56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1</w:t>
            </w:r>
          </w:p>
        </w:tc>
        <w:tc>
          <w:tcPr>
            <w:tcW w:w="1140" w:type="dxa"/>
            <w:vAlign w:val="bottom"/>
          </w:tcPr>
          <w:p>
            <w:pPr>
              <w:jc w:val="right"/>
              <w:spacing w:after="0" w:line="134" w:lineRule="exact"/>
              <w:rPr>
                <w:sz w:val="20"/>
                <w:szCs w:val="20"/>
                <w:color w:val="auto"/>
              </w:rPr>
            </w:pPr>
            <w:r>
              <w:rPr>
                <w:rFonts w:ascii="Arial" w:cs="Arial" w:eastAsia="Arial" w:hAnsi="Arial"/>
                <w:sz w:val="12"/>
                <w:szCs w:val="12"/>
                <w:color w:val="auto"/>
              </w:rPr>
              <w:t>105</w:t>
            </w:r>
          </w:p>
        </w:tc>
        <w:tc>
          <w:tcPr>
            <w:tcW w:w="360" w:type="dxa"/>
            <w:vAlign w:val="bottom"/>
          </w:tcPr>
          <w:p>
            <w:pPr>
              <w:jc w:val="right"/>
              <w:ind w:right="218"/>
              <w:spacing w:after="0" w:line="134" w:lineRule="exact"/>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line="134" w:lineRule="exact"/>
              <w:rPr>
                <w:sz w:val="20"/>
                <w:szCs w:val="20"/>
                <w:color w:val="auto"/>
              </w:rPr>
            </w:pPr>
            <w:r>
              <w:rPr>
                <w:rFonts w:ascii="Arial" w:cs="Arial" w:eastAsia="Arial" w:hAnsi="Arial"/>
                <w:sz w:val="12"/>
                <w:szCs w:val="12"/>
                <w:color w:val="auto"/>
              </w:rPr>
              <w:t>959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940" w:type="dxa"/>
            <w:vAlign w:val="bottom"/>
          </w:tcPr>
          <w:p>
            <w:pPr>
              <w:ind w:left="120"/>
              <w:spacing w:after="0" w:line="134" w:lineRule="exact"/>
              <w:rPr>
                <w:sz w:val="20"/>
                <w:szCs w:val="20"/>
                <w:color w:val="auto"/>
              </w:rPr>
            </w:pPr>
            <w:r>
              <w:rPr>
                <w:rFonts w:ascii="Arial" w:cs="Arial" w:eastAsia="Arial" w:hAnsi="Arial"/>
                <w:sz w:val="12"/>
                <w:szCs w:val="12"/>
                <w:color w:val="auto"/>
              </w:rPr>
              <w:t>Commercial and industrial</w:t>
            </w:r>
          </w:p>
        </w:tc>
        <w:tc>
          <w:tcPr>
            <w:tcW w:w="1340" w:type="dxa"/>
            <w:vAlign w:val="bottom"/>
          </w:tcPr>
          <w:p>
            <w:pPr>
              <w:jc w:val="right"/>
              <w:spacing w:after="0" w:line="134" w:lineRule="exact"/>
              <w:rPr>
                <w:sz w:val="20"/>
                <w:szCs w:val="20"/>
                <w:color w:val="auto"/>
              </w:rPr>
            </w:pPr>
            <w:r>
              <w:rPr>
                <w:rFonts w:ascii="Arial" w:cs="Arial" w:eastAsia="Arial" w:hAnsi="Arial"/>
                <w:sz w:val="12"/>
                <w:szCs w:val="12"/>
                <w:color w:val="auto"/>
              </w:rPr>
              <w:t>34</w:t>
            </w:r>
          </w:p>
        </w:tc>
        <w:tc>
          <w:tcPr>
            <w:tcW w:w="520" w:type="dxa"/>
            <w:vAlign w:val="bottom"/>
          </w:tcPr>
          <w:p>
            <w:pPr>
              <w:spacing w:after="0"/>
              <w:rPr>
                <w:sz w:val="11"/>
                <w:szCs w:val="11"/>
                <w:color w:val="auto"/>
              </w:rPr>
            </w:pPr>
          </w:p>
        </w:tc>
        <w:tc>
          <w:tcPr>
            <w:tcW w:w="1180" w:type="dxa"/>
            <w:vAlign w:val="bottom"/>
          </w:tcPr>
          <w:p>
            <w:pPr>
              <w:jc w:val="right"/>
              <w:ind w:right="179"/>
              <w:spacing w:after="0" w:line="134" w:lineRule="exact"/>
              <w:rPr>
                <w:sz w:val="20"/>
                <w:szCs w:val="20"/>
                <w:color w:val="auto"/>
              </w:rPr>
            </w:pPr>
            <w:r>
              <w:rPr>
                <w:rFonts w:ascii="Arial" w:cs="Arial" w:eastAsia="Arial" w:hAnsi="Arial"/>
                <w:sz w:val="12"/>
                <w:szCs w:val="12"/>
                <w:color w:val="auto"/>
              </w:rPr>
              <w:t>257</w:t>
            </w:r>
          </w:p>
        </w:tc>
        <w:tc>
          <w:tcPr>
            <w:tcW w:w="1120" w:type="dxa"/>
            <w:vAlign w:val="bottom"/>
          </w:tcPr>
          <w:p>
            <w:pPr>
              <w:jc w:val="right"/>
              <w:spacing w:after="0" w:line="134" w:lineRule="exact"/>
              <w:rPr>
                <w:sz w:val="20"/>
                <w:szCs w:val="20"/>
                <w:color w:val="auto"/>
              </w:rPr>
            </w:pPr>
            <w:r>
              <w:rPr>
                <w:rFonts w:ascii="Arial" w:cs="Arial" w:eastAsia="Arial" w:hAnsi="Arial"/>
                <w:sz w:val="12"/>
                <w:szCs w:val="12"/>
                <w:color w:val="auto"/>
              </w:rPr>
              <w:t>68</w:t>
            </w:r>
          </w:p>
        </w:tc>
        <w:tc>
          <w:tcPr>
            <w:tcW w:w="1140" w:type="dxa"/>
            <w:vAlign w:val="bottom"/>
          </w:tcPr>
          <w:p>
            <w:pPr>
              <w:spacing w:after="0"/>
              <w:rPr>
                <w:sz w:val="11"/>
                <w:szCs w:val="11"/>
                <w:color w:val="auto"/>
              </w:rPr>
            </w:pPr>
          </w:p>
        </w:tc>
        <w:tc>
          <w:tcPr>
            <w:tcW w:w="56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65</w:t>
            </w:r>
          </w:p>
        </w:tc>
        <w:tc>
          <w:tcPr>
            <w:tcW w:w="1140" w:type="dxa"/>
            <w:vAlign w:val="bottom"/>
          </w:tcPr>
          <w:p>
            <w:pPr>
              <w:jc w:val="right"/>
              <w:spacing w:after="0" w:line="134" w:lineRule="exact"/>
              <w:rPr>
                <w:sz w:val="20"/>
                <w:szCs w:val="20"/>
                <w:color w:val="auto"/>
              </w:rPr>
            </w:pPr>
            <w:r>
              <w:rPr>
                <w:rFonts w:ascii="Arial" w:cs="Arial" w:eastAsia="Arial" w:hAnsi="Arial"/>
                <w:sz w:val="12"/>
                <w:szCs w:val="12"/>
                <w:color w:val="auto"/>
              </w:rPr>
              <w:t>102</w:t>
            </w:r>
          </w:p>
        </w:tc>
        <w:tc>
          <w:tcPr>
            <w:tcW w:w="360" w:type="dxa"/>
            <w:vAlign w:val="bottom"/>
          </w:tcPr>
          <w:p>
            <w:pPr>
              <w:spacing w:after="0"/>
              <w:rPr>
                <w:sz w:val="11"/>
                <w:szCs w:val="11"/>
                <w:color w:val="auto"/>
              </w:rPr>
            </w:pPr>
          </w:p>
        </w:tc>
        <w:tc>
          <w:tcPr>
            <w:tcW w:w="1140" w:type="dxa"/>
            <w:vAlign w:val="bottom"/>
          </w:tcPr>
          <w:p>
            <w:pPr>
              <w:jc w:val="right"/>
              <w:spacing w:after="0" w:line="134" w:lineRule="exact"/>
              <w:rPr>
                <w:sz w:val="20"/>
                <w:szCs w:val="20"/>
                <w:color w:val="auto"/>
              </w:rPr>
            </w:pPr>
            <w:r>
              <w:rPr>
                <w:rFonts w:ascii="Arial" w:cs="Arial" w:eastAsia="Arial" w:hAnsi="Arial"/>
                <w:sz w:val="12"/>
                <w:szCs w:val="12"/>
                <w:color w:val="auto"/>
              </w:rPr>
              <w:t>322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940" w:type="dxa"/>
            <w:vAlign w:val="bottom"/>
          </w:tcPr>
          <w:p>
            <w:pPr>
              <w:ind w:left="120"/>
              <w:spacing w:after="0" w:line="134" w:lineRule="exact"/>
              <w:rPr>
                <w:sz w:val="20"/>
                <w:szCs w:val="20"/>
                <w:color w:val="auto"/>
              </w:rPr>
            </w:pPr>
            <w:r>
              <w:rPr>
                <w:rFonts w:ascii="Arial" w:cs="Arial" w:eastAsia="Arial" w:hAnsi="Arial"/>
                <w:sz w:val="12"/>
                <w:szCs w:val="12"/>
                <w:color w:val="auto"/>
              </w:rPr>
              <w:t>Electric generation plants</w:t>
            </w:r>
          </w:p>
        </w:tc>
        <w:tc>
          <w:tcPr>
            <w:tcW w:w="134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520" w:type="dxa"/>
            <w:vAlign w:val="bottom"/>
          </w:tcPr>
          <w:p>
            <w:pPr>
              <w:spacing w:after="0"/>
              <w:rPr>
                <w:sz w:val="11"/>
                <w:szCs w:val="11"/>
                <w:color w:val="auto"/>
              </w:rPr>
            </w:pPr>
          </w:p>
        </w:tc>
        <w:tc>
          <w:tcPr>
            <w:tcW w:w="1180" w:type="dxa"/>
            <w:vAlign w:val="bottom"/>
          </w:tcPr>
          <w:p>
            <w:pPr>
              <w:jc w:val="right"/>
              <w:ind w:right="179"/>
              <w:spacing w:after="0" w:line="134" w:lineRule="exact"/>
              <w:rPr>
                <w:sz w:val="20"/>
                <w:szCs w:val="20"/>
                <w:color w:val="auto"/>
              </w:rPr>
            </w:pPr>
            <w:r>
              <w:rPr>
                <w:rFonts w:ascii="Arial" w:cs="Arial" w:eastAsia="Arial" w:hAnsi="Arial"/>
                <w:sz w:val="12"/>
                <w:szCs w:val="12"/>
                <w:color w:val="auto"/>
              </w:rPr>
              <w:t>―</w:t>
            </w:r>
          </w:p>
        </w:tc>
        <w:tc>
          <w:tcPr>
            <w:tcW w:w="1120" w:type="dxa"/>
            <w:vAlign w:val="bottom"/>
          </w:tcPr>
          <w:p>
            <w:pPr>
              <w:jc w:val="right"/>
              <w:spacing w:after="0" w:line="134" w:lineRule="exact"/>
              <w:rPr>
                <w:sz w:val="20"/>
                <w:szCs w:val="20"/>
                <w:color w:val="auto"/>
              </w:rPr>
            </w:pPr>
            <w:r>
              <w:rPr>
                <w:rFonts w:ascii="Arial" w:cs="Arial" w:eastAsia="Arial" w:hAnsi="Arial"/>
                <w:sz w:val="12"/>
                <w:szCs w:val="12"/>
                <w:color w:val="auto"/>
              </w:rPr>
              <w:t>45</w:t>
            </w:r>
          </w:p>
        </w:tc>
        <w:tc>
          <w:tcPr>
            <w:tcW w:w="1140" w:type="dxa"/>
            <w:vAlign w:val="bottom"/>
          </w:tcPr>
          <w:p>
            <w:pPr>
              <w:spacing w:after="0"/>
              <w:rPr>
                <w:sz w:val="11"/>
                <w:szCs w:val="11"/>
                <w:color w:val="auto"/>
              </w:rPr>
            </w:pPr>
          </w:p>
        </w:tc>
        <w:tc>
          <w:tcPr>
            <w:tcW w:w="56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13</w:t>
            </w:r>
          </w:p>
        </w:tc>
        <w:tc>
          <w:tcPr>
            <w:tcW w:w="1140" w:type="dxa"/>
            <w:vAlign w:val="bottom"/>
          </w:tcPr>
          <w:p>
            <w:pPr>
              <w:jc w:val="right"/>
              <w:spacing w:after="0" w:line="134" w:lineRule="exact"/>
              <w:rPr>
                <w:sz w:val="20"/>
                <w:szCs w:val="20"/>
                <w:color w:val="auto"/>
              </w:rPr>
            </w:pPr>
            <w:r>
              <w:rPr>
                <w:rFonts w:ascii="Arial" w:cs="Arial" w:eastAsia="Arial" w:hAnsi="Arial"/>
                <w:sz w:val="12"/>
                <w:szCs w:val="12"/>
                <w:color w:val="auto"/>
              </w:rPr>
              <w:t>45</w:t>
            </w:r>
          </w:p>
        </w:tc>
        <w:tc>
          <w:tcPr>
            <w:tcW w:w="360" w:type="dxa"/>
            <w:vAlign w:val="bottom"/>
          </w:tcPr>
          <w:p>
            <w:pPr>
              <w:spacing w:after="0"/>
              <w:rPr>
                <w:sz w:val="11"/>
                <w:szCs w:val="11"/>
                <w:color w:val="auto"/>
              </w:rPr>
            </w:pPr>
          </w:p>
        </w:tc>
        <w:tc>
          <w:tcPr>
            <w:tcW w:w="1140" w:type="dxa"/>
            <w:vAlign w:val="bottom"/>
          </w:tcPr>
          <w:p>
            <w:pPr>
              <w:jc w:val="right"/>
              <w:spacing w:after="0" w:line="134" w:lineRule="exact"/>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40" w:type="dxa"/>
            <w:vAlign w:val="bottom"/>
          </w:tcPr>
          <w:p>
            <w:pPr>
              <w:ind w:left="120"/>
              <w:spacing w:after="0"/>
              <w:rPr>
                <w:sz w:val="20"/>
                <w:szCs w:val="20"/>
                <w:color w:val="auto"/>
              </w:rPr>
            </w:pPr>
            <w:r>
              <w:rPr>
                <w:rFonts w:ascii="Arial" w:cs="Arial" w:eastAsia="Arial" w:hAnsi="Arial"/>
                <w:sz w:val="12"/>
                <w:szCs w:val="12"/>
                <w:color w:val="auto"/>
              </w:rPr>
              <w:t>Wholesale</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1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340" w:type="dxa"/>
            <w:vAlign w:val="bottom"/>
          </w:tcPr>
          <w:p>
            <w:pPr>
              <w:jc w:val="right"/>
              <w:spacing w:after="0" w:line="126" w:lineRule="exact"/>
              <w:rPr>
                <w:sz w:val="20"/>
                <w:szCs w:val="20"/>
                <w:color w:val="auto"/>
              </w:rPr>
            </w:pPr>
            <w:r>
              <w:rPr>
                <w:rFonts w:ascii="Arial" w:cs="Arial" w:eastAsia="Arial" w:hAnsi="Arial"/>
                <w:sz w:val="12"/>
                <w:szCs w:val="12"/>
                <w:color w:val="auto"/>
              </w:rPr>
              <w:t>138</w:t>
            </w:r>
          </w:p>
        </w:tc>
        <w:tc>
          <w:tcPr>
            <w:tcW w:w="520" w:type="dxa"/>
            <w:vAlign w:val="bottom"/>
          </w:tcPr>
          <w:p>
            <w:pPr>
              <w:jc w:val="right"/>
              <w:ind w:right="378"/>
              <w:spacing w:after="0" w:line="126" w:lineRule="exact"/>
              <w:rPr>
                <w:sz w:val="20"/>
                <w:szCs w:val="20"/>
                <w:color w:val="auto"/>
              </w:rPr>
            </w:pPr>
            <w:r>
              <w:rPr>
                <w:rFonts w:ascii="Arial" w:cs="Arial" w:eastAsia="Arial" w:hAnsi="Arial"/>
                <w:sz w:val="12"/>
                <w:szCs w:val="12"/>
                <w:color w:val="auto"/>
                <w:w w:val="89"/>
              </w:rPr>
              <w:t>$</w:t>
            </w:r>
          </w:p>
        </w:tc>
        <w:tc>
          <w:tcPr>
            <w:tcW w:w="1180" w:type="dxa"/>
            <w:vAlign w:val="bottom"/>
          </w:tcPr>
          <w:p>
            <w:pPr>
              <w:jc w:val="right"/>
              <w:ind w:right="179"/>
              <w:spacing w:after="0" w:line="126" w:lineRule="exact"/>
              <w:rPr>
                <w:sz w:val="20"/>
                <w:szCs w:val="20"/>
                <w:color w:val="auto"/>
              </w:rPr>
            </w:pPr>
            <w:r>
              <w:rPr>
                <w:rFonts w:ascii="Arial" w:cs="Arial" w:eastAsia="Arial" w:hAnsi="Arial"/>
                <w:sz w:val="12"/>
                <w:szCs w:val="12"/>
                <w:color w:val="auto"/>
              </w:rPr>
              <w:t>1,215</w:t>
            </w:r>
          </w:p>
        </w:tc>
        <w:tc>
          <w:tcPr>
            <w:tcW w:w="1120" w:type="dxa"/>
            <w:vAlign w:val="bottom"/>
          </w:tcPr>
          <w:p>
            <w:pPr>
              <w:jc w:val="right"/>
              <w:spacing w:after="0" w:line="126" w:lineRule="exact"/>
              <w:rPr>
                <w:sz w:val="20"/>
                <w:szCs w:val="20"/>
                <w:color w:val="auto"/>
              </w:rPr>
            </w:pPr>
            <w:r>
              <w:rPr>
                <w:rFonts w:ascii="Arial" w:cs="Arial" w:eastAsia="Arial" w:hAnsi="Arial"/>
                <w:sz w:val="12"/>
                <w:szCs w:val="12"/>
                <w:color w:val="auto"/>
              </w:rPr>
              <w:t>123</w:t>
            </w:r>
          </w:p>
        </w:tc>
        <w:tc>
          <w:tcPr>
            <w:tcW w:w="1140" w:type="dxa"/>
            <w:vAlign w:val="bottom"/>
          </w:tcPr>
          <w:p>
            <w:pPr>
              <w:jc w:val="right"/>
              <w:ind w:right="999"/>
              <w:spacing w:after="0" w:line="126" w:lineRule="exact"/>
              <w:rPr>
                <w:sz w:val="20"/>
                <w:szCs w:val="20"/>
                <w:color w:val="auto"/>
              </w:rPr>
            </w:pPr>
            <w:r>
              <w:rPr>
                <w:rFonts w:ascii="Arial" w:cs="Arial" w:eastAsia="Arial" w:hAnsi="Arial"/>
                <w:sz w:val="12"/>
                <w:szCs w:val="12"/>
                <w:color w:val="auto"/>
                <w:w w:val="89"/>
              </w:rPr>
              <w:t>$</w:t>
            </w:r>
          </w:p>
        </w:tc>
        <w:tc>
          <w:tcPr>
            <w:tcW w:w="560" w:type="dxa"/>
            <w:vAlign w:val="bottom"/>
          </w:tcPr>
          <w:p>
            <w:pPr>
              <w:jc w:val="right"/>
              <w:ind w:right="178"/>
              <w:spacing w:after="0" w:line="126" w:lineRule="exact"/>
              <w:rPr>
                <w:sz w:val="20"/>
                <w:szCs w:val="20"/>
                <w:color w:val="auto"/>
              </w:rPr>
            </w:pPr>
            <w:r>
              <w:rPr>
                <w:rFonts w:ascii="Arial" w:cs="Arial" w:eastAsia="Arial" w:hAnsi="Arial"/>
                <w:sz w:val="12"/>
                <w:szCs w:val="12"/>
                <w:color w:val="auto"/>
              </w:rPr>
              <w:t>81</w:t>
            </w:r>
          </w:p>
        </w:tc>
        <w:tc>
          <w:tcPr>
            <w:tcW w:w="1140" w:type="dxa"/>
            <w:vAlign w:val="bottom"/>
          </w:tcPr>
          <w:p>
            <w:pPr>
              <w:jc w:val="right"/>
              <w:spacing w:after="0" w:line="126" w:lineRule="exact"/>
              <w:rPr>
                <w:sz w:val="20"/>
                <w:szCs w:val="20"/>
                <w:color w:val="auto"/>
              </w:rPr>
            </w:pPr>
            <w:r>
              <w:rPr>
                <w:rFonts w:ascii="Arial" w:cs="Arial" w:eastAsia="Arial" w:hAnsi="Arial"/>
                <w:sz w:val="12"/>
                <w:szCs w:val="12"/>
                <w:color w:val="auto"/>
              </w:rPr>
              <w:t>261</w:t>
            </w:r>
          </w:p>
        </w:tc>
        <w:tc>
          <w:tcPr>
            <w:tcW w:w="360" w:type="dxa"/>
            <w:vAlign w:val="bottom"/>
          </w:tcPr>
          <w:p>
            <w:pPr>
              <w:spacing w:after="0"/>
              <w:rPr>
                <w:sz w:val="10"/>
                <w:szCs w:val="10"/>
                <w:color w:val="auto"/>
              </w:rPr>
            </w:pPr>
          </w:p>
        </w:tc>
        <w:tc>
          <w:tcPr>
            <w:tcW w:w="1140" w:type="dxa"/>
            <w:vAlign w:val="bottom"/>
          </w:tcPr>
          <w:p>
            <w:pPr>
              <w:jc w:val="right"/>
              <w:spacing w:after="0" w:line="126" w:lineRule="exact"/>
              <w:rPr>
                <w:sz w:val="20"/>
                <w:szCs w:val="20"/>
                <w:color w:val="auto"/>
              </w:rPr>
            </w:pPr>
            <w:r>
              <w:rPr>
                <w:rFonts w:ascii="Arial" w:cs="Arial" w:eastAsia="Arial" w:hAnsi="Arial"/>
                <w:sz w:val="12"/>
                <w:szCs w:val="12"/>
                <w:color w:val="auto"/>
              </w:rPr>
              <w:t>1,296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940" w:type="dxa"/>
            <w:vAlign w:val="bottom"/>
          </w:tcPr>
          <w:p>
            <w:pPr>
              <w:ind w:left="120"/>
              <w:spacing w:after="0" w:line="134" w:lineRule="exact"/>
              <w:rPr>
                <w:sz w:val="20"/>
                <w:szCs w:val="20"/>
                <w:color w:val="auto"/>
              </w:rPr>
            </w:pPr>
            <w:r>
              <w:rPr>
                <w:rFonts w:ascii="Arial" w:cs="Arial" w:eastAsia="Arial" w:hAnsi="Arial"/>
                <w:sz w:val="12"/>
                <w:szCs w:val="12"/>
                <w:color w:val="auto"/>
              </w:rPr>
              <w:t>Other revenues</w:t>
            </w:r>
          </w:p>
        </w:tc>
        <w:tc>
          <w:tcPr>
            <w:tcW w:w="1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34" w:lineRule="exact"/>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40" w:type="dxa"/>
            <w:vAlign w:val="bottom"/>
          </w:tcPr>
          <w:p>
            <w:pPr>
              <w:ind w:left="120"/>
              <w:spacing w:after="0"/>
              <w:rPr>
                <w:sz w:val="20"/>
                <w:szCs w:val="20"/>
                <w:color w:val="auto"/>
              </w:rPr>
            </w:pPr>
            <w:r>
              <w:rPr>
                <w:rFonts w:ascii="Arial" w:cs="Arial" w:eastAsia="Arial" w:hAnsi="Arial"/>
                <w:sz w:val="12"/>
                <w:szCs w:val="12"/>
                <w:color w:val="auto"/>
              </w:rPr>
              <w:t>Balancing accounts</w:t>
            </w:r>
          </w:p>
        </w:tc>
        <w:tc>
          <w:tcPr>
            <w:tcW w:w="1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Borders>
              <w:bottom w:val="single" w:sz="8" w:color="auto"/>
            </w:tcBorders>
          </w:tcPr>
          <w:p>
            <w:pPr>
              <w:ind w:left="260"/>
              <w:spacing w:after="0" w:line="134" w:lineRule="exact"/>
              <w:rPr>
                <w:sz w:val="20"/>
                <w:szCs w:val="20"/>
                <w:color w:val="auto"/>
              </w:rPr>
            </w:pPr>
            <w:r>
              <w:rPr>
                <w:rFonts w:ascii="Arial" w:cs="Arial" w:eastAsia="Arial" w:hAnsi="Arial"/>
                <w:sz w:val="12"/>
                <w:szCs w:val="12"/>
                <w:color w:val="auto"/>
              </w:rPr>
              <w:t>Total</w:t>
            </w:r>
          </w:p>
        </w:tc>
        <w:tc>
          <w:tcPr>
            <w:tcW w:w="13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218"/>
              <w:spacing w:after="0" w:line="134" w:lineRule="exact"/>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1,218</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940" w:type="dxa"/>
            <w:vAlign w:val="bottom"/>
          </w:tcPr>
          <w:p>
            <w:pPr>
              <w:spacing w:after="0" w:line="126" w:lineRule="exact"/>
              <w:rPr>
                <w:sz w:val="20"/>
                <w:szCs w:val="20"/>
                <w:color w:val="auto"/>
              </w:rPr>
            </w:pPr>
            <w:r>
              <w:rPr>
                <w:rFonts w:ascii="Arial" w:cs="Arial" w:eastAsia="Arial" w:hAnsi="Arial"/>
                <w:sz w:val="12"/>
                <w:szCs w:val="12"/>
                <w:color w:val="auto"/>
              </w:rPr>
              <w:t>2010:</w:t>
            </w:r>
          </w:p>
        </w:tc>
        <w:tc>
          <w:tcPr>
            <w:tcW w:w="1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940" w:type="dxa"/>
            <w:vAlign w:val="bottom"/>
          </w:tcPr>
          <w:p>
            <w:pPr>
              <w:ind w:left="120"/>
              <w:spacing w:after="0" w:line="134" w:lineRule="exact"/>
              <w:rPr>
                <w:sz w:val="20"/>
                <w:szCs w:val="20"/>
                <w:color w:val="auto"/>
              </w:rPr>
            </w:pPr>
            <w:r>
              <w:rPr>
                <w:rFonts w:ascii="Arial" w:cs="Arial" w:eastAsia="Arial" w:hAnsi="Arial"/>
                <w:sz w:val="12"/>
                <w:szCs w:val="12"/>
                <w:color w:val="auto"/>
              </w:rPr>
              <w:t>Residential</w:t>
            </w:r>
          </w:p>
        </w:tc>
        <w:tc>
          <w:tcPr>
            <w:tcW w:w="1340" w:type="dxa"/>
            <w:vAlign w:val="bottom"/>
          </w:tcPr>
          <w:p>
            <w:pPr>
              <w:jc w:val="right"/>
              <w:spacing w:after="0" w:line="134" w:lineRule="exact"/>
              <w:rPr>
                <w:sz w:val="20"/>
                <w:szCs w:val="20"/>
                <w:color w:val="auto"/>
              </w:rPr>
            </w:pPr>
            <w:r>
              <w:rPr>
                <w:rFonts w:ascii="Arial" w:cs="Arial" w:eastAsia="Arial" w:hAnsi="Arial"/>
                <w:sz w:val="12"/>
                <w:szCs w:val="12"/>
                <w:color w:val="auto"/>
              </w:rPr>
              <w:t>97</w:t>
            </w:r>
          </w:p>
        </w:tc>
        <w:tc>
          <w:tcPr>
            <w:tcW w:w="520" w:type="dxa"/>
            <w:vAlign w:val="bottom"/>
          </w:tcPr>
          <w:p>
            <w:pPr>
              <w:jc w:val="right"/>
              <w:ind w:right="378"/>
              <w:spacing w:after="0" w:line="134" w:lineRule="exact"/>
              <w:rPr>
                <w:sz w:val="20"/>
                <w:szCs w:val="20"/>
                <w:color w:val="auto"/>
              </w:rPr>
            </w:pPr>
            <w:r>
              <w:rPr>
                <w:rFonts w:ascii="Arial" w:cs="Arial" w:eastAsia="Arial" w:hAnsi="Arial"/>
                <w:sz w:val="12"/>
                <w:szCs w:val="12"/>
                <w:color w:val="auto"/>
                <w:w w:val="89"/>
              </w:rPr>
              <w:t>$</w:t>
            </w:r>
          </w:p>
        </w:tc>
        <w:tc>
          <w:tcPr>
            <w:tcW w:w="1180" w:type="dxa"/>
            <w:vAlign w:val="bottom"/>
          </w:tcPr>
          <w:p>
            <w:pPr>
              <w:jc w:val="right"/>
              <w:ind w:right="179"/>
              <w:spacing w:after="0" w:line="134" w:lineRule="exact"/>
              <w:rPr>
                <w:sz w:val="20"/>
                <w:szCs w:val="20"/>
                <w:color w:val="auto"/>
              </w:rPr>
            </w:pPr>
            <w:r>
              <w:rPr>
                <w:rFonts w:ascii="Arial" w:cs="Arial" w:eastAsia="Arial" w:hAnsi="Arial"/>
                <w:sz w:val="12"/>
                <w:szCs w:val="12"/>
                <w:color w:val="auto"/>
              </w:rPr>
              <w:t>980</w:t>
            </w:r>
          </w:p>
        </w:tc>
        <w:tc>
          <w:tcPr>
            <w:tcW w:w="112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c>
          <w:tcPr>
            <w:tcW w:w="1140" w:type="dxa"/>
            <w:vAlign w:val="bottom"/>
          </w:tcPr>
          <w:p>
            <w:pPr>
              <w:jc w:val="right"/>
              <w:ind w:right="999"/>
              <w:spacing w:after="0" w:line="134" w:lineRule="exact"/>
              <w:rPr>
                <w:sz w:val="20"/>
                <w:szCs w:val="20"/>
                <w:color w:val="auto"/>
              </w:rPr>
            </w:pPr>
            <w:r>
              <w:rPr>
                <w:rFonts w:ascii="Arial" w:cs="Arial" w:eastAsia="Arial" w:hAnsi="Arial"/>
                <w:sz w:val="12"/>
                <w:szCs w:val="12"/>
                <w:color w:val="auto"/>
                <w:w w:val="89"/>
              </w:rPr>
              <w:t>$</w:t>
            </w:r>
          </w:p>
        </w:tc>
        <w:tc>
          <w:tcPr>
            <w:tcW w:w="56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1</w:t>
            </w:r>
          </w:p>
        </w:tc>
        <w:tc>
          <w:tcPr>
            <w:tcW w:w="1140" w:type="dxa"/>
            <w:vAlign w:val="bottom"/>
          </w:tcPr>
          <w:p>
            <w:pPr>
              <w:jc w:val="right"/>
              <w:spacing w:after="0" w:line="134" w:lineRule="exact"/>
              <w:rPr>
                <w:sz w:val="20"/>
                <w:szCs w:val="20"/>
                <w:color w:val="auto"/>
              </w:rPr>
            </w:pPr>
            <w:r>
              <w:rPr>
                <w:rFonts w:ascii="Arial" w:cs="Arial" w:eastAsia="Arial" w:hAnsi="Arial"/>
                <w:sz w:val="12"/>
                <w:szCs w:val="12"/>
                <w:color w:val="auto"/>
              </w:rPr>
              <w:t>98</w:t>
            </w:r>
          </w:p>
        </w:tc>
        <w:tc>
          <w:tcPr>
            <w:tcW w:w="360" w:type="dxa"/>
            <w:vAlign w:val="bottom"/>
          </w:tcPr>
          <w:p>
            <w:pPr>
              <w:jc w:val="right"/>
              <w:ind w:right="218"/>
              <w:spacing w:after="0" w:line="134" w:lineRule="exact"/>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line="134" w:lineRule="exact"/>
              <w:rPr>
                <w:sz w:val="20"/>
                <w:szCs w:val="20"/>
                <w:color w:val="auto"/>
              </w:rPr>
            </w:pPr>
            <w:r>
              <w:rPr>
                <w:rFonts w:ascii="Arial" w:cs="Arial" w:eastAsia="Arial" w:hAnsi="Arial"/>
                <w:sz w:val="12"/>
                <w:szCs w:val="12"/>
                <w:color w:val="auto"/>
              </w:rPr>
              <w:t>981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940" w:type="dxa"/>
            <w:vAlign w:val="bottom"/>
          </w:tcPr>
          <w:p>
            <w:pPr>
              <w:ind w:left="120"/>
              <w:spacing w:after="0" w:line="134" w:lineRule="exact"/>
              <w:rPr>
                <w:sz w:val="20"/>
                <w:szCs w:val="20"/>
                <w:color w:val="auto"/>
              </w:rPr>
            </w:pPr>
            <w:r>
              <w:rPr>
                <w:rFonts w:ascii="Arial" w:cs="Arial" w:eastAsia="Arial" w:hAnsi="Arial"/>
                <w:sz w:val="12"/>
                <w:szCs w:val="12"/>
                <w:color w:val="auto"/>
              </w:rPr>
              <w:t>Commercial and industrial</w:t>
            </w:r>
          </w:p>
        </w:tc>
        <w:tc>
          <w:tcPr>
            <w:tcW w:w="1340" w:type="dxa"/>
            <w:vAlign w:val="bottom"/>
          </w:tcPr>
          <w:p>
            <w:pPr>
              <w:jc w:val="right"/>
              <w:spacing w:after="0" w:line="134" w:lineRule="exact"/>
              <w:rPr>
                <w:sz w:val="20"/>
                <w:szCs w:val="20"/>
                <w:color w:val="auto"/>
              </w:rPr>
            </w:pPr>
            <w:r>
              <w:rPr>
                <w:rFonts w:ascii="Arial" w:cs="Arial" w:eastAsia="Arial" w:hAnsi="Arial"/>
                <w:sz w:val="12"/>
                <w:szCs w:val="12"/>
                <w:color w:val="auto"/>
              </w:rPr>
              <w:t>35</w:t>
            </w:r>
          </w:p>
        </w:tc>
        <w:tc>
          <w:tcPr>
            <w:tcW w:w="520" w:type="dxa"/>
            <w:vAlign w:val="bottom"/>
          </w:tcPr>
          <w:p>
            <w:pPr>
              <w:spacing w:after="0"/>
              <w:rPr>
                <w:sz w:val="11"/>
                <w:szCs w:val="11"/>
                <w:color w:val="auto"/>
              </w:rPr>
            </w:pPr>
          </w:p>
        </w:tc>
        <w:tc>
          <w:tcPr>
            <w:tcW w:w="1180" w:type="dxa"/>
            <w:vAlign w:val="bottom"/>
          </w:tcPr>
          <w:p>
            <w:pPr>
              <w:jc w:val="right"/>
              <w:ind w:right="179"/>
              <w:spacing w:after="0" w:line="134" w:lineRule="exact"/>
              <w:rPr>
                <w:sz w:val="20"/>
                <w:szCs w:val="20"/>
                <w:color w:val="auto"/>
              </w:rPr>
            </w:pPr>
            <w:r>
              <w:rPr>
                <w:rFonts w:ascii="Arial" w:cs="Arial" w:eastAsia="Arial" w:hAnsi="Arial"/>
                <w:sz w:val="12"/>
                <w:szCs w:val="12"/>
                <w:color w:val="auto"/>
              </w:rPr>
              <w:t>289</w:t>
            </w:r>
          </w:p>
        </w:tc>
        <w:tc>
          <w:tcPr>
            <w:tcW w:w="1120" w:type="dxa"/>
            <w:vAlign w:val="bottom"/>
          </w:tcPr>
          <w:p>
            <w:pPr>
              <w:jc w:val="right"/>
              <w:spacing w:after="0" w:line="134" w:lineRule="exact"/>
              <w:rPr>
                <w:sz w:val="20"/>
                <w:szCs w:val="20"/>
                <w:color w:val="auto"/>
              </w:rPr>
            </w:pPr>
            <w:r>
              <w:rPr>
                <w:rFonts w:ascii="Arial" w:cs="Arial" w:eastAsia="Arial" w:hAnsi="Arial"/>
                <w:sz w:val="12"/>
                <w:szCs w:val="12"/>
                <w:color w:val="auto"/>
              </w:rPr>
              <w:t>68</w:t>
            </w:r>
          </w:p>
        </w:tc>
        <w:tc>
          <w:tcPr>
            <w:tcW w:w="1140" w:type="dxa"/>
            <w:vAlign w:val="bottom"/>
          </w:tcPr>
          <w:p>
            <w:pPr>
              <w:spacing w:after="0"/>
              <w:rPr>
                <w:sz w:val="11"/>
                <w:szCs w:val="11"/>
                <w:color w:val="auto"/>
              </w:rPr>
            </w:pPr>
          </w:p>
        </w:tc>
        <w:tc>
          <w:tcPr>
            <w:tcW w:w="56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62</w:t>
            </w:r>
          </w:p>
        </w:tc>
        <w:tc>
          <w:tcPr>
            <w:tcW w:w="1140" w:type="dxa"/>
            <w:vAlign w:val="bottom"/>
          </w:tcPr>
          <w:p>
            <w:pPr>
              <w:jc w:val="right"/>
              <w:spacing w:after="0" w:line="134" w:lineRule="exact"/>
              <w:rPr>
                <w:sz w:val="20"/>
                <w:szCs w:val="20"/>
                <w:color w:val="auto"/>
              </w:rPr>
            </w:pPr>
            <w:r>
              <w:rPr>
                <w:rFonts w:ascii="Arial" w:cs="Arial" w:eastAsia="Arial" w:hAnsi="Arial"/>
                <w:sz w:val="12"/>
                <w:szCs w:val="12"/>
                <w:color w:val="auto"/>
              </w:rPr>
              <w:t>103</w:t>
            </w:r>
          </w:p>
        </w:tc>
        <w:tc>
          <w:tcPr>
            <w:tcW w:w="360" w:type="dxa"/>
            <w:vAlign w:val="bottom"/>
          </w:tcPr>
          <w:p>
            <w:pPr>
              <w:spacing w:after="0"/>
              <w:rPr>
                <w:sz w:val="11"/>
                <w:szCs w:val="11"/>
                <w:color w:val="auto"/>
              </w:rPr>
            </w:pPr>
          </w:p>
        </w:tc>
        <w:tc>
          <w:tcPr>
            <w:tcW w:w="1140" w:type="dxa"/>
            <w:vAlign w:val="bottom"/>
          </w:tcPr>
          <w:p>
            <w:pPr>
              <w:jc w:val="right"/>
              <w:spacing w:after="0" w:line="134" w:lineRule="exact"/>
              <w:rPr>
                <w:sz w:val="20"/>
                <w:szCs w:val="20"/>
                <w:color w:val="auto"/>
              </w:rPr>
            </w:pPr>
            <w:r>
              <w:rPr>
                <w:rFonts w:ascii="Arial" w:cs="Arial" w:eastAsia="Arial" w:hAnsi="Arial"/>
                <w:sz w:val="12"/>
                <w:szCs w:val="12"/>
                <w:color w:val="auto"/>
              </w:rPr>
              <w:t>351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940" w:type="dxa"/>
            <w:vAlign w:val="bottom"/>
          </w:tcPr>
          <w:p>
            <w:pPr>
              <w:ind w:left="120"/>
              <w:spacing w:after="0" w:line="134" w:lineRule="exact"/>
              <w:rPr>
                <w:sz w:val="20"/>
                <w:szCs w:val="20"/>
                <w:color w:val="auto"/>
              </w:rPr>
            </w:pPr>
            <w:r>
              <w:rPr>
                <w:rFonts w:ascii="Arial" w:cs="Arial" w:eastAsia="Arial" w:hAnsi="Arial"/>
                <w:sz w:val="12"/>
                <w:szCs w:val="12"/>
                <w:color w:val="auto"/>
              </w:rPr>
              <w:t>Electric generation plants</w:t>
            </w:r>
          </w:p>
        </w:tc>
        <w:tc>
          <w:tcPr>
            <w:tcW w:w="134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520" w:type="dxa"/>
            <w:vAlign w:val="bottom"/>
          </w:tcPr>
          <w:p>
            <w:pPr>
              <w:spacing w:after="0"/>
              <w:rPr>
                <w:sz w:val="11"/>
                <w:szCs w:val="11"/>
                <w:color w:val="auto"/>
              </w:rPr>
            </w:pPr>
          </w:p>
        </w:tc>
        <w:tc>
          <w:tcPr>
            <w:tcW w:w="1180" w:type="dxa"/>
            <w:vAlign w:val="bottom"/>
          </w:tcPr>
          <w:p>
            <w:pPr>
              <w:jc w:val="right"/>
              <w:ind w:right="179"/>
              <w:spacing w:after="0" w:line="134" w:lineRule="exact"/>
              <w:rPr>
                <w:sz w:val="20"/>
                <w:szCs w:val="20"/>
                <w:color w:val="auto"/>
              </w:rPr>
            </w:pPr>
            <w:r>
              <w:rPr>
                <w:rFonts w:ascii="Arial" w:cs="Arial" w:eastAsia="Arial" w:hAnsi="Arial"/>
                <w:sz w:val="12"/>
                <w:szCs w:val="12"/>
                <w:color w:val="auto"/>
              </w:rPr>
              <w:t>―</w:t>
            </w:r>
          </w:p>
        </w:tc>
        <w:tc>
          <w:tcPr>
            <w:tcW w:w="1120" w:type="dxa"/>
            <w:vAlign w:val="bottom"/>
          </w:tcPr>
          <w:p>
            <w:pPr>
              <w:jc w:val="right"/>
              <w:spacing w:after="0" w:line="134" w:lineRule="exact"/>
              <w:rPr>
                <w:sz w:val="20"/>
                <w:szCs w:val="20"/>
                <w:color w:val="auto"/>
              </w:rPr>
            </w:pPr>
            <w:r>
              <w:rPr>
                <w:rFonts w:ascii="Arial" w:cs="Arial" w:eastAsia="Arial" w:hAnsi="Arial"/>
                <w:sz w:val="12"/>
                <w:szCs w:val="12"/>
                <w:color w:val="auto"/>
              </w:rPr>
              <w:t>41</w:t>
            </w:r>
          </w:p>
        </w:tc>
        <w:tc>
          <w:tcPr>
            <w:tcW w:w="1140" w:type="dxa"/>
            <w:vAlign w:val="bottom"/>
          </w:tcPr>
          <w:p>
            <w:pPr>
              <w:spacing w:after="0"/>
              <w:rPr>
                <w:sz w:val="11"/>
                <w:szCs w:val="11"/>
                <w:color w:val="auto"/>
              </w:rPr>
            </w:pPr>
          </w:p>
        </w:tc>
        <w:tc>
          <w:tcPr>
            <w:tcW w:w="56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11</w:t>
            </w:r>
          </w:p>
        </w:tc>
        <w:tc>
          <w:tcPr>
            <w:tcW w:w="1140" w:type="dxa"/>
            <w:vAlign w:val="bottom"/>
          </w:tcPr>
          <w:p>
            <w:pPr>
              <w:jc w:val="right"/>
              <w:spacing w:after="0" w:line="134" w:lineRule="exact"/>
              <w:rPr>
                <w:sz w:val="20"/>
                <w:szCs w:val="20"/>
                <w:color w:val="auto"/>
              </w:rPr>
            </w:pPr>
            <w:r>
              <w:rPr>
                <w:rFonts w:ascii="Arial" w:cs="Arial" w:eastAsia="Arial" w:hAnsi="Arial"/>
                <w:sz w:val="12"/>
                <w:szCs w:val="12"/>
                <w:color w:val="auto"/>
              </w:rPr>
              <w:t>41</w:t>
            </w:r>
          </w:p>
        </w:tc>
        <w:tc>
          <w:tcPr>
            <w:tcW w:w="360" w:type="dxa"/>
            <w:vAlign w:val="bottom"/>
          </w:tcPr>
          <w:p>
            <w:pPr>
              <w:spacing w:after="0"/>
              <w:rPr>
                <w:sz w:val="11"/>
                <w:szCs w:val="11"/>
                <w:color w:val="auto"/>
              </w:rPr>
            </w:pPr>
          </w:p>
        </w:tc>
        <w:tc>
          <w:tcPr>
            <w:tcW w:w="1140" w:type="dxa"/>
            <w:vAlign w:val="bottom"/>
          </w:tcPr>
          <w:p>
            <w:pPr>
              <w:jc w:val="right"/>
              <w:spacing w:after="0" w:line="134"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40" w:type="dxa"/>
            <w:vAlign w:val="bottom"/>
          </w:tcPr>
          <w:p>
            <w:pPr>
              <w:ind w:left="120"/>
              <w:spacing w:after="0"/>
              <w:rPr>
                <w:sz w:val="20"/>
                <w:szCs w:val="20"/>
                <w:color w:val="auto"/>
              </w:rPr>
            </w:pPr>
            <w:r>
              <w:rPr>
                <w:rFonts w:ascii="Arial" w:cs="Arial" w:eastAsia="Arial" w:hAnsi="Arial"/>
                <w:sz w:val="12"/>
                <w:szCs w:val="12"/>
                <w:color w:val="auto"/>
              </w:rPr>
              <w:t>Wholesale</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1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340" w:type="dxa"/>
            <w:vAlign w:val="bottom"/>
          </w:tcPr>
          <w:p>
            <w:pPr>
              <w:jc w:val="right"/>
              <w:spacing w:after="0" w:line="126" w:lineRule="exact"/>
              <w:rPr>
                <w:sz w:val="20"/>
                <w:szCs w:val="20"/>
                <w:color w:val="auto"/>
              </w:rPr>
            </w:pPr>
            <w:r>
              <w:rPr>
                <w:rFonts w:ascii="Arial" w:cs="Arial" w:eastAsia="Arial" w:hAnsi="Arial"/>
                <w:sz w:val="12"/>
                <w:szCs w:val="12"/>
                <w:color w:val="auto"/>
              </w:rPr>
              <w:t>132</w:t>
            </w:r>
          </w:p>
        </w:tc>
        <w:tc>
          <w:tcPr>
            <w:tcW w:w="520" w:type="dxa"/>
            <w:vAlign w:val="bottom"/>
          </w:tcPr>
          <w:p>
            <w:pPr>
              <w:jc w:val="right"/>
              <w:ind w:right="378"/>
              <w:spacing w:after="0" w:line="126" w:lineRule="exact"/>
              <w:rPr>
                <w:sz w:val="20"/>
                <w:szCs w:val="20"/>
                <w:color w:val="auto"/>
              </w:rPr>
            </w:pPr>
            <w:r>
              <w:rPr>
                <w:rFonts w:ascii="Arial" w:cs="Arial" w:eastAsia="Arial" w:hAnsi="Arial"/>
                <w:sz w:val="12"/>
                <w:szCs w:val="12"/>
                <w:color w:val="auto"/>
                <w:w w:val="89"/>
              </w:rPr>
              <w:t>$</w:t>
            </w:r>
          </w:p>
        </w:tc>
        <w:tc>
          <w:tcPr>
            <w:tcW w:w="1180" w:type="dxa"/>
            <w:vAlign w:val="bottom"/>
          </w:tcPr>
          <w:p>
            <w:pPr>
              <w:jc w:val="right"/>
              <w:ind w:right="179"/>
              <w:spacing w:after="0" w:line="126" w:lineRule="exact"/>
              <w:rPr>
                <w:sz w:val="20"/>
                <w:szCs w:val="20"/>
                <w:color w:val="auto"/>
              </w:rPr>
            </w:pPr>
            <w:r>
              <w:rPr>
                <w:rFonts w:ascii="Arial" w:cs="Arial" w:eastAsia="Arial" w:hAnsi="Arial"/>
                <w:sz w:val="12"/>
                <w:szCs w:val="12"/>
                <w:color w:val="auto"/>
              </w:rPr>
              <w:t>1,269</w:t>
            </w:r>
          </w:p>
        </w:tc>
        <w:tc>
          <w:tcPr>
            <w:tcW w:w="1120" w:type="dxa"/>
            <w:vAlign w:val="bottom"/>
          </w:tcPr>
          <w:p>
            <w:pPr>
              <w:jc w:val="right"/>
              <w:spacing w:after="0" w:line="126" w:lineRule="exact"/>
              <w:rPr>
                <w:sz w:val="20"/>
                <w:szCs w:val="20"/>
                <w:color w:val="auto"/>
              </w:rPr>
            </w:pPr>
            <w:r>
              <w:rPr>
                <w:rFonts w:ascii="Arial" w:cs="Arial" w:eastAsia="Arial" w:hAnsi="Arial"/>
                <w:sz w:val="12"/>
                <w:szCs w:val="12"/>
                <w:color w:val="auto"/>
              </w:rPr>
              <w:t>117</w:t>
            </w:r>
          </w:p>
        </w:tc>
        <w:tc>
          <w:tcPr>
            <w:tcW w:w="1140" w:type="dxa"/>
            <w:vAlign w:val="bottom"/>
          </w:tcPr>
          <w:p>
            <w:pPr>
              <w:jc w:val="right"/>
              <w:ind w:right="999"/>
              <w:spacing w:after="0" w:line="126" w:lineRule="exact"/>
              <w:rPr>
                <w:sz w:val="20"/>
                <w:szCs w:val="20"/>
                <w:color w:val="auto"/>
              </w:rPr>
            </w:pPr>
            <w:r>
              <w:rPr>
                <w:rFonts w:ascii="Arial" w:cs="Arial" w:eastAsia="Arial" w:hAnsi="Arial"/>
                <w:sz w:val="12"/>
                <w:szCs w:val="12"/>
                <w:color w:val="auto"/>
                <w:w w:val="89"/>
              </w:rPr>
              <w:t>$</w:t>
            </w:r>
          </w:p>
        </w:tc>
        <w:tc>
          <w:tcPr>
            <w:tcW w:w="560" w:type="dxa"/>
            <w:vAlign w:val="bottom"/>
          </w:tcPr>
          <w:p>
            <w:pPr>
              <w:jc w:val="right"/>
              <w:ind w:right="178"/>
              <w:spacing w:after="0" w:line="126" w:lineRule="exact"/>
              <w:rPr>
                <w:sz w:val="20"/>
                <w:szCs w:val="20"/>
                <w:color w:val="auto"/>
              </w:rPr>
            </w:pPr>
            <w:r>
              <w:rPr>
                <w:rFonts w:ascii="Arial" w:cs="Arial" w:eastAsia="Arial" w:hAnsi="Arial"/>
                <w:sz w:val="12"/>
                <w:szCs w:val="12"/>
                <w:color w:val="auto"/>
              </w:rPr>
              <w:t>75</w:t>
            </w:r>
          </w:p>
        </w:tc>
        <w:tc>
          <w:tcPr>
            <w:tcW w:w="1140" w:type="dxa"/>
            <w:vAlign w:val="bottom"/>
          </w:tcPr>
          <w:p>
            <w:pPr>
              <w:jc w:val="right"/>
              <w:spacing w:after="0" w:line="126" w:lineRule="exact"/>
              <w:rPr>
                <w:sz w:val="20"/>
                <w:szCs w:val="20"/>
                <w:color w:val="auto"/>
              </w:rPr>
            </w:pPr>
            <w:r>
              <w:rPr>
                <w:rFonts w:ascii="Arial" w:cs="Arial" w:eastAsia="Arial" w:hAnsi="Arial"/>
                <w:sz w:val="12"/>
                <w:szCs w:val="12"/>
                <w:color w:val="auto"/>
              </w:rPr>
              <w:t>249</w:t>
            </w:r>
          </w:p>
        </w:tc>
        <w:tc>
          <w:tcPr>
            <w:tcW w:w="360" w:type="dxa"/>
            <w:vAlign w:val="bottom"/>
          </w:tcPr>
          <w:p>
            <w:pPr>
              <w:spacing w:after="0"/>
              <w:rPr>
                <w:sz w:val="10"/>
                <w:szCs w:val="10"/>
                <w:color w:val="auto"/>
              </w:rPr>
            </w:pPr>
          </w:p>
        </w:tc>
        <w:tc>
          <w:tcPr>
            <w:tcW w:w="1140" w:type="dxa"/>
            <w:vAlign w:val="bottom"/>
          </w:tcPr>
          <w:p>
            <w:pPr>
              <w:jc w:val="right"/>
              <w:spacing w:after="0" w:line="126" w:lineRule="exact"/>
              <w:rPr>
                <w:sz w:val="20"/>
                <w:szCs w:val="20"/>
                <w:color w:val="auto"/>
              </w:rPr>
            </w:pPr>
            <w:r>
              <w:rPr>
                <w:rFonts w:ascii="Arial" w:cs="Arial" w:eastAsia="Arial" w:hAnsi="Arial"/>
                <w:sz w:val="12"/>
                <w:szCs w:val="12"/>
                <w:color w:val="auto"/>
              </w:rPr>
              <w:t>1,344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940" w:type="dxa"/>
            <w:vAlign w:val="bottom"/>
          </w:tcPr>
          <w:p>
            <w:pPr>
              <w:ind w:left="120"/>
              <w:spacing w:after="0" w:line="134" w:lineRule="exact"/>
              <w:rPr>
                <w:sz w:val="20"/>
                <w:szCs w:val="20"/>
                <w:color w:val="auto"/>
              </w:rPr>
            </w:pPr>
            <w:r>
              <w:rPr>
                <w:rFonts w:ascii="Arial" w:cs="Arial" w:eastAsia="Arial" w:hAnsi="Arial"/>
                <w:sz w:val="12"/>
                <w:szCs w:val="12"/>
                <w:color w:val="auto"/>
              </w:rPr>
              <w:t>Other revenues</w:t>
            </w:r>
          </w:p>
        </w:tc>
        <w:tc>
          <w:tcPr>
            <w:tcW w:w="1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34" w:lineRule="exact"/>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40" w:type="dxa"/>
            <w:vAlign w:val="bottom"/>
          </w:tcPr>
          <w:p>
            <w:pPr>
              <w:ind w:left="120"/>
              <w:spacing w:after="0"/>
              <w:rPr>
                <w:sz w:val="20"/>
                <w:szCs w:val="20"/>
                <w:color w:val="auto"/>
              </w:rPr>
            </w:pPr>
            <w:r>
              <w:rPr>
                <w:rFonts w:ascii="Arial" w:cs="Arial" w:eastAsia="Arial" w:hAnsi="Arial"/>
                <w:sz w:val="12"/>
                <w:szCs w:val="12"/>
                <w:color w:val="auto"/>
              </w:rPr>
              <w:t>Balancing accounts</w:t>
            </w:r>
          </w:p>
        </w:tc>
        <w:tc>
          <w:tcPr>
            <w:tcW w:w="1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Borders>
              <w:bottom w:val="single" w:sz="8" w:color="auto"/>
            </w:tcBorders>
          </w:tcPr>
          <w:p>
            <w:pPr>
              <w:ind w:left="260"/>
              <w:spacing w:after="0" w:line="134" w:lineRule="exact"/>
              <w:rPr>
                <w:sz w:val="20"/>
                <w:szCs w:val="20"/>
                <w:color w:val="auto"/>
              </w:rPr>
            </w:pPr>
            <w:r>
              <w:rPr>
                <w:rFonts w:ascii="Arial" w:cs="Arial" w:eastAsia="Arial" w:hAnsi="Arial"/>
                <w:sz w:val="12"/>
                <w:szCs w:val="12"/>
                <w:color w:val="auto"/>
              </w:rPr>
              <w:t>Total</w:t>
            </w:r>
          </w:p>
        </w:tc>
        <w:tc>
          <w:tcPr>
            <w:tcW w:w="13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218"/>
              <w:spacing w:after="0" w:line="134" w:lineRule="exact"/>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1,350</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20"/>
        <w:spacing w:after="0" w:line="267" w:lineRule="auto"/>
        <w:rPr>
          <w:sz w:val="20"/>
          <w:szCs w:val="20"/>
          <w:color w:val="auto"/>
        </w:rPr>
      </w:pPr>
      <w:r>
        <w:rPr>
          <w:rFonts w:ascii="Arial" w:cs="Arial" w:eastAsia="Arial" w:hAnsi="Arial"/>
          <w:sz w:val="14"/>
          <w:szCs w:val="14"/>
          <w:color w:val="auto"/>
        </w:rPr>
        <w:t>During the three months ended March 31, 2011, our natural gas revenues decreased by $132 million (10%) to $1.2 billion, and the cost of natural gas decreased by $149 million (20%) to $609 million, due primarily to lower natural gas prices in 2011. We discuss the changes in the cost of natural gas individually for SDG&amp;E and SoCalGas below.</w:t>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255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9005" cy="25590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NATURAL GAS SALES AND TRANSPORTATION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960" w:type="dxa"/>
            <w:vAlign w:val="bottom"/>
            <w:gridSpan w:val="2"/>
          </w:tcPr>
          <w:p>
            <w:pPr>
              <w:spacing w:after="0"/>
              <w:rPr>
                <w:sz w:val="20"/>
                <w:szCs w:val="20"/>
                <w:color w:val="auto"/>
              </w:rPr>
            </w:pPr>
            <w:r>
              <w:rPr>
                <w:rFonts w:ascii="Arial" w:cs="Arial" w:eastAsia="Arial" w:hAnsi="Arial"/>
                <w:sz w:val="11"/>
                <w:szCs w:val="11"/>
                <w:i w:val="1"/>
                <w:iCs w:val="1"/>
                <w:color w:val="auto"/>
              </w:rPr>
              <w:t>(Volumes in billion cubic feet, dollars in millions)</w:t>
            </w:r>
          </w:p>
        </w:tc>
        <w:tc>
          <w:tcPr>
            <w:tcW w:w="1860" w:type="dxa"/>
            <w:vAlign w:val="bottom"/>
            <w:gridSpan w:val="2"/>
            <w:vMerge w:val="restart"/>
          </w:tcPr>
          <w:p>
            <w:pPr>
              <w:jc w:val="right"/>
              <w:spacing w:after="0"/>
              <w:rPr>
                <w:sz w:val="20"/>
                <w:szCs w:val="20"/>
                <w:color w:val="auto"/>
              </w:rPr>
            </w:pPr>
            <w:r>
              <w:rPr>
                <w:rFonts w:ascii="Arial" w:cs="Arial" w:eastAsia="Arial" w:hAnsi="Arial"/>
                <w:sz w:val="11"/>
                <w:szCs w:val="11"/>
                <w:color w:val="auto"/>
              </w:rPr>
              <w:t>Natural Gas Sales</w:t>
            </w:r>
          </w:p>
        </w:tc>
        <w:tc>
          <w:tcPr>
            <w:tcW w:w="1180" w:type="dxa"/>
            <w:vAlign w:val="bottom"/>
          </w:tcPr>
          <w:p>
            <w:pPr>
              <w:spacing w:after="0"/>
              <w:rPr>
                <w:sz w:val="12"/>
                <w:szCs w:val="12"/>
                <w:color w:val="auto"/>
              </w:rPr>
            </w:pPr>
          </w:p>
        </w:tc>
        <w:tc>
          <w:tcPr>
            <w:tcW w:w="2280" w:type="dxa"/>
            <w:vAlign w:val="bottom"/>
            <w:gridSpan w:val="2"/>
            <w:vMerge w:val="restart"/>
          </w:tcPr>
          <w:p>
            <w:pPr>
              <w:jc w:val="right"/>
              <w:ind w:right="660"/>
              <w:spacing w:after="0"/>
              <w:rPr>
                <w:sz w:val="20"/>
                <w:szCs w:val="20"/>
                <w:color w:val="auto"/>
              </w:rPr>
            </w:pPr>
            <w:r>
              <w:rPr>
                <w:rFonts w:ascii="Arial" w:cs="Arial" w:eastAsia="Arial" w:hAnsi="Arial"/>
                <w:sz w:val="11"/>
                <w:szCs w:val="11"/>
                <w:color w:val="auto"/>
              </w:rPr>
              <w:t>Transportation</w:t>
            </w:r>
          </w:p>
        </w:tc>
        <w:tc>
          <w:tcPr>
            <w:tcW w:w="540" w:type="dxa"/>
            <w:vAlign w:val="bottom"/>
          </w:tcPr>
          <w:p>
            <w:pPr>
              <w:spacing w:after="0"/>
              <w:rPr>
                <w:sz w:val="12"/>
                <w:szCs w:val="12"/>
                <w:color w:val="auto"/>
              </w:rPr>
            </w:pPr>
          </w:p>
        </w:tc>
        <w:tc>
          <w:tcPr>
            <w:tcW w:w="1500" w:type="dxa"/>
            <w:vAlign w:val="bottom"/>
            <w:gridSpan w:val="2"/>
            <w:vMerge w:val="restart"/>
          </w:tcPr>
          <w:p>
            <w:pPr>
              <w:jc w:val="right"/>
              <w:ind w:right="98"/>
              <w:spacing w:after="0"/>
              <w:rPr>
                <w:sz w:val="20"/>
                <w:szCs w:val="20"/>
                <w:color w:val="auto"/>
              </w:rPr>
            </w:pPr>
            <w:r>
              <w:rPr>
                <w:rFonts w:ascii="Arial" w:cs="Arial" w:eastAsia="Arial" w:hAnsi="Arial"/>
                <w:sz w:val="11"/>
                <w:szCs w:val="11"/>
                <w:color w:val="auto"/>
              </w:rPr>
              <w:t>Total</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860" w:type="dxa"/>
            <w:vAlign w:val="bottom"/>
            <w:tcBorders>
              <w:bottom w:val="single" w:sz="8" w:color="auto"/>
            </w:tcBorders>
            <w:gridSpan w:val="2"/>
            <w:vMerge w:val="continue"/>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gridSpan w:val="2"/>
            <w:vMerge w:val="continue"/>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gridSpan w:val="2"/>
            <w:vMerge w:val="continue"/>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960" w:type="dxa"/>
            <w:vAlign w:val="bottom"/>
            <w:tcBorders>
              <w:bottom w:val="single" w:sz="8" w:color="auto"/>
            </w:tcBorders>
            <w:gridSpan w:val="2"/>
          </w:tcPr>
          <w:p>
            <w:pPr>
              <w:spacing w:after="0" w:line="124" w:lineRule="exact"/>
              <w:rPr>
                <w:sz w:val="20"/>
                <w:szCs w:val="20"/>
                <w:color w:val="auto"/>
              </w:rPr>
            </w:pPr>
            <w:r>
              <w:rPr>
                <w:rFonts w:ascii="Arial" w:cs="Arial" w:eastAsia="Arial" w:hAnsi="Arial"/>
                <w:sz w:val="11"/>
                <w:szCs w:val="11"/>
                <w:color w:val="auto"/>
              </w:rPr>
              <w:t>Customer class</w:t>
            </w:r>
          </w:p>
        </w:tc>
        <w:tc>
          <w:tcPr>
            <w:tcW w:w="1340" w:type="dxa"/>
            <w:vAlign w:val="bottom"/>
            <w:tcBorders>
              <w:bottom w:val="single" w:sz="8" w:color="auto"/>
            </w:tcBorders>
          </w:tcPr>
          <w:p>
            <w:pPr>
              <w:jc w:val="right"/>
              <w:ind w:right="379"/>
              <w:spacing w:after="0" w:line="124" w:lineRule="exact"/>
              <w:rPr>
                <w:sz w:val="20"/>
                <w:szCs w:val="20"/>
                <w:color w:val="auto"/>
              </w:rPr>
            </w:pPr>
            <w:r>
              <w:rPr>
                <w:rFonts w:ascii="Arial" w:cs="Arial" w:eastAsia="Arial" w:hAnsi="Arial"/>
                <w:sz w:val="11"/>
                <w:szCs w:val="11"/>
                <w:color w:val="auto"/>
              </w:rPr>
              <w:t>Volumes</w:t>
            </w:r>
          </w:p>
        </w:tc>
        <w:tc>
          <w:tcPr>
            <w:tcW w:w="5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659"/>
              <w:spacing w:after="0" w:line="124" w:lineRule="exact"/>
              <w:rPr>
                <w:sz w:val="20"/>
                <w:szCs w:val="20"/>
                <w:color w:val="auto"/>
              </w:rPr>
            </w:pPr>
            <w:r>
              <w:rPr>
                <w:rFonts w:ascii="Arial" w:cs="Arial" w:eastAsia="Arial" w:hAnsi="Arial"/>
                <w:sz w:val="11"/>
                <w:szCs w:val="11"/>
                <w:color w:val="auto"/>
                <w:w w:val="99"/>
              </w:rPr>
              <w:t>Revenue</w:t>
            </w:r>
          </w:p>
        </w:tc>
        <w:tc>
          <w:tcPr>
            <w:tcW w:w="1120" w:type="dxa"/>
            <w:vAlign w:val="bottom"/>
            <w:tcBorders>
              <w:bottom w:val="single" w:sz="8" w:color="auto"/>
            </w:tcBorders>
          </w:tcPr>
          <w:p>
            <w:pPr>
              <w:jc w:val="right"/>
              <w:ind w:right="379"/>
              <w:spacing w:after="0" w:line="124" w:lineRule="exact"/>
              <w:rPr>
                <w:sz w:val="20"/>
                <w:szCs w:val="20"/>
                <w:color w:val="auto"/>
              </w:rPr>
            </w:pPr>
            <w:r>
              <w:rPr>
                <w:rFonts w:ascii="Arial" w:cs="Arial" w:eastAsia="Arial" w:hAnsi="Arial"/>
                <w:sz w:val="11"/>
                <w:szCs w:val="11"/>
                <w:color w:val="auto"/>
              </w:rPr>
              <w:t>Volumes</w:t>
            </w:r>
          </w:p>
        </w:tc>
        <w:tc>
          <w:tcPr>
            <w:tcW w:w="1160" w:type="dxa"/>
            <w:vAlign w:val="bottom"/>
            <w:tcBorders>
              <w:bottom w:val="single" w:sz="8" w:color="auto"/>
            </w:tcBorders>
          </w:tcPr>
          <w:p>
            <w:pPr>
              <w:jc w:val="right"/>
              <w:ind w:right="120"/>
              <w:spacing w:after="0" w:line="124" w:lineRule="exact"/>
              <w:rPr>
                <w:sz w:val="20"/>
                <w:szCs w:val="20"/>
                <w:color w:val="auto"/>
              </w:rPr>
            </w:pPr>
            <w:r>
              <w:rPr>
                <w:rFonts w:ascii="Arial" w:cs="Arial" w:eastAsia="Arial" w:hAnsi="Arial"/>
                <w:sz w:val="11"/>
                <w:szCs w:val="11"/>
                <w:color w:val="auto"/>
              </w:rPr>
              <w:t>Revenue</w:t>
            </w:r>
          </w:p>
        </w:tc>
        <w:tc>
          <w:tcPr>
            <w:tcW w:w="5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399"/>
              <w:spacing w:after="0" w:line="124" w:lineRule="exact"/>
              <w:rPr>
                <w:sz w:val="20"/>
                <w:szCs w:val="20"/>
                <w:color w:val="auto"/>
              </w:rPr>
            </w:pPr>
            <w:r>
              <w:rPr>
                <w:rFonts w:ascii="Arial" w:cs="Arial" w:eastAsia="Arial" w:hAnsi="Arial"/>
                <w:sz w:val="11"/>
                <w:szCs w:val="11"/>
                <w:color w:val="auto"/>
              </w:rPr>
              <w:t>Volumes</w:t>
            </w: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458"/>
              <w:spacing w:after="0" w:line="124" w:lineRule="exact"/>
              <w:rPr>
                <w:sz w:val="20"/>
                <w:szCs w:val="20"/>
                <w:color w:val="auto"/>
              </w:rPr>
            </w:pPr>
            <w:r>
              <w:rPr>
                <w:rFonts w:ascii="Arial" w:cs="Arial" w:eastAsia="Arial" w:hAnsi="Arial"/>
                <w:sz w:val="11"/>
                <w:szCs w:val="11"/>
                <w:color w:val="auto"/>
              </w:rPr>
              <w:t>Revenue</w:t>
            </w:r>
          </w:p>
        </w:tc>
        <w:tc>
          <w:tcPr>
            <w:tcW w:w="0" w:type="dxa"/>
            <w:vAlign w:val="bottom"/>
          </w:tcPr>
          <w:p>
            <w:pPr>
              <w:spacing w:after="0"/>
              <w:rPr>
                <w:sz w:val="1"/>
                <w:szCs w:val="1"/>
                <w:color w:val="auto"/>
              </w:rPr>
            </w:pPr>
          </w:p>
        </w:tc>
      </w:tr>
      <w:tr>
        <w:trPr>
          <w:trHeight w:val="125"/>
        </w:trPr>
        <w:tc>
          <w:tcPr>
            <w:tcW w:w="2960" w:type="dxa"/>
            <w:vAlign w:val="bottom"/>
            <w:gridSpan w:val="2"/>
          </w:tcPr>
          <w:p>
            <w:pPr>
              <w:spacing w:after="0" w:line="126" w:lineRule="exact"/>
              <w:rPr>
                <w:sz w:val="20"/>
                <w:szCs w:val="20"/>
                <w:color w:val="auto"/>
              </w:rPr>
            </w:pPr>
            <w:r>
              <w:rPr>
                <w:rFonts w:ascii="Arial" w:cs="Arial" w:eastAsia="Arial" w:hAnsi="Arial"/>
                <w:sz w:val="12"/>
                <w:szCs w:val="12"/>
                <w:color w:val="auto"/>
              </w:rPr>
              <w:t>2011:</w:t>
            </w:r>
          </w:p>
        </w:tc>
        <w:tc>
          <w:tcPr>
            <w:tcW w:w="1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940" w:type="dxa"/>
            <w:vAlign w:val="bottom"/>
          </w:tcPr>
          <w:p>
            <w:pPr>
              <w:ind w:left="120"/>
              <w:spacing w:after="0" w:line="134" w:lineRule="exact"/>
              <w:rPr>
                <w:sz w:val="20"/>
                <w:szCs w:val="20"/>
                <w:color w:val="auto"/>
              </w:rPr>
            </w:pPr>
            <w:r>
              <w:rPr>
                <w:rFonts w:ascii="Arial" w:cs="Arial" w:eastAsia="Arial" w:hAnsi="Arial"/>
                <w:sz w:val="12"/>
                <w:szCs w:val="12"/>
                <w:color w:val="auto"/>
              </w:rPr>
              <w:t>Residential</w:t>
            </w:r>
          </w:p>
        </w:tc>
        <w:tc>
          <w:tcPr>
            <w:tcW w:w="1340" w:type="dxa"/>
            <w:vAlign w:val="bottom"/>
          </w:tcPr>
          <w:p>
            <w:pPr>
              <w:jc w:val="right"/>
              <w:spacing w:after="0" w:line="134" w:lineRule="exact"/>
              <w:rPr>
                <w:sz w:val="20"/>
                <w:szCs w:val="20"/>
                <w:color w:val="auto"/>
              </w:rPr>
            </w:pPr>
            <w:r>
              <w:rPr>
                <w:rFonts w:ascii="Arial" w:cs="Arial" w:eastAsia="Arial" w:hAnsi="Arial"/>
                <w:sz w:val="12"/>
                <w:szCs w:val="12"/>
                <w:color w:val="auto"/>
              </w:rPr>
              <w:t>12</w:t>
            </w:r>
          </w:p>
        </w:tc>
        <w:tc>
          <w:tcPr>
            <w:tcW w:w="520" w:type="dxa"/>
            <w:vAlign w:val="bottom"/>
          </w:tcPr>
          <w:p>
            <w:pPr>
              <w:jc w:val="right"/>
              <w:ind w:right="378"/>
              <w:spacing w:after="0" w:line="134" w:lineRule="exact"/>
              <w:rPr>
                <w:sz w:val="20"/>
                <w:szCs w:val="20"/>
                <w:color w:val="auto"/>
              </w:rPr>
            </w:pPr>
            <w:r>
              <w:rPr>
                <w:rFonts w:ascii="Arial" w:cs="Arial" w:eastAsia="Arial" w:hAnsi="Arial"/>
                <w:sz w:val="12"/>
                <w:szCs w:val="12"/>
                <w:color w:val="auto"/>
                <w:w w:val="89"/>
              </w:rPr>
              <w:t>$</w:t>
            </w:r>
          </w:p>
        </w:tc>
        <w:tc>
          <w:tcPr>
            <w:tcW w:w="1180" w:type="dxa"/>
            <w:vAlign w:val="bottom"/>
          </w:tcPr>
          <w:p>
            <w:pPr>
              <w:jc w:val="right"/>
              <w:ind w:right="179"/>
              <w:spacing w:after="0" w:line="134" w:lineRule="exact"/>
              <w:rPr>
                <w:sz w:val="20"/>
                <w:szCs w:val="20"/>
                <w:color w:val="auto"/>
              </w:rPr>
            </w:pPr>
            <w:r>
              <w:rPr>
                <w:rFonts w:ascii="Arial" w:cs="Arial" w:eastAsia="Arial" w:hAnsi="Arial"/>
                <w:sz w:val="12"/>
                <w:szCs w:val="12"/>
                <w:color w:val="auto"/>
              </w:rPr>
              <w:t>133</w:t>
            </w:r>
          </w:p>
        </w:tc>
        <w:tc>
          <w:tcPr>
            <w:tcW w:w="2280" w:type="dxa"/>
            <w:vAlign w:val="bottom"/>
            <w:gridSpan w:val="2"/>
          </w:tcPr>
          <w:p>
            <w:pPr>
              <w:jc w:val="right"/>
              <w:ind w:right="1020"/>
              <w:spacing w:after="0" w:line="134" w:lineRule="exact"/>
              <w:rPr>
                <w:sz w:val="20"/>
                <w:szCs w:val="20"/>
                <w:color w:val="auto"/>
              </w:rPr>
            </w:pPr>
            <w:r>
              <w:rPr>
                <w:rFonts w:ascii="Arial" w:cs="Arial" w:eastAsia="Arial" w:hAnsi="Arial"/>
                <w:sz w:val="12"/>
                <w:szCs w:val="12"/>
                <w:color w:val="auto"/>
              </w:rPr>
              <w:t>― $</w:t>
            </w:r>
          </w:p>
        </w:tc>
        <w:tc>
          <w:tcPr>
            <w:tcW w:w="54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w:t>
            </w:r>
          </w:p>
        </w:tc>
        <w:tc>
          <w:tcPr>
            <w:tcW w:w="1140" w:type="dxa"/>
            <w:vAlign w:val="bottom"/>
          </w:tcPr>
          <w:p>
            <w:pPr>
              <w:jc w:val="right"/>
              <w:spacing w:after="0" w:line="134" w:lineRule="exact"/>
              <w:rPr>
                <w:sz w:val="20"/>
                <w:szCs w:val="20"/>
                <w:color w:val="auto"/>
              </w:rPr>
            </w:pPr>
            <w:r>
              <w:rPr>
                <w:rFonts w:ascii="Arial" w:cs="Arial" w:eastAsia="Arial" w:hAnsi="Arial"/>
                <w:sz w:val="12"/>
                <w:szCs w:val="12"/>
                <w:color w:val="auto"/>
              </w:rPr>
              <w:t>12</w:t>
            </w:r>
          </w:p>
        </w:tc>
        <w:tc>
          <w:tcPr>
            <w:tcW w:w="360" w:type="dxa"/>
            <w:vAlign w:val="bottom"/>
          </w:tcPr>
          <w:p>
            <w:pPr>
              <w:jc w:val="right"/>
              <w:ind w:right="218"/>
              <w:spacing w:after="0" w:line="134" w:lineRule="exact"/>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line="134" w:lineRule="exact"/>
              <w:rPr>
                <w:sz w:val="20"/>
                <w:szCs w:val="20"/>
                <w:color w:val="auto"/>
              </w:rPr>
            </w:pPr>
            <w:r>
              <w:rPr>
                <w:rFonts w:ascii="Arial" w:cs="Arial" w:eastAsia="Arial" w:hAnsi="Arial"/>
                <w:sz w:val="12"/>
                <w:szCs w:val="12"/>
                <w:color w:val="auto"/>
              </w:rPr>
              <w:t>133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940" w:type="dxa"/>
            <w:vAlign w:val="bottom"/>
          </w:tcPr>
          <w:p>
            <w:pPr>
              <w:ind w:left="120"/>
              <w:spacing w:after="0" w:line="134" w:lineRule="exact"/>
              <w:rPr>
                <w:sz w:val="20"/>
                <w:szCs w:val="20"/>
                <w:color w:val="auto"/>
              </w:rPr>
            </w:pPr>
            <w:r>
              <w:rPr>
                <w:rFonts w:ascii="Arial" w:cs="Arial" w:eastAsia="Arial" w:hAnsi="Arial"/>
                <w:sz w:val="12"/>
                <w:szCs w:val="12"/>
                <w:color w:val="auto"/>
              </w:rPr>
              <w:t>Commercial and industrial</w:t>
            </w:r>
          </w:p>
        </w:tc>
        <w:tc>
          <w:tcPr>
            <w:tcW w:w="1340" w:type="dxa"/>
            <w:vAlign w:val="bottom"/>
          </w:tcPr>
          <w:p>
            <w:pPr>
              <w:jc w:val="right"/>
              <w:spacing w:after="0" w:line="134" w:lineRule="exact"/>
              <w:rPr>
                <w:sz w:val="20"/>
                <w:szCs w:val="20"/>
                <w:color w:val="auto"/>
              </w:rPr>
            </w:pPr>
            <w:r>
              <w:rPr>
                <w:rFonts w:ascii="Arial" w:cs="Arial" w:eastAsia="Arial" w:hAnsi="Arial"/>
                <w:sz w:val="12"/>
                <w:szCs w:val="12"/>
                <w:color w:val="auto"/>
              </w:rPr>
              <w:t>5</w:t>
            </w:r>
          </w:p>
        </w:tc>
        <w:tc>
          <w:tcPr>
            <w:tcW w:w="520" w:type="dxa"/>
            <w:vAlign w:val="bottom"/>
          </w:tcPr>
          <w:p>
            <w:pPr>
              <w:spacing w:after="0"/>
              <w:rPr>
                <w:sz w:val="11"/>
                <w:szCs w:val="11"/>
                <w:color w:val="auto"/>
              </w:rPr>
            </w:pPr>
          </w:p>
        </w:tc>
        <w:tc>
          <w:tcPr>
            <w:tcW w:w="1180" w:type="dxa"/>
            <w:vAlign w:val="bottom"/>
          </w:tcPr>
          <w:p>
            <w:pPr>
              <w:jc w:val="right"/>
              <w:ind w:right="179"/>
              <w:spacing w:after="0" w:line="134" w:lineRule="exact"/>
              <w:rPr>
                <w:sz w:val="20"/>
                <w:szCs w:val="20"/>
                <w:color w:val="auto"/>
              </w:rPr>
            </w:pPr>
            <w:r>
              <w:rPr>
                <w:rFonts w:ascii="Arial" w:cs="Arial" w:eastAsia="Arial" w:hAnsi="Arial"/>
                <w:sz w:val="12"/>
                <w:szCs w:val="12"/>
                <w:color w:val="auto"/>
              </w:rPr>
              <w:t>33</w:t>
            </w:r>
          </w:p>
        </w:tc>
        <w:tc>
          <w:tcPr>
            <w:tcW w:w="112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c>
          <w:tcPr>
            <w:tcW w:w="1160" w:type="dxa"/>
            <w:vAlign w:val="bottom"/>
          </w:tcPr>
          <w:p>
            <w:pPr>
              <w:spacing w:after="0"/>
              <w:rPr>
                <w:sz w:val="11"/>
                <w:szCs w:val="11"/>
                <w:color w:val="auto"/>
              </w:rPr>
            </w:pPr>
          </w:p>
        </w:tc>
        <w:tc>
          <w:tcPr>
            <w:tcW w:w="54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3</w:t>
            </w:r>
          </w:p>
        </w:tc>
        <w:tc>
          <w:tcPr>
            <w:tcW w:w="1140" w:type="dxa"/>
            <w:vAlign w:val="bottom"/>
          </w:tcPr>
          <w:p>
            <w:pPr>
              <w:jc w:val="right"/>
              <w:spacing w:after="0" w:line="134" w:lineRule="exact"/>
              <w:rPr>
                <w:sz w:val="20"/>
                <w:szCs w:val="20"/>
                <w:color w:val="auto"/>
              </w:rPr>
            </w:pPr>
            <w:r>
              <w:rPr>
                <w:rFonts w:ascii="Arial" w:cs="Arial" w:eastAsia="Arial" w:hAnsi="Arial"/>
                <w:sz w:val="12"/>
                <w:szCs w:val="12"/>
                <w:color w:val="auto"/>
              </w:rPr>
              <w:t>7</w:t>
            </w:r>
          </w:p>
        </w:tc>
        <w:tc>
          <w:tcPr>
            <w:tcW w:w="360" w:type="dxa"/>
            <w:vAlign w:val="bottom"/>
          </w:tcPr>
          <w:p>
            <w:pPr>
              <w:spacing w:after="0"/>
              <w:rPr>
                <w:sz w:val="11"/>
                <w:szCs w:val="11"/>
                <w:color w:val="auto"/>
              </w:rPr>
            </w:pPr>
          </w:p>
        </w:tc>
        <w:tc>
          <w:tcPr>
            <w:tcW w:w="1140" w:type="dxa"/>
            <w:vAlign w:val="bottom"/>
          </w:tcPr>
          <w:p>
            <w:pPr>
              <w:jc w:val="right"/>
              <w:spacing w:after="0" w:line="134" w:lineRule="exact"/>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40" w:type="dxa"/>
            <w:vAlign w:val="bottom"/>
          </w:tcPr>
          <w:p>
            <w:pPr>
              <w:ind w:left="120"/>
              <w:spacing w:after="0"/>
              <w:rPr>
                <w:sz w:val="20"/>
                <w:szCs w:val="20"/>
                <w:color w:val="auto"/>
              </w:rPr>
            </w:pPr>
            <w:r>
              <w:rPr>
                <w:rFonts w:ascii="Arial" w:cs="Arial" w:eastAsia="Arial" w:hAnsi="Arial"/>
                <w:sz w:val="12"/>
                <w:szCs w:val="12"/>
                <w:color w:val="auto"/>
              </w:rPr>
              <w:t>Electric generation plants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1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340" w:type="dxa"/>
            <w:vAlign w:val="bottom"/>
          </w:tcPr>
          <w:p>
            <w:pPr>
              <w:jc w:val="right"/>
              <w:spacing w:after="0" w:line="126" w:lineRule="exact"/>
              <w:rPr>
                <w:sz w:val="20"/>
                <w:szCs w:val="20"/>
                <w:color w:val="auto"/>
              </w:rPr>
            </w:pPr>
            <w:r>
              <w:rPr>
                <w:rFonts w:ascii="Arial" w:cs="Arial" w:eastAsia="Arial" w:hAnsi="Arial"/>
                <w:sz w:val="12"/>
                <w:szCs w:val="12"/>
                <w:color w:val="auto"/>
              </w:rPr>
              <w:t>17</w:t>
            </w:r>
          </w:p>
        </w:tc>
        <w:tc>
          <w:tcPr>
            <w:tcW w:w="520" w:type="dxa"/>
            <w:vAlign w:val="bottom"/>
          </w:tcPr>
          <w:p>
            <w:pPr>
              <w:jc w:val="right"/>
              <w:ind w:right="378"/>
              <w:spacing w:after="0" w:line="126" w:lineRule="exact"/>
              <w:rPr>
                <w:sz w:val="20"/>
                <w:szCs w:val="20"/>
                <w:color w:val="auto"/>
              </w:rPr>
            </w:pPr>
            <w:r>
              <w:rPr>
                <w:rFonts w:ascii="Arial" w:cs="Arial" w:eastAsia="Arial" w:hAnsi="Arial"/>
                <w:sz w:val="12"/>
                <w:szCs w:val="12"/>
                <w:color w:val="auto"/>
                <w:w w:val="89"/>
              </w:rPr>
              <w:t>$</w:t>
            </w:r>
          </w:p>
        </w:tc>
        <w:tc>
          <w:tcPr>
            <w:tcW w:w="1180" w:type="dxa"/>
            <w:vAlign w:val="bottom"/>
          </w:tcPr>
          <w:p>
            <w:pPr>
              <w:jc w:val="right"/>
              <w:ind w:right="179"/>
              <w:spacing w:after="0" w:line="126" w:lineRule="exact"/>
              <w:rPr>
                <w:sz w:val="20"/>
                <w:szCs w:val="20"/>
                <w:color w:val="auto"/>
              </w:rPr>
            </w:pPr>
            <w:r>
              <w:rPr>
                <w:rFonts w:ascii="Arial" w:cs="Arial" w:eastAsia="Arial" w:hAnsi="Arial"/>
                <w:sz w:val="12"/>
                <w:szCs w:val="12"/>
                <w:color w:val="auto"/>
              </w:rPr>
              <w:t>166</w:t>
            </w:r>
          </w:p>
        </w:tc>
        <w:tc>
          <w:tcPr>
            <w:tcW w:w="1120" w:type="dxa"/>
            <w:vAlign w:val="bottom"/>
          </w:tcPr>
          <w:p>
            <w:pPr>
              <w:jc w:val="right"/>
              <w:spacing w:after="0" w:line="126" w:lineRule="exact"/>
              <w:rPr>
                <w:sz w:val="20"/>
                <w:szCs w:val="20"/>
                <w:color w:val="auto"/>
              </w:rPr>
            </w:pPr>
            <w:r>
              <w:rPr>
                <w:rFonts w:ascii="Arial" w:cs="Arial" w:eastAsia="Arial" w:hAnsi="Arial"/>
                <w:sz w:val="12"/>
                <w:szCs w:val="12"/>
                <w:color w:val="auto"/>
              </w:rPr>
              <w:t>7</w:t>
            </w:r>
          </w:p>
        </w:tc>
        <w:tc>
          <w:tcPr>
            <w:tcW w:w="1160" w:type="dxa"/>
            <w:vAlign w:val="bottom"/>
          </w:tcPr>
          <w:p>
            <w:pPr>
              <w:jc w:val="right"/>
              <w:ind w:right="1020"/>
              <w:spacing w:after="0" w:line="126" w:lineRule="exact"/>
              <w:rPr>
                <w:sz w:val="20"/>
                <w:szCs w:val="20"/>
                <w:color w:val="auto"/>
              </w:rPr>
            </w:pPr>
            <w:r>
              <w:rPr>
                <w:rFonts w:ascii="Arial" w:cs="Arial" w:eastAsia="Arial" w:hAnsi="Arial"/>
                <w:sz w:val="12"/>
                <w:szCs w:val="12"/>
                <w:color w:val="auto"/>
                <w:w w:val="89"/>
              </w:rPr>
              <w:t>$</w:t>
            </w:r>
          </w:p>
        </w:tc>
        <w:tc>
          <w:tcPr>
            <w:tcW w:w="540" w:type="dxa"/>
            <w:vAlign w:val="bottom"/>
          </w:tcPr>
          <w:p>
            <w:pPr>
              <w:jc w:val="right"/>
              <w:ind w:right="178"/>
              <w:spacing w:after="0" w:line="126" w:lineRule="exact"/>
              <w:rPr>
                <w:sz w:val="20"/>
                <w:szCs w:val="20"/>
                <w:color w:val="auto"/>
              </w:rPr>
            </w:pPr>
            <w:r>
              <w:rPr>
                <w:rFonts w:ascii="Arial" w:cs="Arial" w:eastAsia="Arial" w:hAnsi="Arial"/>
                <w:sz w:val="12"/>
                <w:szCs w:val="12"/>
                <w:color w:val="auto"/>
              </w:rPr>
              <w:t>5</w:t>
            </w:r>
          </w:p>
        </w:tc>
        <w:tc>
          <w:tcPr>
            <w:tcW w:w="1140" w:type="dxa"/>
            <w:vAlign w:val="bottom"/>
          </w:tcPr>
          <w:p>
            <w:pPr>
              <w:jc w:val="right"/>
              <w:spacing w:after="0" w:line="126" w:lineRule="exact"/>
              <w:rPr>
                <w:sz w:val="20"/>
                <w:szCs w:val="20"/>
                <w:color w:val="auto"/>
              </w:rPr>
            </w:pPr>
            <w:r>
              <w:rPr>
                <w:rFonts w:ascii="Arial" w:cs="Arial" w:eastAsia="Arial" w:hAnsi="Arial"/>
                <w:sz w:val="12"/>
                <w:szCs w:val="12"/>
                <w:color w:val="auto"/>
              </w:rPr>
              <w:t>24</w:t>
            </w:r>
          </w:p>
        </w:tc>
        <w:tc>
          <w:tcPr>
            <w:tcW w:w="360" w:type="dxa"/>
            <w:vAlign w:val="bottom"/>
          </w:tcPr>
          <w:p>
            <w:pPr>
              <w:spacing w:after="0"/>
              <w:rPr>
                <w:sz w:val="10"/>
                <w:szCs w:val="10"/>
                <w:color w:val="auto"/>
              </w:rPr>
            </w:pPr>
          </w:p>
        </w:tc>
        <w:tc>
          <w:tcPr>
            <w:tcW w:w="1140" w:type="dxa"/>
            <w:vAlign w:val="bottom"/>
          </w:tcPr>
          <w:p>
            <w:pPr>
              <w:jc w:val="right"/>
              <w:spacing w:after="0" w:line="126" w:lineRule="exact"/>
              <w:rPr>
                <w:sz w:val="20"/>
                <w:szCs w:val="20"/>
                <w:color w:val="auto"/>
              </w:rPr>
            </w:pPr>
            <w:r>
              <w:rPr>
                <w:rFonts w:ascii="Arial" w:cs="Arial" w:eastAsia="Arial" w:hAnsi="Arial"/>
                <w:sz w:val="12"/>
                <w:szCs w:val="12"/>
                <w:color w:val="auto"/>
              </w:rPr>
              <w:t>171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940" w:type="dxa"/>
            <w:vAlign w:val="bottom"/>
          </w:tcPr>
          <w:p>
            <w:pPr>
              <w:ind w:left="120"/>
              <w:spacing w:after="0" w:line="134" w:lineRule="exact"/>
              <w:rPr>
                <w:sz w:val="20"/>
                <w:szCs w:val="20"/>
                <w:color w:val="auto"/>
              </w:rPr>
            </w:pPr>
            <w:r>
              <w:rPr>
                <w:rFonts w:ascii="Arial" w:cs="Arial" w:eastAsia="Arial" w:hAnsi="Arial"/>
                <w:sz w:val="12"/>
                <w:szCs w:val="12"/>
                <w:color w:val="auto"/>
              </w:rPr>
              <w:t>Other revenues</w:t>
            </w:r>
          </w:p>
        </w:tc>
        <w:tc>
          <w:tcPr>
            <w:tcW w:w="1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34" w:lineRule="exact"/>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40" w:type="dxa"/>
            <w:vAlign w:val="bottom"/>
          </w:tcPr>
          <w:p>
            <w:pPr>
              <w:ind w:left="120"/>
              <w:spacing w:after="0"/>
              <w:rPr>
                <w:sz w:val="20"/>
                <w:szCs w:val="20"/>
                <w:color w:val="auto"/>
              </w:rPr>
            </w:pPr>
            <w:r>
              <w:rPr>
                <w:rFonts w:ascii="Arial" w:cs="Arial" w:eastAsia="Arial" w:hAnsi="Arial"/>
                <w:sz w:val="12"/>
                <w:szCs w:val="12"/>
                <w:color w:val="auto"/>
              </w:rPr>
              <w:t>Balancing accounts</w:t>
            </w:r>
          </w:p>
        </w:tc>
        <w:tc>
          <w:tcPr>
            <w:tcW w:w="1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Borders>
              <w:bottom w:val="single" w:sz="8" w:color="auto"/>
            </w:tcBorders>
          </w:tcPr>
          <w:p>
            <w:pPr>
              <w:ind w:left="260"/>
              <w:spacing w:after="0" w:line="134" w:lineRule="exact"/>
              <w:rPr>
                <w:sz w:val="20"/>
                <w:szCs w:val="20"/>
                <w:color w:val="auto"/>
              </w:rPr>
            </w:pPr>
            <w:r>
              <w:rPr>
                <w:rFonts w:ascii="Arial" w:cs="Arial" w:eastAsia="Arial" w:hAnsi="Arial"/>
                <w:sz w:val="12"/>
                <w:szCs w:val="12"/>
                <w:color w:val="auto"/>
              </w:rPr>
              <w:t>Total</w:t>
            </w:r>
          </w:p>
        </w:tc>
        <w:tc>
          <w:tcPr>
            <w:tcW w:w="13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218"/>
              <w:spacing w:after="0" w:line="134" w:lineRule="exact"/>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175</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940" w:type="dxa"/>
            <w:vAlign w:val="bottom"/>
          </w:tcPr>
          <w:p>
            <w:pPr>
              <w:spacing w:after="0" w:line="126" w:lineRule="exact"/>
              <w:rPr>
                <w:sz w:val="20"/>
                <w:szCs w:val="20"/>
                <w:color w:val="auto"/>
              </w:rPr>
            </w:pPr>
            <w:r>
              <w:rPr>
                <w:rFonts w:ascii="Arial" w:cs="Arial" w:eastAsia="Arial" w:hAnsi="Arial"/>
                <w:sz w:val="12"/>
                <w:szCs w:val="12"/>
                <w:color w:val="auto"/>
              </w:rPr>
              <w:t>2010:</w:t>
            </w:r>
          </w:p>
        </w:tc>
        <w:tc>
          <w:tcPr>
            <w:tcW w:w="1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940" w:type="dxa"/>
            <w:vAlign w:val="bottom"/>
          </w:tcPr>
          <w:p>
            <w:pPr>
              <w:ind w:left="120"/>
              <w:spacing w:after="0" w:line="134" w:lineRule="exact"/>
              <w:rPr>
                <w:sz w:val="20"/>
                <w:szCs w:val="20"/>
                <w:color w:val="auto"/>
              </w:rPr>
            </w:pPr>
            <w:r>
              <w:rPr>
                <w:rFonts w:ascii="Arial" w:cs="Arial" w:eastAsia="Arial" w:hAnsi="Arial"/>
                <w:sz w:val="12"/>
                <w:szCs w:val="12"/>
                <w:color w:val="auto"/>
              </w:rPr>
              <w:t>Residential</w:t>
            </w:r>
          </w:p>
        </w:tc>
        <w:tc>
          <w:tcPr>
            <w:tcW w:w="1340" w:type="dxa"/>
            <w:vAlign w:val="bottom"/>
          </w:tcPr>
          <w:p>
            <w:pPr>
              <w:jc w:val="right"/>
              <w:spacing w:after="0" w:line="134" w:lineRule="exact"/>
              <w:rPr>
                <w:sz w:val="20"/>
                <w:szCs w:val="20"/>
                <w:color w:val="auto"/>
              </w:rPr>
            </w:pPr>
            <w:r>
              <w:rPr>
                <w:rFonts w:ascii="Arial" w:cs="Arial" w:eastAsia="Arial" w:hAnsi="Arial"/>
                <w:sz w:val="12"/>
                <w:szCs w:val="12"/>
                <w:color w:val="auto"/>
              </w:rPr>
              <w:t>12</w:t>
            </w:r>
          </w:p>
        </w:tc>
        <w:tc>
          <w:tcPr>
            <w:tcW w:w="520" w:type="dxa"/>
            <w:vAlign w:val="bottom"/>
          </w:tcPr>
          <w:p>
            <w:pPr>
              <w:jc w:val="right"/>
              <w:ind w:right="378"/>
              <w:spacing w:after="0" w:line="134" w:lineRule="exact"/>
              <w:rPr>
                <w:sz w:val="20"/>
                <w:szCs w:val="20"/>
                <w:color w:val="auto"/>
              </w:rPr>
            </w:pPr>
            <w:r>
              <w:rPr>
                <w:rFonts w:ascii="Arial" w:cs="Arial" w:eastAsia="Arial" w:hAnsi="Arial"/>
                <w:sz w:val="12"/>
                <w:szCs w:val="12"/>
                <w:color w:val="auto"/>
                <w:w w:val="89"/>
              </w:rPr>
              <w:t>$</w:t>
            </w:r>
          </w:p>
        </w:tc>
        <w:tc>
          <w:tcPr>
            <w:tcW w:w="1180" w:type="dxa"/>
            <w:vAlign w:val="bottom"/>
          </w:tcPr>
          <w:p>
            <w:pPr>
              <w:jc w:val="right"/>
              <w:ind w:right="179"/>
              <w:spacing w:after="0" w:line="134" w:lineRule="exact"/>
              <w:rPr>
                <w:sz w:val="20"/>
                <w:szCs w:val="20"/>
                <w:color w:val="auto"/>
              </w:rPr>
            </w:pPr>
            <w:r>
              <w:rPr>
                <w:rFonts w:ascii="Arial" w:cs="Arial" w:eastAsia="Arial" w:hAnsi="Arial"/>
                <w:sz w:val="12"/>
                <w:szCs w:val="12"/>
                <w:color w:val="auto"/>
              </w:rPr>
              <w:t>135</w:t>
            </w:r>
          </w:p>
        </w:tc>
        <w:tc>
          <w:tcPr>
            <w:tcW w:w="2280" w:type="dxa"/>
            <w:vAlign w:val="bottom"/>
            <w:gridSpan w:val="2"/>
          </w:tcPr>
          <w:p>
            <w:pPr>
              <w:jc w:val="right"/>
              <w:ind w:right="1020"/>
              <w:spacing w:after="0" w:line="134" w:lineRule="exact"/>
              <w:rPr>
                <w:sz w:val="20"/>
                <w:szCs w:val="20"/>
                <w:color w:val="auto"/>
              </w:rPr>
            </w:pPr>
            <w:r>
              <w:rPr>
                <w:rFonts w:ascii="Arial" w:cs="Arial" w:eastAsia="Arial" w:hAnsi="Arial"/>
                <w:sz w:val="12"/>
                <w:szCs w:val="12"/>
                <w:color w:val="auto"/>
              </w:rPr>
              <w:t>― $</w:t>
            </w:r>
          </w:p>
        </w:tc>
        <w:tc>
          <w:tcPr>
            <w:tcW w:w="54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w:t>
            </w:r>
          </w:p>
        </w:tc>
        <w:tc>
          <w:tcPr>
            <w:tcW w:w="1140" w:type="dxa"/>
            <w:vAlign w:val="bottom"/>
          </w:tcPr>
          <w:p>
            <w:pPr>
              <w:jc w:val="right"/>
              <w:spacing w:after="0" w:line="134" w:lineRule="exact"/>
              <w:rPr>
                <w:sz w:val="20"/>
                <w:szCs w:val="20"/>
                <w:color w:val="auto"/>
              </w:rPr>
            </w:pPr>
            <w:r>
              <w:rPr>
                <w:rFonts w:ascii="Arial" w:cs="Arial" w:eastAsia="Arial" w:hAnsi="Arial"/>
                <w:sz w:val="12"/>
                <w:szCs w:val="12"/>
                <w:color w:val="auto"/>
              </w:rPr>
              <w:t>12</w:t>
            </w:r>
          </w:p>
        </w:tc>
        <w:tc>
          <w:tcPr>
            <w:tcW w:w="360" w:type="dxa"/>
            <w:vAlign w:val="bottom"/>
          </w:tcPr>
          <w:p>
            <w:pPr>
              <w:jc w:val="right"/>
              <w:ind w:right="218"/>
              <w:spacing w:after="0" w:line="134" w:lineRule="exact"/>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line="134" w:lineRule="exact"/>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940" w:type="dxa"/>
            <w:vAlign w:val="bottom"/>
          </w:tcPr>
          <w:p>
            <w:pPr>
              <w:ind w:left="120"/>
              <w:spacing w:after="0" w:line="134" w:lineRule="exact"/>
              <w:rPr>
                <w:sz w:val="20"/>
                <w:szCs w:val="20"/>
                <w:color w:val="auto"/>
              </w:rPr>
            </w:pPr>
            <w:r>
              <w:rPr>
                <w:rFonts w:ascii="Arial" w:cs="Arial" w:eastAsia="Arial" w:hAnsi="Arial"/>
                <w:sz w:val="12"/>
                <w:szCs w:val="12"/>
                <w:color w:val="auto"/>
              </w:rPr>
              <w:t>Commercial and industrial</w:t>
            </w:r>
          </w:p>
        </w:tc>
        <w:tc>
          <w:tcPr>
            <w:tcW w:w="1340" w:type="dxa"/>
            <w:vAlign w:val="bottom"/>
          </w:tcPr>
          <w:p>
            <w:pPr>
              <w:jc w:val="right"/>
              <w:spacing w:after="0" w:line="134" w:lineRule="exact"/>
              <w:rPr>
                <w:sz w:val="20"/>
                <w:szCs w:val="20"/>
                <w:color w:val="auto"/>
              </w:rPr>
            </w:pPr>
            <w:r>
              <w:rPr>
                <w:rFonts w:ascii="Arial" w:cs="Arial" w:eastAsia="Arial" w:hAnsi="Arial"/>
                <w:sz w:val="12"/>
                <w:szCs w:val="12"/>
                <w:color w:val="auto"/>
              </w:rPr>
              <w:t>4</w:t>
            </w:r>
          </w:p>
        </w:tc>
        <w:tc>
          <w:tcPr>
            <w:tcW w:w="520" w:type="dxa"/>
            <w:vAlign w:val="bottom"/>
          </w:tcPr>
          <w:p>
            <w:pPr>
              <w:spacing w:after="0"/>
              <w:rPr>
                <w:sz w:val="11"/>
                <w:szCs w:val="11"/>
                <w:color w:val="auto"/>
              </w:rPr>
            </w:pPr>
          </w:p>
        </w:tc>
        <w:tc>
          <w:tcPr>
            <w:tcW w:w="1180" w:type="dxa"/>
            <w:vAlign w:val="bottom"/>
          </w:tcPr>
          <w:p>
            <w:pPr>
              <w:jc w:val="right"/>
              <w:ind w:right="179"/>
              <w:spacing w:after="0" w:line="134" w:lineRule="exact"/>
              <w:rPr>
                <w:sz w:val="20"/>
                <w:szCs w:val="20"/>
                <w:color w:val="auto"/>
              </w:rPr>
            </w:pPr>
            <w:r>
              <w:rPr>
                <w:rFonts w:ascii="Arial" w:cs="Arial" w:eastAsia="Arial" w:hAnsi="Arial"/>
                <w:sz w:val="12"/>
                <w:szCs w:val="12"/>
                <w:color w:val="auto"/>
              </w:rPr>
              <w:t>36</w:t>
            </w:r>
          </w:p>
        </w:tc>
        <w:tc>
          <w:tcPr>
            <w:tcW w:w="1120" w:type="dxa"/>
            <w:vAlign w:val="bottom"/>
          </w:tcPr>
          <w:p>
            <w:pPr>
              <w:jc w:val="right"/>
              <w:spacing w:after="0" w:line="134" w:lineRule="exact"/>
              <w:rPr>
                <w:sz w:val="20"/>
                <w:szCs w:val="20"/>
                <w:color w:val="auto"/>
              </w:rPr>
            </w:pPr>
            <w:r>
              <w:rPr>
                <w:rFonts w:ascii="Arial" w:cs="Arial" w:eastAsia="Arial" w:hAnsi="Arial"/>
                <w:sz w:val="12"/>
                <w:szCs w:val="12"/>
                <w:color w:val="auto"/>
              </w:rPr>
              <w:t>2</w:t>
            </w:r>
          </w:p>
        </w:tc>
        <w:tc>
          <w:tcPr>
            <w:tcW w:w="1160" w:type="dxa"/>
            <w:vAlign w:val="bottom"/>
          </w:tcPr>
          <w:p>
            <w:pPr>
              <w:spacing w:after="0"/>
              <w:rPr>
                <w:sz w:val="11"/>
                <w:szCs w:val="11"/>
                <w:color w:val="auto"/>
              </w:rPr>
            </w:pPr>
          </w:p>
        </w:tc>
        <w:tc>
          <w:tcPr>
            <w:tcW w:w="54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3</w:t>
            </w:r>
          </w:p>
        </w:tc>
        <w:tc>
          <w:tcPr>
            <w:tcW w:w="1140" w:type="dxa"/>
            <w:vAlign w:val="bottom"/>
          </w:tcPr>
          <w:p>
            <w:pPr>
              <w:jc w:val="right"/>
              <w:spacing w:after="0" w:line="134" w:lineRule="exact"/>
              <w:rPr>
                <w:sz w:val="20"/>
                <w:szCs w:val="20"/>
                <w:color w:val="auto"/>
              </w:rPr>
            </w:pPr>
            <w:r>
              <w:rPr>
                <w:rFonts w:ascii="Arial" w:cs="Arial" w:eastAsia="Arial" w:hAnsi="Arial"/>
                <w:sz w:val="12"/>
                <w:szCs w:val="12"/>
                <w:color w:val="auto"/>
              </w:rPr>
              <w:t>6</w:t>
            </w:r>
          </w:p>
        </w:tc>
        <w:tc>
          <w:tcPr>
            <w:tcW w:w="360" w:type="dxa"/>
            <w:vAlign w:val="bottom"/>
          </w:tcPr>
          <w:p>
            <w:pPr>
              <w:spacing w:after="0"/>
              <w:rPr>
                <w:sz w:val="11"/>
                <w:szCs w:val="11"/>
                <w:color w:val="auto"/>
              </w:rPr>
            </w:pPr>
          </w:p>
        </w:tc>
        <w:tc>
          <w:tcPr>
            <w:tcW w:w="1140" w:type="dxa"/>
            <w:vAlign w:val="bottom"/>
          </w:tcPr>
          <w:p>
            <w:pPr>
              <w:jc w:val="right"/>
              <w:spacing w:after="0" w:line="134" w:lineRule="exact"/>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40" w:type="dxa"/>
            <w:vAlign w:val="bottom"/>
          </w:tcPr>
          <w:p>
            <w:pPr>
              <w:ind w:left="120"/>
              <w:spacing w:after="0"/>
              <w:rPr>
                <w:sz w:val="20"/>
                <w:szCs w:val="20"/>
                <w:color w:val="auto"/>
              </w:rPr>
            </w:pPr>
            <w:r>
              <w:rPr>
                <w:rFonts w:ascii="Arial" w:cs="Arial" w:eastAsia="Arial" w:hAnsi="Arial"/>
                <w:sz w:val="12"/>
                <w:szCs w:val="12"/>
                <w:color w:val="auto"/>
              </w:rPr>
              <w:t>Electric generation plants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1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340" w:type="dxa"/>
            <w:vAlign w:val="bottom"/>
          </w:tcPr>
          <w:p>
            <w:pPr>
              <w:jc w:val="right"/>
              <w:spacing w:after="0" w:line="126" w:lineRule="exact"/>
              <w:rPr>
                <w:sz w:val="20"/>
                <w:szCs w:val="20"/>
                <w:color w:val="auto"/>
              </w:rPr>
            </w:pPr>
            <w:r>
              <w:rPr>
                <w:rFonts w:ascii="Arial" w:cs="Arial" w:eastAsia="Arial" w:hAnsi="Arial"/>
                <w:sz w:val="12"/>
                <w:szCs w:val="12"/>
                <w:color w:val="auto"/>
              </w:rPr>
              <w:t>16</w:t>
            </w:r>
          </w:p>
        </w:tc>
        <w:tc>
          <w:tcPr>
            <w:tcW w:w="520" w:type="dxa"/>
            <w:vAlign w:val="bottom"/>
          </w:tcPr>
          <w:p>
            <w:pPr>
              <w:jc w:val="right"/>
              <w:ind w:right="378"/>
              <w:spacing w:after="0" w:line="126" w:lineRule="exact"/>
              <w:rPr>
                <w:sz w:val="20"/>
                <w:szCs w:val="20"/>
                <w:color w:val="auto"/>
              </w:rPr>
            </w:pPr>
            <w:r>
              <w:rPr>
                <w:rFonts w:ascii="Arial" w:cs="Arial" w:eastAsia="Arial" w:hAnsi="Arial"/>
                <w:sz w:val="12"/>
                <w:szCs w:val="12"/>
                <w:color w:val="auto"/>
                <w:w w:val="89"/>
              </w:rPr>
              <w:t>$</w:t>
            </w:r>
          </w:p>
        </w:tc>
        <w:tc>
          <w:tcPr>
            <w:tcW w:w="1180" w:type="dxa"/>
            <w:vAlign w:val="bottom"/>
          </w:tcPr>
          <w:p>
            <w:pPr>
              <w:jc w:val="right"/>
              <w:ind w:right="179"/>
              <w:spacing w:after="0" w:line="126" w:lineRule="exact"/>
              <w:rPr>
                <w:sz w:val="20"/>
                <w:szCs w:val="20"/>
                <w:color w:val="auto"/>
              </w:rPr>
            </w:pPr>
            <w:r>
              <w:rPr>
                <w:rFonts w:ascii="Arial" w:cs="Arial" w:eastAsia="Arial" w:hAnsi="Arial"/>
                <w:sz w:val="12"/>
                <w:szCs w:val="12"/>
                <w:color w:val="auto"/>
              </w:rPr>
              <w:t>171</w:t>
            </w:r>
          </w:p>
        </w:tc>
        <w:tc>
          <w:tcPr>
            <w:tcW w:w="1120" w:type="dxa"/>
            <w:vAlign w:val="bottom"/>
          </w:tcPr>
          <w:p>
            <w:pPr>
              <w:jc w:val="right"/>
              <w:spacing w:after="0" w:line="126" w:lineRule="exact"/>
              <w:rPr>
                <w:sz w:val="20"/>
                <w:szCs w:val="20"/>
                <w:color w:val="auto"/>
              </w:rPr>
            </w:pPr>
            <w:r>
              <w:rPr>
                <w:rFonts w:ascii="Arial" w:cs="Arial" w:eastAsia="Arial" w:hAnsi="Arial"/>
                <w:sz w:val="12"/>
                <w:szCs w:val="12"/>
                <w:color w:val="auto"/>
              </w:rPr>
              <w:t>8</w:t>
            </w:r>
          </w:p>
        </w:tc>
        <w:tc>
          <w:tcPr>
            <w:tcW w:w="1160" w:type="dxa"/>
            <w:vAlign w:val="bottom"/>
          </w:tcPr>
          <w:p>
            <w:pPr>
              <w:jc w:val="right"/>
              <w:ind w:right="1020"/>
              <w:spacing w:after="0" w:line="126" w:lineRule="exact"/>
              <w:rPr>
                <w:sz w:val="20"/>
                <w:szCs w:val="20"/>
                <w:color w:val="auto"/>
              </w:rPr>
            </w:pPr>
            <w:r>
              <w:rPr>
                <w:rFonts w:ascii="Arial" w:cs="Arial" w:eastAsia="Arial" w:hAnsi="Arial"/>
                <w:sz w:val="12"/>
                <w:szCs w:val="12"/>
                <w:color w:val="auto"/>
                <w:w w:val="89"/>
              </w:rPr>
              <w:t>$</w:t>
            </w:r>
          </w:p>
        </w:tc>
        <w:tc>
          <w:tcPr>
            <w:tcW w:w="540" w:type="dxa"/>
            <w:vAlign w:val="bottom"/>
          </w:tcPr>
          <w:p>
            <w:pPr>
              <w:jc w:val="right"/>
              <w:ind w:right="178"/>
              <w:spacing w:after="0" w:line="126" w:lineRule="exact"/>
              <w:rPr>
                <w:sz w:val="20"/>
                <w:szCs w:val="20"/>
                <w:color w:val="auto"/>
              </w:rPr>
            </w:pPr>
            <w:r>
              <w:rPr>
                <w:rFonts w:ascii="Arial" w:cs="Arial" w:eastAsia="Arial" w:hAnsi="Arial"/>
                <w:sz w:val="12"/>
                <w:szCs w:val="12"/>
                <w:color w:val="auto"/>
              </w:rPr>
              <w:t>5</w:t>
            </w:r>
          </w:p>
        </w:tc>
        <w:tc>
          <w:tcPr>
            <w:tcW w:w="1140" w:type="dxa"/>
            <w:vAlign w:val="bottom"/>
          </w:tcPr>
          <w:p>
            <w:pPr>
              <w:jc w:val="right"/>
              <w:spacing w:after="0" w:line="126" w:lineRule="exact"/>
              <w:rPr>
                <w:sz w:val="20"/>
                <w:szCs w:val="20"/>
                <w:color w:val="auto"/>
              </w:rPr>
            </w:pPr>
            <w:r>
              <w:rPr>
                <w:rFonts w:ascii="Arial" w:cs="Arial" w:eastAsia="Arial" w:hAnsi="Arial"/>
                <w:sz w:val="12"/>
                <w:szCs w:val="12"/>
                <w:color w:val="auto"/>
              </w:rPr>
              <w:t>24</w:t>
            </w:r>
          </w:p>
        </w:tc>
        <w:tc>
          <w:tcPr>
            <w:tcW w:w="360" w:type="dxa"/>
            <w:vAlign w:val="bottom"/>
          </w:tcPr>
          <w:p>
            <w:pPr>
              <w:spacing w:after="0"/>
              <w:rPr>
                <w:sz w:val="10"/>
                <w:szCs w:val="10"/>
                <w:color w:val="auto"/>
              </w:rPr>
            </w:pPr>
          </w:p>
        </w:tc>
        <w:tc>
          <w:tcPr>
            <w:tcW w:w="1140" w:type="dxa"/>
            <w:vAlign w:val="bottom"/>
          </w:tcPr>
          <w:p>
            <w:pPr>
              <w:jc w:val="right"/>
              <w:spacing w:after="0" w:line="126" w:lineRule="exact"/>
              <w:rPr>
                <w:sz w:val="20"/>
                <w:szCs w:val="20"/>
                <w:color w:val="auto"/>
              </w:rPr>
            </w:pPr>
            <w:r>
              <w:rPr>
                <w:rFonts w:ascii="Arial" w:cs="Arial" w:eastAsia="Arial" w:hAnsi="Arial"/>
                <w:sz w:val="12"/>
                <w:szCs w:val="12"/>
                <w:color w:val="auto"/>
              </w:rPr>
              <w:t>176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940" w:type="dxa"/>
            <w:vAlign w:val="bottom"/>
          </w:tcPr>
          <w:p>
            <w:pPr>
              <w:ind w:left="120"/>
              <w:spacing w:after="0" w:line="134" w:lineRule="exact"/>
              <w:rPr>
                <w:sz w:val="20"/>
                <w:szCs w:val="20"/>
                <w:color w:val="auto"/>
              </w:rPr>
            </w:pPr>
            <w:r>
              <w:rPr>
                <w:rFonts w:ascii="Arial" w:cs="Arial" w:eastAsia="Arial" w:hAnsi="Arial"/>
                <w:sz w:val="12"/>
                <w:szCs w:val="12"/>
                <w:color w:val="auto"/>
              </w:rPr>
              <w:t>Other revenues</w:t>
            </w:r>
          </w:p>
        </w:tc>
        <w:tc>
          <w:tcPr>
            <w:tcW w:w="1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34" w:lineRule="exact"/>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40" w:type="dxa"/>
            <w:vAlign w:val="bottom"/>
          </w:tcPr>
          <w:p>
            <w:pPr>
              <w:ind w:left="120"/>
              <w:spacing w:after="0"/>
              <w:rPr>
                <w:sz w:val="20"/>
                <w:szCs w:val="20"/>
                <w:color w:val="auto"/>
              </w:rPr>
            </w:pPr>
            <w:r>
              <w:rPr>
                <w:rFonts w:ascii="Arial" w:cs="Arial" w:eastAsia="Arial" w:hAnsi="Arial"/>
                <w:sz w:val="12"/>
                <w:szCs w:val="12"/>
                <w:color w:val="auto"/>
              </w:rPr>
              <w:t>Balancing accounts</w:t>
            </w:r>
          </w:p>
        </w:tc>
        <w:tc>
          <w:tcPr>
            <w:tcW w:w="1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bl>
    <w:p>
      <w:pPr>
        <w:sectPr>
          <w:pgSz w:w="11900" w:h="16847" w:orient="portrait"/>
          <w:cols w:equalWidth="0" w:num="1">
            <w:col w:w="11460"/>
          </w:cols>
          <w:pgMar w:left="220" w:top="129" w:right="219" w:bottom="0" w:gutter="0" w:footer="0" w:header="0"/>
        </w:sectPr>
      </w:pPr>
    </w:p>
    <w:bookmarkStart w:id="47" w:name="page48"/>
    <w:bookmarkEnd w:id="47"/>
    <w:p>
      <w:pPr>
        <w:ind w:left="280"/>
        <w:spacing w:after="0"/>
        <w:tabs>
          <w:tab w:leader="none" w:pos="9940" w:val="left"/>
          <w:tab w:leader="none" w:pos="11200" w:val="left"/>
        </w:tabs>
        <w:rPr>
          <w:sz w:val="20"/>
          <w:szCs w:val="20"/>
          <w:color w:val="auto"/>
        </w:rPr>
      </w:pPr>
      <w:r>
        <w:rPr>
          <w:rFonts w:ascii="Arial" w:cs="Arial" w:eastAsia="Arial" w:hAnsi="Arial"/>
          <w:sz w:val="12"/>
          <w:szCs w:val="12"/>
          <w:color w:val="auto"/>
        </w:rPr>
        <w:t>Total</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279005" cy="133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spacing w:after="0" w:line="304" w:lineRule="exact"/>
        <w:rPr>
          <w:sz w:val="20"/>
          <w:szCs w:val="20"/>
          <w:color w:val="auto"/>
        </w:rPr>
      </w:pPr>
    </w:p>
    <w:p>
      <w:pPr>
        <w:ind w:right="220"/>
        <w:spacing w:after="0" w:line="253" w:lineRule="auto"/>
        <w:rPr>
          <w:sz w:val="20"/>
          <w:szCs w:val="20"/>
          <w:color w:val="auto"/>
        </w:rPr>
      </w:pPr>
      <w:r>
        <w:rPr>
          <w:rFonts w:ascii="Arial" w:cs="Arial" w:eastAsia="Arial" w:hAnsi="Arial"/>
          <w:sz w:val="14"/>
          <w:szCs w:val="14"/>
          <w:color w:val="auto"/>
        </w:rPr>
        <w:t>During the three months ended March 31, 2011, SDG&amp;E's natural gas revenues decreased by $4 million (2%) to $175 million, while the cost of natural gas decreased by $6 million (7%) to $83 million compared with the corresponding period in 2010. The average cost of natural gas for the three months ended March 31, 2011 was $4.83 per thousand cubic feet (Mcf) compared to $5.50 per Mcf for the corresponding period in 2010, a 12-percent decrease or $0.67 per Mcf, resulting in lower revenues and cost of $12 million. The decrease due to the lower average cost of natural gas delivered was partially offset by higher demand for natural gas, which resulted in higher revenues and cost of $6 million in 2011.</w:t>
      </w:r>
    </w:p>
    <w:p>
      <w:pPr>
        <w:spacing w:after="0" w:line="3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255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9005" cy="25590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NATURAL GAS SALES AND TRANSPORTATION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60" w:type="dxa"/>
            <w:vAlign w:val="bottom"/>
            <w:gridSpan w:val="2"/>
          </w:tcPr>
          <w:p>
            <w:pPr>
              <w:spacing w:after="0"/>
              <w:rPr>
                <w:sz w:val="20"/>
                <w:szCs w:val="20"/>
                <w:color w:val="auto"/>
              </w:rPr>
            </w:pPr>
            <w:r>
              <w:rPr>
                <w:rFonts w:ascii="Arial" w:cs="Arial" w:eastAsia="Arial" w:hAnsi="Arial"/>
                <w:sz w:val="11"/>
                <w:szCs w:val="11"/>
                <w:i w:val="1"/>
                <w:iCs w:val="1"/>
                <w:color w:val="auto"/>
              </w:rPr>
              <w:t>(Volumes in billion cubic feet, dollars in millions)</w:t>
            </w:r>
          </w:p>
        </w:tc>
        <w:tc>
          <w:tcPr>
            <w:tcW w:w="2880" w:type="dxa"/>
            <w:vAlign w:val="bottom"/>
            <w:gridSpan w:val="3"/>
            <w:vMerge w:val="restart"/>
          </w:tcPr>
          <w:p>
            <w:pPr>
              <w:jc w:val="right"/>
              <w:ind w:right="1019"/>
              <w:spacing w:after="0"/>
              <w:rPr>
                <w:sz w:val="20"/>
                <w:szCs w:val="20"/>
                <w:color w:val="auto"/>
              </w:rPr>
            </w:pPr>
            <w:r>
              <w:rPr>
                <w:rFonts w:ascii="Arial" w:cs="Arial" w:eastAsia="Arial" w:hAnsi="Arial"/>
                <w:sz w:val="11"/>
                <w:szCs w:val="11"/>
                <w:color w:val="auto"/>
              </w:rPr>
              <w:t>Natural Gas Sales</w:t>
            </w:r>
          </w:p>
        </w:tc>
        <w:tc>
          <w:tcPr>
            <w:tcW w:w="2180" w:type="dxa"/>
            <w:vAlign w:val="bottom"/>
            <w:gridSpan w:val="2"/>
            <w:vMerge w:val="restart"/>
          </w:tcPr>
          <w:p>
            <w:pPr>
              <w:jc w:val="right"/>
              <w:ind w:right="599"/>
              <w:spacing w:after="0"/>
              <w:rPr>
                <w:sz w:val="20"/>
                <w:szCs w:val="20"/>
                <w:color w:val="auto"/>
              </w:rPr>
            </w:pPr>
            <w:r>
              <w:rPr>
                <w:rFonts w:ascii="Arial" w:cs="Arial" w:eastAsia="Arial" w:hAnsi="Arial"/>
                <w:sz w:val="11"/>
                <w:szCs w:val="11"/>
                <w:color w:val="auto"/>
              </w:rPr>
              <w:t>Transportation</w:t>
            </w:r>
          </w:p>
        </w:tc>
        <w:tc>
          <w:tcPr>
            <w:tcW w:w="520" w:type="dxa"/>
            <w:vAlign w:val="bottom"/>
          </w:tcPr>
          <w:p>
            <w:pPr>
              <w:spacing w:after="0"/>
              <w:rPr>
                <w:sz w:val="12"/>
                <w:szCs w:val="12"/>
                <w:color w:val="auto"/>
              </w:rPr>
            </w:pPr>
          </w:p>
        </w:tc>
        <w:tc>
          <w:tcPr>
            <w:tcW w:w="1440" w:type="dxa"/>
            <w:vAlign w:val="bottom"/>
            <w:gridSpan w:val="2"/>
            <w:vMerge w:val="restart"/>
          </w:tcPr>
          <w:p>
            <w:pPr>
              <w:jc w:val="right"/>
              <w:ind w:right="108"/>
              <w:spacing w:after="0"/>
              <w:rPr>
                <w:sz w:val="20"/>
                <w:szCs w:val="20"/>
                <w:color w:val="auto"/>
              </w:rPr>
            </w:pPr>
            <w:r>
              <w:rPr>
                <w:rFonts w:ascii="Arial" w:cs="Arial" w:eastAsia="Arial" w:hAnsi="Arial"/>
                <w:sz w:val="11"/>
                <w:szCs w:val="11"/>
                <w:color w:val="auto"/>
              </w:rPr>
              <w:t>Total</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880" w:type="dxa"/>
            <w:vAlign w:val="bottom"/>
            <w:tcBorders>
              <w:bottom w:val="single" w:sz="8" w:color="auto"/>
            </w:tcBorders>
            <w:gridSpan w:val="3"/>
            <w:vMerge w:val="continue"/>
          </w:tcPr>
          <w:p>
            <w:pPr>
              <w:spacing w:after="0"/>
              <w:rPr>
                <w:sz w:val="8"/>
                <w:szCs w:val="8"/>
                <w:color w:val="auto"/>
              </w:rPr>
            </w:pPr>
          </w:p>
        </w:tc>
        <w:tc>
          <w:tcPr>
            <w:tcW w:w="2180" w:type="dxa"/>
            <w:vAlign w:val="bottom"/>
            <w:tcBorders>
              <w:bottom w:val="single" w:sz="8" w:color="auto"/>
            </w:tcBorders>
            <w:gridSpan w:val="2"/>
            <w:vMerge w:val="continue"/>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gridSpan w:val="2"/>
            <w:vMerge w:val="continue"/>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3360" w:type="dxa"/>
            <w:vAlign w:val="bottom"/>
            <w:tcBorders>
              <w:bottom w:val="single" w:sz="8" w:color="auto"/>
            </w:tcBorders>
            <w:gridSpan w:val="2"/>
          </w:tcPr>
          <w:p>
            <w:pPr>
              <w:spacing w:after="0" w:line="124" w:lineRule="exact"/>
              <w:rPr>
                <w:sz w:val="20"/>
                <w:szCs w:val="20"/>
                <w:color w:val="auto"/>
              </w:rPr>
            </w:pPr>
            <w:r>
              <w:rPr>
                <w:rFonts w:ascii="Arial" w:cs="Arial" w:eastAsia="Arial" w:hAnsi="Arial"/>
                <w:sz w:val="11"/>
                <w:szCs w:val="11"/>
                <w:color w:val="auto"/>
              </w:rPr>
              <w:t>Customer class</w:t>
            </w:r>
          </w:p>
        </w:tc>
        <w:tc>
          <w:tcPr>
            <w:tcW w:w="1260" w:type="dxa"/>
            <w:vAlign w:val="bottom"/>
            <w:tcBorders>
              <w:bottom w:val="single" w:sz="8" w:color="auto"/>
            </w:tcBorders>
          </w:tcPr>
          <w:p>
            <w:pPr>
              <w:jc w:val="right"/>
              <w:ind w:right="339"/>
              <w:spacing w:after="0" w:line="124" w:lineRule="exact"/>
              <w:rPr>
                <w:sz w:val="20"/>
                <w:szCs w:val="20"/>
                <w:color w:val="auto"/>
              </w:rPr>
            </w:pPr>
            <w:r>
              <w:rPr>
                <w:rFonts w:ascii="Arial" w:cs="Arial" w:eastAsia="Arial" w:hAnsi="Arial"/>
                <w:sz w:val="11"/>
                <w:szCs w:val="11"/>
                <w:color w:val="auto"/>
              </w:rPr>
              <w:t>Volumes</w:t>
            </w:r>
          </w:p>
        </w:tc>
        <w:tc>
          <w:tcPr>
            <w:tcW w:w="3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619"/>
              <w:spacing w:after="0" w:line="124" w:lineRule="exact"/>
              <w:rPr>
                <w:sz w:val="20"/>
                <w:szCs w:val="20"/>
                <w:color w:val="auto"/>
              </w:rPr>
            </w:pPr>
            <w:r>
              <w:rPr>
                <w:rFonts w:ascii="Arial" w:cs="Arial" w:eastAsia="Arial" w:hAnsi="Arial"/>
                <w:sz w:val="11"/>
                <w:szCs w:val="11"/>
                <w:color w:val="auto"/>
              </w:rPr>
              <w:t>Revenue</w:t>
            </w:r>
          </w:p>
        </w:tc>
        <w:tc>
          <w:tcPr>
            <w:tcW w:w="1080" w:type="dxa"/>
            <w:vAlign w:val="bottom"/>
            <w:tcBorders>
              <w:bottom w:val="single" w:sz="8" w:color="auto"/>
            </w:tcBorders>
          </w:tcPr>
          <w:p>
            <w:pPr>
              <w:jc w:val="right"/>
              <w:ind w:right="359"/>
              <w:spacing w:after="0" w:line="124" w:lineRule="exact"/>
              <w:rPr>
                <w:sz w:val="20"/>
                <w:szCs w:val="20"/>
                <w:color w:val="auto"/>
              </w:rPr>
            </w:pPr>
            <w:r>
              <w:rPr>
                <w:rFonts w:ascii="Arial" w:cs="Arial" w:eastAsia="Arial" w:hAnsi="Arial"/>
                <w:sz w:val="11"/>
                <w:szCs w:val="11"/>
                <w:color w:val="auto"/>
              </w:rPr>
              <w:t>Volumes</w:t>
            </w:r>
          </w:p>
        </w:tc>
        <w:tc>
          <w:tcPr>
            <w:tcW w:w="1100" w:type="dxa"/>
            <w:vAlign w:val="bottom"/>
            <w:tcBorders>
              <w:bottom w:val="single" w:sz="8" w:color="auto"/>
            </w:tcBorders>
          </w:tcPr>
          <w:p>
            <w:pPr>
              <w:jc w:val="right"/>
              <w:ind w:right="99"/>
              <w:spacing w:after="0" w:line="124" w:lineRule="exact"/>
              <w:rPr>
                <w:sz w:val="20"/>
                <w:szCs w:val="20"/>
                <w:color w:val="auto"/>
              </w:rPr>
            </w:pPr>
            <w:r>
              <w:rPr>
                <w:rFonts w:ascii="Arial" w:cs="Arial" w:eastAsia="Arial" w:hAnsi="Arial"/>
                <w:sz w:val="11"/>
                <w:szCs w:val="11"/>
                <w:color w:val="auto"/>
              </w:rPr>
              <w:t>Revenue</w:t>
            </w:r>
          </w:p>
        </w:tc>
        <w:tc>
          <w:tcPr>
            <w:tcW w:w="5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379"/>
              <w:spacing w:after="0" w:line="124" w:lineRule="exact"/>
              <w:rPr>
                <w:sz w:val="20"/>
                <w:szCs w:val="20"/>
                <w:color w:val="auto"/>
              </w:rPr>
            </w:pPr>
            <w:r>
              <w:rPr>
                <w:rFonts w:ascii="Arial" w:cs="Arial" w:eastAsia="Arial" w:hAnsi="Arial"/>
                <w:sz w:val="11"/>
                <w:szCs w:val="11"/>
                <w:color w:val="auto"/>
              </w:rPr>
              <w:t>Volumes</w:t>
            </w: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418"/>
              <w:spacing w:after="0" w:line="124" w:lineRule="exact"/>
              <w:rPr>
                <w:sz w:val="20"/>
                <w:szCs w:val="20"/>
                <w:color w:val="auto"/>
              </w:rPr>
            </w:pPr>
            <w:r>
              <w:rPr>
                <w:rFonts w:ascii="Arial" w:cs="Arial" w:eastAsia="Arial" w:hAnsi="Arial"/>
                <w:sz w:val="11"/>
                <w:szCs w:val="11"/>
                <w:color w:val="auto"/>
              </w:rPr>
              <w:t>Revenue</w:t>
            </w:r>
          </w:p>
        </w:tc>
        <w:tc>
          <w:tcPr>
            <w:tcW w:w="0" w:type="dxa"/>
            <w:vAlign w:val="bottom"/>
          </w:tcPr>
          <w:p>
            <w:pPr>
              <w:spacing w:after="0"/>
              <w:rPr>
                <w:sz w:val="1"/>
                <w:szCs w:val="1"/>
                <w:color w:val="auto"/>
              </w:rPr>
            </w:pPr>
          </w:p>
        </w:tc>
      </w:tr>
      <w:tr>
        <w:trPr>
          <w:trHeight w:val="125"/>
        </w:trPr>
        <w:tc>
          <w:tcPr>
            <w:tcW w:w="3360" w:type="dxa"/>
            <w:vAlign w:val="bottom"/>
            <w:gridSpan w:val="2"/>
          </w:tcPr>
          <w:p>
            <w:pPr>
              <w:spacing w:after="0" w:line="126" w:lineRule="exact"/>
              <w:rPr>
                <w:sz w:val="20"/>
                <w:szCs w:val="20"/>
                <w:color w:val="auto"/>
              </w:rPr>
            </w:pPr>
            <w:r>
              <w:rPr>
                <w:rFonts w:ascii="Arial" w:cs="Arial" w:eastAsia="Arial" w:hAnsi="Arial"/>
                <w:sz w:val="12"/>
                <w:szCs w:val="12"/>
                <w:color w:val="auto"/>
              </w:rPr>
              <w:t>2011:</w:t>
            </w:r>
          </w:p>
        </w:tc>
        <w:tc>
          <w:tcPr>
            <w:tcW w:w="1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ind w:left="120"/>
              <w:spacing w:after="0" w:line="134" w:lineRule="exact"/>
              <w:rPr>
                <w:sz w:val="20"/>
                <w:szCs w:val="20"/>
                <w:color w:val="auto"/>
              </w:rPr>
            </w:pPr>
            <w:r>
              <w:rPr>
                <w:rFonts w:ascii="Arial" w:cs="Arial" w:eastAsia="Arial" w:hAnsi="Arial"/>
                <w:sz w:val="12"/>
                <w:szCs w:val="12"/>
                <w:color w:val="auto"/>
              </w:rPr>
              <w:t>Residential</w:t>
            </w:r>
          </w:p>
        </w:tc>
        <w:tc>
          <w:tcPr>
            <w:tcW w:w="1260" w:type="dxa"/>
            <w:vAlign w:val="bottom"/>
          </w:tcPr>
          <w:p>
            <w:pPr>
              <w:jc w:val="right"/>
              <w:spacing w:after="0" w:line="134" w:lineRule="exact"/>
              <w:rPr>
                <w:sz w:val="20"/>
                <w:szCs w:val="20"/>
                <w:color w:val="auto"/>
              </w:rPr>
            </w:pPr>
            <w:r>
              <w:rPr>
                <w:rFonts w:ascii="Arial" w:cs="Arial" w:eastAsia="Arial" w:hAnsi="Arial"/>
                <w:sz w:val="12"/>
                <w:szCs w:val="12"/>
                <w:color w:val="auto"/>
              </w:rPr>
              <w:t>92</w:t>
            </w:r>
          </w:p>
        </w:tc>
        <w:tc>
          <w:tcPr>
            <w:tcW w:w="30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159"/>
              <w:spacing w:after="0" w:line="134" w:lineRule="exact"/>
              <w:rPr>
                <w:sz w:val="20"/>
                <w:szCs w:val="20"/>
                <w:color w:val="auto"/>
              </w:rPr>
            </w:pPr>
            <w:r>
              <w:rPr>
                <w:rFonts w:ascii="Arial" w:cs="Arial" w:eastAsia="Arial" w:hAnsi="Arial"/>
                <w:sz w:val="12"/>
                <w:szCs w:val="12"/>
                <w:color w:val="auto"/>
              </w:rPr>
              <w:t>825</w:t>
            </w:r>
          </w:p>
        </w:tc>
        <w:tc>
          <w:tcPr>
            <w:tcW w:w="108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c>
          <w:tcPr>
            <w:tcW w:w="1100" w:type="dxa"/>
            <w:vAlign w:val="bottom"/>
          </w:tcPr>
          <w:p>
            <w:pPr>
              <w:jc w:val="right"/>
              <w:ind w:right="959"/>
              <w:spacing w:after="0" w:line="134" w:lineRule="exact"/>
              <w:rPr>
                <w:sz w:val="20"/>
                <w:szCs w:val="20"/>
                <w:color w:val="auto"/>
              </w:rPr>
            </w:pPr>
            <w:r>
              <w:rPr>
                <w:rFonts w:ascii="Arial" w:cs="Arial" w:eastAsia="Arial" w:hAnsi="Arial"/>
                <w:sz w:val="12"/>
                <w:szCs w:val="12"/>
                <w:color w:val="auto"/>
                <w:w w:val="89"/>
              </w:rPr>
              <w:t>$</w:t>
            </w:r>
          </w:p>
        </w:tc>
        <w:tc>
          <w:tcPr>
            <w:tcW w:w="520" w:type="dxa"/>
            <w:vAlign w:val="bottom"/>
          </w:tcPr>
          <w:p>
            <w:pPr>
              <w:jc w:val="right"/>
              <w:ind w:right="158"/>
              <w:spacing w:after="0" w:line="134" w:lineRule="exact"/>
              <w:rPr>
                <w:sz w:val="20"/>
                <w:szCs w:val="20"/>
                <w:color w:val="auto"/>
              </w:rPr>
            </w:pPr>
            <w:r>
              <w:rPr>
                <w:rFonts w:ascii="Arial" w:cs="Arial" w:eastAsia="Arial" w:hAnsi="Arial"/>
                <w:sz w:val="12"/>
                <w:szCs w:val="12"/>
                <w:color w:val="auto"/>
              </w:rPr>
              <w:t>1</w:t>
            </w:r>
          </w:p>
        </w:tc>
        <w:tc>
          <w:tcPr>
            <w:tcW w:w="1100" w:type="dxa"/>
            <w:vAlign w:val="bottom"/>
          </w:tcPr>
          <w:p>
            <w:pPr>
              <w:jc w:val="right"/>
              <w:spacing w:after="0" w:line="134" w:lineRule="exact"/>
              <w:rPr>
                <w:sz w:val="20"/>
                <w:szCs w:val="20"/>
                <w:color w:val="auto"/>
              </w:rPr>
            </w:pPr>
            <w:r>
              <w:rPr>
                <w:rFonts w:ascii="Arial" w:cs="Arial" w:eastAsia="Arial" w:hAnsi="Arial"/>
                <w:sz w:val="12"/>
                <w:szCs w:val="12"/>
                <w:color w:val="auto"/>
              </w:rPr>
              <w:t>93</w:t>
            </w: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34" w:lineRule="exact"/>
              <w:rPr>
                <w:sz w:val="20"/>
                <w:szCs w:val="20"/>
                <w:color w:val="auto"/>
              </w:rPr>
            </w:pPr>
            <w:r>
              <w:rPr>
                <w:rFonts w:ascii="Arial" w:cs="Arial" w:eastAsia="Arial" w:hAnsi="Arial"/>
                <w:sz w:val="12"/>
                <w:szCs w:val="12"/>
                <w:color w:val="auto"/>
              </w:rPr>
              <w:t>826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ind w:left="120"/>
              <w:spacing w:after="0" w:line="134" w:lineRule="exact"/>
              <w:rPr>
                <w:sz w:val="20"/>
                <w:szCs w:val="20"/>
                <w:color w:val="auto"/>
              </w:rPr>
            </w:pPr>
            <w:r>
              <w:rPr>
                <w:rFonts w:ascii="Arial" w:cs="Arial" w:eastAsia="Arial" w:hAnsi="Arial"/>
                <w:sz w:val="12"/>
                <w:szCs w:val="12"/>
                <w:color w:val="auto"/>
              </w:rPr>
              <w:t>Commercial and industrial</w:t>
            </w:r>
          </w:p>
        </w:tc>
        <w:tc>
          <w:tcPr>
            <w:tcW w:w="1260" w:type="dxa"/>
            <w:vAlign w:val="bottom"/>
          </w:tcPr>
          <w:p>
            <w:pPr>
              <w:jc w:val="right"/>
              <w:spacing w:after="0" w:line="134" w:lineRule="exact"/>
              <w:rPr>
                <w:sz w:val="20"/>
                <w:szCs w:val="20"/>
                <w:color w:val="auto"/>
              </w:rPr>
            </w:pPr>
            <w:r>
              <w:rPr>
                <w:rFonts w:ascii="Arial" w:cs="Arial" w:eastAsia="Arial" w:hAnsi="Arial"/>
                <w:sz w:val="12"/>
                <w:szCs w:val="12"/>
                <w:color w:val="auto"/>
              </w:rPr>
              <w:t>29</w:t>
            </w:r>
          </w:p>
        </w:tc>
        <w:tc>
          <w:tcPr>
            <w:tcW w:w="300" w:type="dxa"/>
            <w:vAlign w:val="bottom"/>
          </w:tcPr>
          <w:p>
            <w:pPr>
              <w:spacing w:after="0"/>
              <w:rPr>
                <w:sz w:val="11"/>
                <w:szCs w:val="11"/>
                <w:color w:val="auto"/>
              </w:rPr>
            </w:pPr>
          </w:p>
        </w:tc>
        <w:tc>
          <w:tcPr>
            <w:tcW w:w="1320" w:type="dxa"/>
            <w:vAlign w:val="bottom"/>
          </w:tcPr>
          <w:p>
            <w:pPr>
              <w:jc w:val="right"/>
              <w:ind w:right="159"/>
              <w:spacing w:after="0" w:line="134" w:lineRule="exact"/>
              <w:rPr>
                <w:sz w:val="20"/>
                <w:szCs w:val="20"/>
                <w:color w:val="auto"/>
              </w:rPr>
            </w:pPr>
            <w:r>
              <w:rPr>
                <w:rFonts w:ascii="Arial" w:cs="Arial" w:eastAsia="Arial" w:hAnsi="Arial"/>
                <w:sz w:val="12"/>
                <w:szCs w:val="12"/>
                <w:color w:val="auto"/>
              </w:rPr>
              <w:t>224</w:t>
            </w:r>
          </w:p>
        </w:tc>
        <w:tc>
          <w:tcPr>
            <w:tcW w:w="1080" w:type="dxa"/>
            <w:vAlign w:val="bottom"/>
          </w:tcPr>
          <w:p>
            <w:pPr>
              <w:jc w:val="right"/>
              <w:spacing w:after="0" w:line="134" w:lineRule="exact"/>
              <w:rPr>
                <w:sz w:val="20"/>
                <w:szCs w:val="20"/>
                <w:color w:val="auto"/>
              </w:rPr>
            </w:pPr>
            <w:r>
              <w:rPr>
                <w:rFonts w:ascii="Arial" w:cs="Arial" w:eastAsia="Arial" w:hAnsi="Arial"/>
                <w:sz w:val="12"/>
                <w:szCs w:val="12"/>
                <w:color w:val="auto"/>
              </w:rPr>
              <w:t>66</w:t>
            </w:r>
          </w:p>
        </w:tc>
        <w:tc>
          <w:tcPr>
            <w:tcW w:w="1100" w:type="dxa"/>
            <w:vAlign w:val="bottom"/>
          </w:tcPr>
          <w:p>
            <w:pPr>
              <w:spacing w:after="0"/>
              <w:rPr>
                <w:sz w:val="11"/>
                <w:szCs w:val="11"/>
                <w:color w:val="auto"/>
              </w:rPr>
            </w:pPr>
          </w:p>
        </w:tc>
        <w:tc>
          <w:tcPr>
            <w:tcW w:w="520" w:type="dxa"/>
            <w:vAlign w:val="bottom"/>
          </w:tcPr>
          <w:p>
            <w:pPr>
              <w:jc w:val="right"/>
              <w:ind w:right="158"/>
              <w:spacing w:after="0" w:line="134" w:lineRule="exact"/>
              <w:rPr>
                <w:sz w:val="20"/>
                <w:szCs w:val="20"/>
                <w:color w:val="auto"/>
              </w:rPr>
            </w:pPr>
            <w:r>
              <w:rPr>
                <w:rFonts w:ascii="Arial" w:cs="Arial" w:eastAsia="Arial" w:hAnsi="Arial"/>
                <w:sz w:val="12"/>
                <w:szCs w:val="12"/>
                <w:color w:val="auto"/>
              </w:rPr>
              <w:t>62</w:t>
            </w:r>
          </w:p>
        </w:tc>
        <w:tc>
          <w:tcPr>
            <w:tcW w:w="1100" w:type="dxa"/>
            <w:vAlign w:val="bottom"/>
          </w:tcPr>
          <w:p>
            <w:pPr>
              <w:jc w:val="right"/>
              <w:spacing w:after="0" w:line="134" w:lineRule="exact"/>
              <w:rPr>
                <w:sz w:val="20"/>
                <w:szCs w:val="20"/>
                <w:color w:val="auto"/>
              </w:rPr>
            </w:pPr>
            <w:r>
              <w:rPr>
                <w:rFonts w:ascii="Arial" w:cs="Arial" w:eastAsia="Arial" w:hAnsi="Arial"/>
                <w:sz w:val="12"/>
                <w:szCs w:val="12"/>
                <w:color w:val="auto"/>
              </w:rPr>
              <w:t>95</w:t>
            </w:r>
          </w:p>
        </w:tc>
        <w:tc>
          <w:tcPr>
            <w:tcW w:w="34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Arial" w:cs="Arial" w:eastAsia="Arial" w:hAnsi="Arial"/>
                <w:sz w:val="12"/>
                <w:szCs w:val="12"/>
                <w:color w:val="auto"/>
              </w:rPr>
              <w:t>286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ind w:left="120"/>
              <w:spacing w:after="0" w:line="134" w:lineRule="exact"/>
              <w:rPr>
                <w:sz w:val="20"/>
                <w:szCs w:val="20"/>
                <w:color w:val="auto"/>
              </w:rPr>
            </w:pPr>
            <w:r>
              <w:rPr>
                <w:rFonts w:ascii="Arial" w:cs="Arial" w:eastAsia="Arial" w:hAnsi="Arial"/>
                <w:sz w:val="12"/>
                <w:szCs w:val="12"/>
                <w:color w:val="auto"/>
              </w:rPr>
              <w:t>Electric generation plants</w:t>
            </w:r>
          </w:p>
        </w:tc>
        <w:tc>
          <w:tcPr>
            <w:tcW w:w="126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300" w:type="dxa"/>
            <w:vAlign w:val="bottom"/>
          </w:tcPr>
          <w:p>
            <w:pPr>
              <w:spacing w:after="0"/>
              <w:rPr>
                <w:sz w:val="11"/>
                <w:szCs w:val="11"/>
                <w:color w:val="auto"/>
              </w:rPr>
            </w:pPr>
          </w:p>
        </w:tc>
        <w:tc>
          <w:tcPr>
            <w:tcW w:w="1320" w:type="dxa"/>
            <w:vAlign w:val="bottom"/>
          </w:tcPr>
          <w:p>
            <w:pPr>
              <w:jc w:val="right"/>
              <w:ind w:right="159"/>
              <w:spacing w:after="0" w:line="134" w:lineRule="exact"/>
              <w:rPr>
                <w:sz w:val="20"/>
                <w:szCs w:val="20"/>
                <w:color w:val="auto"/>
              </w:rPr>
            </w:pPr>
            <w:r>
              <w:rPr>
                <w:rFonts w:ascii="Arial" w:cs="Arial" w:eastAsia="Arial" w:hAnsi="Arial"/>
                <w:sz w:val="12"/>
                <w:szCs w:val="12"/>
                <w:color w:val="auto"/>
              </w:rPr>
              <w:t>―</w:t>
            </w:r>
          </w:p>
        </w:tc>
        <w:tc>
          <w:tcPr>
            <w:tcW w:w="1080" w:type="dxa"/>
            <w:vAlign w:val="bottom"/>
          </w:tcPr>
          <w:p>
            <w:pPr>
              <w:jc w:val="right"/>
              <w:spacing w:after="0" w:line="134" w:lineRule="exact"/>
              <w:rPr>
                <w:sz w:val="20"/>
                <w:szCs w:val="20"/>
                <w:color w:val="auto"/>
              </w:rPr>
            </w:pPr>
            <w:r>
              <w:rPr>
                <w:rFonts w:ascii="Arial" w:cs="Arial" w:eastAsia="Arial" w:hAnsi="Arial"/>
                <w:sz w:val="12"/>
                <w:szCs w:val="12"/>
                <w:color w:val="auto"/>
              </w:rPr>
              <w:t>40</w:t>
            </w:r>
          </w:p>
        </w:tc>
        <w:tc>
          <w:tcPr>
            <w:tcW w:w="1100" w:type="dxa"/>
            <w:vAlign w:val="bottom"/>
          </w:tcPr>
          <w:p>
            <w:pPr>
              <w:spacing w:after="0"/>
              <w:rPr>
                <w:sz w:val="11"/>
                <w:szCs w:val="11"/>
                <w:color w:val="auto"/>
              </w:rPr>
            </w:pPr>
          </w:p>
        </w:tc>
        <w:tc>
          <w:tcPr>
            <w:tcW w:w="520" w:type="dxa"/>
            <w:vAlign w:val="bottom"/>
          </w:tcPr>
          <w:p>
            <w:pPr>
              <w:jc w:val="right"/>
              <w:ind w:right="158"/>
              <w:spacing w:after="0" w:line="134" w:lineRule="exact"/>
              <w:rPr>
                <w:sz w:val="20"/>
                <w:szCs w:val="20"/>
                <w:color w:val="auto"/>
              </w:rPr>
            </w:pPr>
            <w:r>
              <w:rPr>
                <w:rFonts w:ascii="Arial" w:cs="Arial" w:eastAsia="Arial" w:hAnsi="Arial"/>
                <w:sz w:val="12"/>
                <w:szCs w:val="12"/>
                <w:color w:val="auto"/>
              </w:rPr>
              <w:t>11</w:t>
            </w:r>
          </w:p>
        </w:tc>
        <w:tc>
          <w:tcPr>
            <w:tcW w:w="1100" w:type="dxa"/>
            <w:vAlign w:val="bottom"/>
          </w:tcPr>
          <w:p>
            <w:pPr>
              <w:jc w:val="right"/>
              <w:spacing w:after="0" w:line="134" w:lineRule="exact"/>
              <w:rPr>
                <w:sz w:val="20"/>
                <w:szCs w:val="20"/>
                <w:color w:val="auto"/>
              </w:rPr>
            </w:pPr>
            <w:r>
              <w:rPr>
                <w:rFonts w:ascii="Arial" w:cs="Arial" w:eastAsia="Arial" w:hAnsi="Arial"/>
                <w:sz w:val="12"/>
                <w:szCs w:val="12"/>
                <w:color w:val="auto"/>
              </w:rPr>
              <w:t>40</w:t>
            </w:r>
          </w:p>
        </w:tc>
        <w:tc>
          <w:tcPr>
            <w:tcW w:w="34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tcPr>
          <w:p>
            <w:pPr>
              <w:ind w:left="120"/>
              <w:spacing w:after="0"/>
              <w:rPr>
                <w:sz w:val="20"/>
                <w:szCs w:val="20"/>
                <w:color w:val="auto"/>
              </w:rPr>
            </w:pPr>
            <w:r>
              <w:rPr>
                <w:rFonts w:ascii="Arial" w:cs="Arial" w:eastAsia="Arial" w:hAnsi="Arial"/>
                <w:sz w:val="12"/>
                <w:szCs w:val="12"/>
                <w:color w:val="auto"/>
              </w:rPr>
              <w:t>Wholesale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w:t>
            </w:r>
          </w:p>
        </w:tc>
        <w:tc>
          <w:tcPr>
            <w:tcW w:w="1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w:t>
            </w: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260" w:type="dxa"/>
            <w:vAlign w:val="bottom"/>
          </w:tcPr>
          <w:p>
            <w:pPr>
              <w:jc w:val="right"/>
              <w:spacing w:after="0" w:line="126" w:lineRule="exact"/>
              <w:rPr>
                <w:sz w:val="20"/>
                <w:szCs w:val="20"/>
                <w:color w:val="auto"/>
              </w:rPr>
            </w:pPr>
            <w:r>
              <w:rPr>
                <w:rFonts w:ascii="Arial" w:cs="Arial" w:eastAsia="Arial" w:hAnsi="Arial"/>
                <w:sz w:val="12"/>
                <w:szCs w:val="12"/>
                <w:color w:val="auto"/>
              </w:rPr>
              <w:t>121</w:t>
            </w:r>
          </w:p>
        </w:tc>
        <w:tc>
          <w:tcPr>
            <w:tcW w:w="300" w:type="dxa"/>
            <w:vAlign w:val="bottom"/>
          </w:tcPr>
          <w:p>
            <w:pPr>
              <w:jc w:val="right"/>
              <w:ind w:right="138"/>
              <w:spacing w:after="0" w:line="126"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159"/>
              <w:spacing w:after="0" w:line="126" w:lineRule="exact"/>
              <w:rPr>
                <w:sz w:val="20"/>
                <w:szCs w:val="20"/>
                <w:color w:val="auto"/>
              </w:rPr>
            </w:pPr>
            <w:r>
              <w:rPr>
                <w:rFonts w:ascii="Arial" w:cs="Arial" w:eastAsia="Arial" w:hAnsi="Arial"/>
                <w:sz w:val="12"/>
                <w:szCs w:val="12"/>
                <w:color w:val="auto"/>
              </w:rPr>
              <w:t>1,049</w:t>
            </w:r>
          </w:p>
        </w:tc>
        <w:tc>
          <w:tcPr>
            <w:tcW w:w="1080" w:type="dxa"/>
            <w:vAlign w:val="bottom"/>
          </w:tcPr>
          <w:p>
            <w:pPr>
              <w:jc w:val="right"/>
              <w:spacing w:after="0" w:line="126" w:lineRule="exact"/>
              <w:rPr>
                <w:sz w:val="20"/>
                <w:szCs w:val="20"/>
                <w:color w:val="auto"/>
              </w:rPr>
            </w:pPr>
            <w:r>
              <w:rPr>
                <w:rFonts w:ascii="Arial" w:cs="Arial" w:eastAsia="Arial" w:hAnsi="Arial"/>
                <w:sz w:val="12"/>
                <w:szCs w:val="12"/>
                <w:color w:val="auto"/>
              </w:rPr>
              <w:t>150</w:t>
            </w:r>
          </w:p>
        </w:tc>
        <w:tc>
          <w:tcPr>
            <w:tcW w:w="1100" w:type="dxa"/>
            <w:vAlign w:val="bottom"/>
          </w:tcPr>
          <w:p>
            <w:pPr>
              <w:jc w:val="right"/>
              <w:ind w:right="959"/>
              <w:spacing w:after="0" w:line="126" w:lineRule="exact"/>
              <w:rPr>
                <w:sz w:val="20"/>
                <w:szCs w:val="20"/>
                <w:color w:val="auto"/>
              </w:rPr>
            </w:pPr>
            <w:r>
              <w:rPr>
                <w:rFonts w:ascii="Arial" w:cs="Arial" w:eastAsia="Arial" w:hAnsi="Arial"/>
                <w:sz w:val="12"/>
                <w:szCs w:val="12"/>
                <w:color w:val="auto"/>
                <w:w w:val="89"/>
              </w:rPr>
              <w:t>$</w:t>
            </w:r>
          </w:p>
        </w:tc>
        <w:tc>
          <w:tcPr>
            <w:tcW w:w="520" w:type="dxa"/>
            <w:vAlign w:val="bottom"/>
          </w:tcPr>
          <w:p>
            <w:pPr>
              <w:jc w:val="right"/>
              <w:ind w:right="158"/>
              <w:spacing w:after="0" w:line="126" w:lineRule="exact"/>
              <w:rPr>
                <w:sz w:val="20"/>
                <w:szCs w:val="20"/>
                <w:color w:val="auto"/>
              </w:rPr>
            </w:pPr>
            <w:r>
              <w:rPr>
                <w:rFonts w:ascii="Arial" w:cs="Arial" w:eastAsia="Arial" w:hAnsi="Arial"/>
                <w:sz w:val="12"/>
                <w:szCs w:val="12"/>
                <w:color w:val="auto"/>
              </w:rPr>
              <w:t>80</w:t>
            </w:r>
          </w:p>
        </w:tc>
        <w:tc>
          <w:tcPr>
            <w:tcW w:w="1100" w:type="dxa"/>
            <w:vAlign w:val="bottom"/>
          </w:tcPr>
          <w:p>
            <w:pPr>
              <w:jc w:val="right"/>
              <w:spacing w:after="0" w:line="126" w:lineRule="exact"/>
              <w:rPr>
                <w:sz w:val="20"/>
                <w:szCs w:val="20"/>
                <w:color w:val="auto"/>
              </w:rPr>
            </w:pPr>
            <w:r>
              <w:rPr>
                <w:rFonts w:ascii="Arial" w:cs="Arial" w:eastAsia="Arial" w:hAnsi="Arial"/>
                <w:sz w:val="12"/>
                <w:szCs w:val="12"/>
                <w:color w:val="auto"/>
              </w:rPr>
              <w:t>271</w:t>
            </w:r>
          </w:p>
        </w:tc>
        <w:tc>
          <w:tcPr>
            <w:tcW w:w="340" w:type="dxa"/>
            <w:vAlign w:val="bottom"/>
          </w:tcPr>
          <w:p>
            <w:pPr>
              <w:spacing w:after="0"/>
              <w:rPr>
                <w:sz w:val="10"/>
                <w:szCs w:val="10"/>
                <w:color w:val="auto"/>
              </w:rPr>
            </w:pPr>
          </w:p>
        </w:tc>
        <w:tc>
          <w:tcPr>
            <w:tcW w:w="1080" w:type="dxa"/>
            <w:vAlign w:val="bottom"/>
          </w:tcPr>
          <w:p>
            <w:pPr>
              <w:jc w:val="right"/>
              <w:spacing w:after="0" w:line="126" w:lineRule="exact"/>
              <w:rPr>
                <w:sz w:val="20"/>
                <w:szCs w:val="20"/>
                <w:color w:val="auto"/>
              </w:rPr>
            </w:pPr>
            <w:r>
              <w:rPr>
                <w:rFonts w:ascii="Arial" w:cs="Arial" w:eastAsia="Arial" w:hAnsi="Arial"/>
                <w:sz w:val="12"/>
                <w:szCs w:val="12"/>
                <w:color w:val="auto"/>
              </w:rPr>
              <w:t>1,129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ind w:left="120"/>
              <w:spacing w:after="0" w:line="134" w:lineRule="exact"/>
              <w:rPr>
                <w:sz w:val="20"/>
                <w:szCs w:val="20"/>
                <w:color w:val="auto"/>
              </w:rPr>
            </w:pPr>
            <w:r>
              <w:rPr>
                <w:rFonts w:ascii="Arial" w:cs="Arial" w:eastAsia="Arial" w:hAnsi="Arial"/>
                <w:sz w:val="12"/>
                <w:szCs w:val="12"/>
                <w:color w:val="auto"/>
              </w:rPr>
              <w:t>Other revenues</w:t>
            </w: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tcPr>
          <w:p>
            <w:pPr>
              <w:ind w:left="120"/>
              <w:spacing w:after="0"/>
              <w:rPr>
                <w:sz w:val="20"/>
                <w:szCs w:val="20"/>
                <w:color w:val="auto"/>
              </w:rPr>
            </w:pPr>
            <w:r>
              <w:rPr>
                <w:rFonts w:ascii="Arial" w:cs="Arial" w:eastAsia="Arial" w:hAnsi="Arial"/>
                <w:sz w:val="12"/>
                <w:szCs w:val="12"/>
                <w:color w:val="auto"/>
              </w:rPr>
              <w:t>Balancing accounts</w:t>
            </w: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tcBorders>
              <w:bottom w:val="single" w:sz="8" w:color="auto"/>
            </w:tcBorders>
          </w:tcPr>
          <w:p>
            <w:pPr>
              <w:ind w:left="260"/>
              <w:spacing w:after="0" w:line="134" w:lineRule="exact"/>
              <w:rPr>
                <w:sz w:val="20"/>
                <w:szCs w:val="20"/>
                <w:color w:val="auto"/>
              </w:rPr>
            </w:pPr>
            <w:r>
              <w:rPr>
                <w:rFonts w:ascii="Arial" w:cs="Arial" w:eastAsia="Arial" w:hAnsi="Arial"/>
                <w:sz w:val="12"/>
                <w:szCs w:val="12"/>
                <w:color w:val="auto"/>
              </w:rPr>
              <w:t>Total(1)</w:t>
            </w:r>
          </w:p>
        </w:tc>
        <w:tc>
          <w:tcPr>
            <w:tcW w:w="12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1,056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40" w:type="dxa"/>
            <w:vAlign w:val="bottom"/>
          </w:tcPr>
          <w:p>
            <w:pPr>
              <w:spacing w:after="0" w:line="126" w:lineRule="exact"/>
              <w:rPr>
                <w:sz w:val="20"/>
                <w:szCs w:val="20"/>
                <w:color w:val="auto"/>
              </w:rPr>
            </w:pPr>
            <w:r>
              <w:rPr>
                <w:rFonts w:ascii="Arial" w:cs="Arial" w:eastAsia="Arial" w:hAnsi="Arial"/>
                <w:sz w:val="12"/>
                <w:szCs w:val="12"/>
                <w:color w:val="auto"/>
              </w:rPr>
              <w:t>2010:</w:t>
            </w:r>
          </w:p>
        </w:tc>
        <w:tc>
          <w:tcPr>
            <w:tcW w:w="1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ind w:left="120"/>
              <w:spacing w:after="0" w:line="134" w:lineRule="exact"/>
              <w:rPr>
                <w:sz w:val="20"/>
                <w:szCs w:val="20"/>
                <w:color w:val="auto"/>
              </w:rPr>
            </w:pPr>
            <w:r>
              <w:rPr>
                <w:rFonts w:ascii="Arial" w:cs="Arial" w:eastAsia="Arial" w:hAnsi="Arial"/>
                <w:sz w:val="12"/>
                <w:szCs w:val="12"/>
                <w:color w:val="auto"/>
              </w:rPr>
              <w:t>Residential</w:t>
            </w:r>
          </w:p>
        </w:tc>
        <w:tc>
          <w:tcPr>
            <w:tcW w:w="1260" w:type="dxa"/>
            <w:vAlign w:val="bottom"/>
          </w:tcPr>
          <w:p>
            <w:pPr>
              <w:jc w:val="right"/>
              <w:spacing w:after="0" w:line="134" w:lineRule="exact"/>
              <w:rPr>
                <w:sz w:val="20"/>
                <w:szCs w:val="20"/>
                <w:color w:val="auto"/>
              </w:rPr>
            </w:pPr>
            <w:r>
              <w:rPr>
                <w:rFonts w:ascii="Arial" w:cs="Arial" w:eastAsia="Arial" w:hAnsi="Arial"/>
                <w:sz w:val="12"/>
                <w:szCs w:val="12"/>
                <w:color w:val="auto"/>
              </w:rPr>
              <w:t>85</w:t>
            </w:r>
          </w:p>
        </w:tc>
        <w:tc>
          <w:tcPr>
            <w:tcW w:w="30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159"/>
              <w:spacing w:after="0" w:line="134" w:lineRule="exact"/>
              <w:rPr>
                <w:sz w:val="20"/>
                <w:szCs w:val="20"/>
                <w:color w:val="auto"/>
              </w:rPr>
            </w:pPr>
            <w:r>
              <w:rPr>
                <w:rFonts w:ascii="Arial" w:cs="Arial" w:eastAsia="Arial" w:hAnsi="Arial"/>
                <w:sz w:val="12"/>
                <w:szCs w:val="12"/>
                <w:color w:val="auto"/>
              </w:rPr>
              <w:t>845</w:t>
            </w:r>
          </w:p>
        </w:tc>
        <w:tc>
          <w:tcPr>
            <w:tcW w:w="108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c>
          <w:tcPr>
            <w:tcW w:w="1100" w:type="dxa"/>
            <w:vAlign w:val="bottom"/>
          </w:tcPr>
          <w:p>
            <w:pPr>
              <w:jc w:val="right"/>
              <w:ind w:right="959"/>
              <w:spacing w:after="0" w:line="134" w:lineRule="exact"/>
              <w:rPr>
                <w:sz w:val="20"/>
                <w:szCs w:val="20"/>
                <w:color w:val="auto"/>
              </w:rPr>
            </w:pPr>
            <w:r>
              <w:rPr>
                <w:rFonts w:ascii="Arial" w:cs="Arial" w:eastAsia="Arial" w:hAnsi="Arial"/>
                <w:sz w:val="12"/>
                <w:szCs w:val="12"/>
                <w:color w:val="auto"/>
                <w:w w:val="89"/>
              </w:rPr>
              <w:t>$</w:t>
            </w:r>
          </w:p>
        </w:tc>
        <w:tc>
          <w:tcPr>
            <w:tcW w:w="520" w:type="dxa"/>
            <w:vAlign w:val="bottom"/>
          </w:tcPr>
          <w:p>
            <w:pPr>
              <w:jc w:val="right"/>
              <w:ind w:right="158"/>
              <w:spacing w:after="0" w:line="134" w:lineRule="exact"/>
              <w:rPr>
                <w:sz w:val="20"/>
                <w:szCs w:val="20"/>
                <w:color w:val="auto"/>
              </w:rPr>
            </w:pPr>
            <w:r>
              <w:rPr>
                <w:rFonts w:ascii="Arial" w:cs="Arial" w:eastAsia="Arial" w:hAnsi="Arial"/>
                <w:sz w:val="12"/>
                <w:szCs w:val="12"/>
                <w:color w:val="auto"/>
              </w:rPr>
              <w:t>1</w:t>
            </w:r>
          </w:p>
        </w:tc>
        <w:tc>
          <w:tcPr>
            <w:tcW w:w="1100" w:type="dxa"/>
            <w:vAlign w:val="bottom"/>
          </w:tcPr>
          <w:p>
            <w:pPr>
              <w:jc w:val="right"/>
              <w:spacing w:after="0" w:line="134" w:lineRule="exact"/>
              <w:rPr>
                <w:sz w:val="20"/>
                <w:szCs w:val="20"/>
                <w:color w:val="auto"/>
              </w:rPr>
            </w:pPr>
            <w:r>
              <w:rPr>
                <w:rFonts w:ascii="Arial" w:cs="Arial" w:eastAsia="Arial" w:hAnsi="Arial"/>
                <w:sz w:val="12"/>
                <w:szCs w:val="12"/>
                <w:color w:val="auto"/>
              </w:rPr>
              <w:t>86</w:t>
            </w: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34" w:lineRule="exact"/>
              <w:rPr>
                <w:sz w:val="20"/>
                <w:szCs w:val="20"/>
                <w:color w:val="auto"/>
              </w:rPr>
            </w:pPr>
            <w:r>
              <w:rPr>
                <w:rFonts w:ascii="Arial" w:cs="Arial" w:eastAsia="Arial" w:hAnsi="Arial"/>
                <w:sz w:val="12"/>
                <w:szCs w:val="12"/>
                <w:color w:val="auto"/>
              </w:rPr>
              <w:t>846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ind w:left="120"/>
              <w:spacing w:after="0" w:line="134" w:lineRule="exact"/>
              <w:rPr>
                <w:sz w:val="20"/>
                <w:szCs w:val="20"/>
                <w:color w:val="auto"/>
              </w:rPr>
            </w:pPr>
            <w:r>
              <w:rPr>
                <w:rFonts w:ascii="Arial" w:cs="Arial" w:eastAsia="Arial" w:hAnsi="Arial"/>
                <w:sz w:val="12"/>
                <w:szCs w:val="12"/>
                <w:color w:val="auto"/>
              </w:rPr>
              <w:t>Commercial and industrial</w:t>
            </w:r>
          </w:p>
        </w:tc>
        <w:tc>
          <w:tcPr>
            <w:tcW w:w="1260" w:type="dxa"/>
            <w:vAlign w:val="bottom"/>
          </w:tcPr>
          <w:p>
            <w:pPr>
              <w:jc w:val="right"/>
              <w:spacing w:after="0" w:line="134" w:lineRule="exact"/>
              <w:rPr>
                <w:sz w:val="20"/>
                <w:szCs w:val="20"/>
                <w:color w:val="auto"/>
              </w:rPr>
            </w:pPr>
            <w:r>
              <w:rPr>
                <w:rFonts w:ascii="Arial" w:cs="Arial" w:eastAsia="Arial" w:hAnsi="Arial"/>
                <w:sz w:val="12"/>
                <w:szCs w:val="12"/>
                <w:color w:val="auto"/>
              </w:rPr>
              <w:t>31</w:t>
            </w:r>
          </w:p>
        </w:tc>
        <w:tc>
          <w:tcPr>
            <w:tcW w:w="300" w:type="dxa"/>
            <w:vAlign w:val="bottom"/>
          </w:tcPr>
          <w:p>
            <w:pPr>
              <w:spacing w:after="0"/>
              <w:rPr>
                <w:sz w:val="11"/>
                <w:szCs w:val="11"/>
                <w:color w:val="auto"/>
              </w:rPr>
            </w:pPr>
          </w:p>
        </w:tc>
        <w:tc>
          <w:tcPr>
            <w:tcW w:w="1320" w:type="dxa"/>
            <w:vAlign w:val="bottom"/>
          </w:tcPr>
          <w:p>
            <w:pPr>
              <w:jc w:val="right"/>
              <w:ind w:right="159"/>
              <w:spacing w:after="0" w:line="134" w:lineRule="exact"/>
              <w:rPr>
                <w:sz w:val="20"/>
                <w:szCs w:val="20"/>
                <w:color w:val="auto"/>
              </w:rPr>
            </w:pPr>
            <w:r>
              <w:rPr>
                <w:rFonts w:ascii="Arial" w:cs="Arial" w:eastAsia="Arial" w:hAnsi="Arial"/>
                <w:sz w:val="12"/>
                <w:szCs w:val="12"/>
                <w:color w:val="auto"/>
              </w:rPr>
              <w:t>253</w:t>
            </w:r>
          </w:p>
        </w:tc>
        <w:tc>
          <w:tcPr>
            <w:tcW w:w="1080" w:type="dxa"/>
            <w:vAlign w:val="bottom"/>
          </w:tcPr>
          <w:p>
            <w:pPr>
              <w:jc w:val="right"/>
              <w:spacing w:after="0" w:line="134" w:lineRule="exact"/>
              <w:rPr>
                <w:sz w:val="20"/>
                <w:szCs w:val="20"/>
                <w:color w:val="auto"/>
              </w:rPr>
            </w:pPr>
            <w:r>
              <w:rPr>
                <w:rFonts w:ascii="Arial" w:cs="Arial" w:eastAsia="Arial" w:hAnsi="Arial"/>
                <w:sz w:val="12"/>
                <w:szCs w:val="12"/>
                <w:color w:val="auto"/>
              </w:rPr>
              <w:t>66</w:t>
            </w:r>
          </w:p>
        </w:tc>
        <w:tc>
          <w:tcPr>
            <w:tcW w:w="1100" w:type="dxa"/>
            <w:vAlign w:val="bottom"/>
          </w:tcPr>
          <w:p>
            <w:pPr>
              <w:spacing w:after="0"/>
              <w:rPr>
                <w:sz w:val="11"/>
                <w:szCs w:val="11"/>
                <w:color w:val="auto"/>
              </w:rPr>
            </w:pPr>
          </w:p>
        </w:tc>
        <w:tc>
          <w:tcPr>
            <w:tcW w:w="520" w:type="dxa"/>
            <w:vAlign w:val="bottom"/>
          </w:tcPr>
          <w:p>
            <w:pPr>
              <w:jc w:val="right"/>
              <w:ind w:right="158"/>
              <w:spacing w:after="0" w:line="134" w:lineRule="exact"/>
              <w:rPr>
                <w:sz w:val="20"/>
                <w:szCs w:val="20"/>
                <w:color w:val="auto"/>
              </w:rPr>
            </w:pPr>
            <w:r>
              <w:rPr>
                <w:rFonts w:ascii="Arial" w:cs="Arial" w:eastAsia="Arial" w:hAnsi="Arial"/>
                <w:sz w:val="12"/>
                <w:szCs w:val="12"/>
                <w:color w:val="auto"/>
              </w:rPr>
              <w:t>59</w:t>
            </w:r>
          </w:p>
        </w:tc>
        <w:tc>
          <w:tcPr>
            <w:tcW w:w="1100" w:type="dxa"/>
            <w:vAlign w:val="bottom"/>
          </w:tcPr>
          <w:p>
            <w:pPr>
              <w:jc w:val="right"/>
              <w:spacing w:after="0" w:line="134" w:lineRule="exact"/>
              <w:rPr>
                <w:sz w:val="20"/>
                <w:szCs w:val="20"/>
                <w:color w:val="auto"/>
              </w:rPr>
            </w:pPr>
            <w:r>
              <w:rPr>
                <w:rFonts w:ascii="Arial" w:cs="Arial" w:eastAsia="Arial" w:hAnsi="Arial"/>
                <w:sz w:val="12"/>
                <w:szCs w:val="12"/>
                <w:color w:val="auto"/>
              </w:rPr>
              <w:t>97</w:t>
            </w:r>
          </w:p>
        </w:tc>
        <w:tc>
          <w:tcPr>
            <w:tcW w:w="34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Arial" w:cs="Arial" w:eastAsia="Arial" w:hAnsi="Arial"/>
                <w:sz w:val="12"/>
                <w:szCs w:val="12"/>
                <w:color w:val="auto"/>
              </w:rPr>
              <w:t>312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ind w:left="120"/>
              <w:spacing w:after="0" w:line="134" w:lineRule="exact"/>
              <w:rPr>
                <w:sz w:val="20"/>
                <w:szCs w:val="20"/>
                <w:color w:val="auto"/>
              </w:rPr>
            </w:pPr>
            <w:r>
              <w:rPr>
                <w:rFonts w:ascii="Arial" w:cs="Arial" w:eastAsia="Arial" w:hAnsi="Arial"/>
                <w:sz w:val="12"/>
                <w:szCs w:val="12"/>
                <w:color w:val="auto"/>
              </w:rPr>
              <w:t>Electric generation plants</w:t>
            </w:r>
          </w:p>
        </w:tc>
        <w:tc>
          <w:tcPr>
            <w:tcW w:w="126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300" w:type="dxa"/>
            <w:vAlign w:val="bottom"/>
          </w:tcPr>
          <w:p>
            <w:pPr>
              <w:spacing w:after="0"/>
              <w:rPr>
                <w:sz w:val="11"/>
                <w:szCs w:val="11"/>
                <w:color w:val="auto"/>
              </w:rPr>
            </w:pPr>
          </w:p>
        </w:tc>
        <w:tc>
          <w:tcPr>
            <w:tcW w:w="1320" w:type="dxa"/>
            <w:vAlign w:val="bottom"/>
          </w:tcPr>
          <w:p>
            <w:pPr>
              <w:jc w:val="right"/>
              <w:ind w:right="159"/>
              <w:spacing w:after="0" w:line="134" w:lineRule="exact"/>
              <w:rPr>
                <w:sz w:val="20"/>
                <w:szCs w:val="20"/>
                <w:color w:val="auto"/>
              </w:rPr>
            </w:pPr>
            <w:r>
              <w:rPr>
                <w:rFonts w:ascii="Arial" w:cs="Arial" w:eastAsia="Arial" w:hAnsi="Arial"/>
                <w:sz w:val="12"/>
                <w:szCs w:val="12"/>
                <w:color w:val="auto"/>
              </w:rPr>
              <w:t>―</w:t>
            </w:r>
          </w:p>
        </w:tc>
        <w:tc>
          <w:tcPr>
            <w:tcW w:w="1080" w:type="dxa"/>
            <w:vAlign w:val="bottom"/>
          </w:tcPr>
          <w:p>
            <w:pPr>
              <w:jc w:val="right"/>
              <w:spacing w:after="0" w:line="134" w:lineRule="exact"/>
              <w:rPr>
                <w:sz w:val="20"/>
                <w:szCs w:val="20"/>
                <w:color w:val="auto"/>
              </w:rPr>
            </w:pPr>
            <w:r>
              <w:rPr>
                <w:rFonts w:ascii="Arial" w:cs="Arial" w:eastAsia="Arial" w:hAnsi="Arial"/>
                <w:sz w:val="12"/>
                <w:szCs w:val="12"/>
                <w:color w:val="auto"/>
              </w:rPr>
              <w:t>35</w:t>
            </w:r>
          </w:p>
        </w:tc>
        <w:tc>
          <w:tcPr>
            <w:tcW w:w="1100" w:type="dxa"/>
            <w:vAlign w:val="bottom"/>
          </w:tcPr>
          <w:p>
            <w:pPr>
              <w:spacing w:after="0"/>
              <w:rPr>
                <w:sz w:val="11"/>
                <w:szCs w:val="11"/>
                <w:color w:val="auto"/>
              </w:rPr>
            </w:pPr>
          </w:p>
        </w:tc>
        <w:tc>
          <w:tcPr>
            <w:tcW w:w="520" w:type="dxa"/>
            <w:vAlign w:val="bottom"/>
          </w:tcPr>
          <w:p>
            <w:pPr>
              <w:jc w:val="right"/>
              <w:ind w:right="158"/>
              <w:spacing w:after="0" w:line="134" w:lineRule="exact"/>
              <w:rPr>
                <w:sz w:val="20"/>
                <w:szCs w:val="20"/>
                <w:color w:val="auto"/>
              </w:rPr>
            </w:pPr>
            <w:r>
              <w:rPr>
                <w:rFonts w:ascii="Arial" w:cs="Arial" w:eastAsia="Arial" w:hAnsi="Arial"/>
                <w:sz w:val="12"/>
                <w:szCs w:val="12"/>
                <w:color w:val="auto"/>
              </w:rPr>
              <w:t>9</w:t>
            </w:r>
          </w:p>
        </w:tc>
        <w:tc>
          <w:tcPr>
            <w:tcW w:w="1100" w:type="dxa"/>
            <w:vAlign w:val="bottom"/>
          </w:tcPr>
          <w:p>
            <w:pPr>
              <w:jc w:val="right"/>
              <w:spacing w:after="0" w:line="134" w:lineRule="exact"/>
              <w:rPr>
                <w:sz w:val="20"/>
                <w:szCs w:val="20"/>
                <w:color w:val="auto"/>
              </w:rPr>
            </w:pPr>
            <w:r>
              <w:rPr>
                <w:rFonts w:ascii="Arial" w:cs="Arial" w:eastAsia="Arial" w:hAnsi="Arial"/>
                <w:sz w:val="12"/>
                <w:szCs w:val="12"/>
                <w:color w:val="auto"/>
              </w:rPr>
              <w:t>35</w:t>
            </w:r>
          </w:p>
        </w:tc>
        <w:tc>
          <w:tcPr>
            <w:tcW w:w="34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tcPr>
          <w:p>
            <w:pPr>
              <w:ind w:left="120"/>
              <w:spacing w:after="0"/>
              <w:rPr>
                <w:sz w:val="20"/>
                <w:szCs w:val="20"/>
                <w:color w:val="auto"/>
              </w:rPr>
            </w:pPr>
            <w:r>
              <w:rPr>
                <w:rFonts w:ascii="Arial" w:cs="Arial" w:eastAsia="Arial" w:hAnsi="Arial"/>
                <w:sz w:val="12"/>
                <w:szCs w:val="12"/>
                <w:color w:val="auto"/>
              </w:rPr>
              <w:t>Wholesale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w:t>
            </w:r>
          </w:p>
        </w:tc>
        <w:tc>
          <w:tcPr>
            <w:tcW w:w="1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w:t>
            </w: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260" w:type="dxa"/>
            <w:vAlign w:val="bottom"/>
          </w:tcPr>
          <w:p>
            <w:pPr>
              <w:jc w:val="right"/>
              <w:spacing w:after="0" w:line="126" w:lineRule="exact"/>
              <w:rPr>
                <w:sz w:val="20"/>
                <w:szCs w:val="20"/>
                <w:color w:val="auto"/>
              </w:rPr>
            </w:pPr>
            <w:r>
              <w:rPr>
                <w:rFonts w:ascii="Arial" w:cs="Arial" w:eastAsia="Arial" w:hAnsi="Arial"/>
                <w:sz w:val="12"/>
                <w:szCs w:val="12"/>
                <w:color w:val="auto"/>
              </w:rPr>
              <w:t>116</w:t>
            </w:r>
          </w:p>
        </w:tc>
        <w:tc>
          <w:tcPr>
            <w:tcW w:w="300" w:type="dxa"/>
            <w:vAlign w:val="bottom"/>
          </w:tcPr>
          <w:p>
            <w:pPr>
              <w:jc w:val="right"/>
              <w:ind w:right="138"/>
              <w:spacing w:after="0" w:line="126"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159"/>
              <w:spacing w:after="0" w:line="126" w:lineRule="exact"/>
              <w:rPr>
                <w:sz w:val="20"/>
                <w:szCs w:val="20"/>
                <w:color w:val="auto"/>
              </w:rPr>
            </w:pPr>
            <w:r>
              <w:rPr>
                <w:rFonts w:ascii="Arial" w:cs="Arial" w:eastAsia="Arial" w:hAnsi="Arial"/>
                <w:sz w:val="12"/>
                <w:szCs w:val="12"/>
                <w:color w:val="auto"/>
              </w:rPr>
              <w:t>1,098</w:t>
            </w:r>
          </w:p>
        </w:tc>
        <w:tc>
          <w:tcPr>
            <w:tcW w:w="1080" w:type="dxa"/>
            <w:vAlign w:val="bottom"/>
          </w:tcPr>
          <w:p>
            <w:pPr>
              <w:jc w:val="right"/>
              <w:spacing w:after="0" w:line="126" w:lineRule="exact"/>
              <w:rPr>
                <w:sz w:val="20"/>
                <w:szCs w:val="20"/>
                <w:color w:val="auto"/>
              </w:rPr>
            </w:pPr>
            <w:r>
              <w:rPr>
                <w:rFonts w:ascii="Arial" w:cs="Arial" w:eastAsia="Arial" w:hAnsi="Arial"/>
                <w:sz w:val="12"/>
                <w:szCs w:val="12"/>
                <w:color w:val="auto"/>
              </w:rPr>
              <w:t>146</w:t>
            </w:r>
          </w:p>
        </w:tc>
        <w:tc>
          <w:tcPr>
            <w:tcW w:w="1100" w:type="dxa"/>
            <w:vAlign w:val="bottom"/>
          </w:tcPr>
          <w:p>
            <w:pPr>
              <w:jc w:val="right"/>
              <w:ind w:right="959"/>
              <w:spacing w:after="0" w:line="126" w:lineRule="exact"/>
              <w:rPr>
                <w:sz w:val="20"/>
                <w:szCs w:val="20"/>
                <w:color w:val="auto"/>
              </w:rPr>
            </w:pPr>
            <w:r>
              <w:rPr>
                <w:rFonts w:ascii="Arial" w:cs="Arial" w:eastAsia="Arial" w:hAnsi="Arial"/>
                <w:sz w:val="12"/>
                <w:szCs w:val="12"/>
                <w:color w:val="auto"/>
                <w:w w:val="89"/>
              </w:rPr>
              <w:t>$</w:t>
            </w:r>
          </w:p>
        </w:tc>
        <w:tc>
          <w:tcPr>
            <w:tcW w:w="520" w:type="dxa"/>
            <w:vAlign w:val="bottom"/>
          </w:tcPr>
          <w:p>
            <w:pPr>
              <w:jc w:val="right"/>
              <w:ind w:right="158"/>
              <w:spacing w:after="0" w:line="126" w:lineRule="exact"/>
              <w:rPr>
                <w:sz w:val="20"/>
                <w:szCs w:val="20"/>
                <w:color w:val="auto"/>
              </w:rPr>
            </w:pPr>
            <w:r>
              <w:rPr>
                <w:rFonts w:ascii="Arial" w:cs="Arial" w:eastAsia="Arial" w:hAnsi="Arial"/>
                <w:sz w:val="12"/>
                <w:szCs w:val="12"/>
                <w:color w:val="auto"/>
              </w:rPr>
              <w:t>73</w:t>
            </w:r>
          </w:p>
        </w:tc>
        <w:tc>
          <w:tcPr>
            <w:tcW w:w="1100" w:type="dxa"/>
            <w:vAlign w:val="bottom"/>
          </w:tcPr>
          <w:p>
            <w:pPr>
              <w:jc w:val="right"/>
              <w:spacing w:after="0" w:line="126" w:lineRule="exact"/>
              <w:rPr>
                <w:sz w:val="20"/>
                <w:szCs w:val="20"/>
                <w:color w:val="auto"/>
              </w:rPr>
            </w:pPr>
            <w:r>
              <w:rPr>
                <w:rFonts w:ascii="Arial" w:cs="Arial" w:eastAsia="Arial" w:hAnsi="Arial"/>
                <w:sz w:val="12"/>
                <w:szCs w:val="12"/>
                <w:color w:val="auto"/>
              </w:rPr>
              <w:t>262</w:t>
            </w:r>
          </w:p>
        </w:tc>
        <w:tc>
          <w:tcPr>
            <w:tcW w:w="340" w:type="dxa"/>
            <w:vAlign w:val="bottom"/>
          </w:tcPr>
          <w:p>
            <w:pPr>
              <w:spacing w:after="0"/>
              <w:rPr>
                <w:sz w:val="10"/>
                <w:szCs w:val="10"/>
                <w:color w:val="auto"/>
              </w:rPr>
            </w:pPr>
          </w:p>
        </w:tc>
        <w:tc>
          <w:tcPr>
            <w:tcW w:w="1080" w:type="dxa"/>
            <w:vAlign w:val="bottom"/>
          </w:tcPr>
          <w:p>
            <w:pPr>
              <w:jc w:val="right"/>
              <w:spacing w:after="0" w:line="126" w:lineRule="exact"/>
              <w:rPr>
                <w:sz w:val="20"/>
                <w:szCs w:val="20"/>
                <w:color w:val="auto"/>
              </w:rPr>
            </w:pPr>
            <w:r>
              <w:rPr>
                <w:rFonts w:ascii="Arial" w:cs="Arial" w:eastAsia="Arial" w:hAnsi="Arial"/>
                <w:sz w:val="12"/>
                <w:szCs w:val="12"/>
                <w:color w:val="auto"/>
              </w:rPr>
              <w:t>1,171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40" w:type="dxa"/>
            <w:vAlign w:val="bottom"/>
          </w:tcPr>
          <w:p>
            <w:pPr>
              <w:ind w:left="120"/>
              <w:spacing w:after="0" w:line="134" w:lineRule="exact"/>
              <w:rPr>
                <w:sz w:val="20"/>
                <w:szCs w:val="20"/>
                <w:color w:val="auto"/>
              </w:rPr>
            </w:pPr>
            <w:r>
              <w:rPr>
                <w:rFonts w:ascii="Arial" w:cs="Arial" w:eastAsia="Arial" w:hAnsi="Arial"/>
                <w:sz w:val="12"/>
                <w:szCs w:val="12"/>
                <w:color w:val="auto"/>
              </w:rPr>
              <w:t>Other revenues</w:t>
            </w: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40" w:type="dxa"/>
            <w:vAlign w:val="bottom"/>
          </w:tcPr>
          <w:p>
            <w:pPr>
              <w:ind w:left="120"/>
              <w:spacing w:after="0"/>
              <w:rPr>
                <w:sz w:val="20"/>
                <w:szCs w:val="20"/>
                <w:color w:val="auto"/>
              </w:rPr>
            </w:pPr>
            <w:r>
              <w:rPr>
                <w:rFonts w:ascii="Arial" w:cs="Arial" w:eastAsia="Arial" w:hAnsi="Arial"/>
                <w:sz w:val="12"/>
                <w:szCs w:val="12"/>
                <w:color w:val="auto"/>
              </w:rPr>
              <w:t>Balancing accounts</w:t>
            </w: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40" w:type="dxa"/>
            <w:vAlign w:val="bottom"/>
          </w:tcPr>
          <w:p>
            <w:pPr>
              <w:ind w:left="260"/>
              <w:spacing w:after="0"/>
              <w:rPr>
                <w:sz w:val="20"/>
                <w:szCs w:val="20"/>
                <w:color w:val="auto"/>
              </w:rPr>
            </w:pPr>
            <w:r>
              <w:rPr>
                <w:rFonts w:ascii="Arial" w:cs="Arial" w:eastAsia="Arial" w:hAnsi="Arial"/>
                <w:sz w:val="12"/>
                <w:szCs w:val="12"/>
                <w:color w:val="auto"/>
              </w:rPr>
              <w:t>Total(1)</w:t>
            </w: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1,182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279005" cy="133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(1) Includes sales to affiliates of $13 million in 2011 and $11 million in 2010.</w:t>
      </w:r>
    </w:p>
    <w:p>
      <w:pPr>
        <w:spacing w:after="0" w:line="180" w:lineRule="exact"/>
        <w:rPr>
          <w:sz w:val="20"/>
          <w:szCs w:val="20"/>
          <w:color w:val="auto"/>
        </w:rPr>
      </w:pPr>
    </w:p>
    <w:p>
      <w:pPr>
        <w:spacing w:after="0"/>
        <w:rPr>
          <w:sz w:val="20"/>
          <w:szCs w:val="20"/>
          <w:color w:val="auto"/>
        </w:rPr>
      </w:pPr>
      <w:r>
        <w:rPr>
          <w:rFonts w:ascii="Arial" w:cs="Arial" w:eastAsia="Arial" w:hAnsi="Arial"/>
          <w:sz w:val="11"/>
          <w:szCs w:val="11"/>
          <w:color w:val="auto"/>
        </w:rPr>
        <w:t>During the three months ended March 31, 2011, SoCalGas' natural gas revenues decreased by $126 million (11%) to $1.1 billion, and the cost of natural gas decreased by $143 million (21%) to $531 million.</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The decrease in revenues was primarily due to:</w:t>
      </w:r>
    </w:p>
    <w:p>
      <w:pPr>
        <w:spacing w:after="0" w:line="160" w:lineRule="exact"/>
        <w:rPr>
          <w:sz w:val="20"/>
          <w:szCs w:val="20"/>
          <w:color w:val="auto"/>
        </w:rPr>
      </w:pPr>
    </w:p>
    <w:p>
      <w:pPr>
        <w:ind w:left="260" w:hanging="147"/>
        <w:spacing w:after="0"/>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decrease in cost of natural gas, which was caused primarily by lower natural gas prices, as we discuss below; and</w:t>
      </w:r>
    </w:p>
    <w:p>
      <w:pPr>
        <w:spacing w:after="0" w:line="186" w:lineRule="exact"/>
        <w:rPr>
          <w:rFonts w:ascii="Arial" w:cs="Arial" w:eastAsia="Arial" w:hAnsi="Arial"/>
          <w:sz w:val="14"/>
          <w:szCs w:val="14"/>
          <w:color w:val="auto"/>
        </w:rPr>
      </w:pPr>
    </w:p>
    <w:p>
      <w:pPr>
        <w:ind w:left="260" w:hanging="147"/>
        <w:spacing w:after="0"/>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$12 million lower regulatory awards; </w:t>
      </w:r>
      <w:r>
        <w:rPr>
          <w:rFonts w:ascii="Arial" w:cs="Arial" w:eastAsia="Arial" w:hAnsi="Arial"/>
          <w:sz w:val="14"/>
          <w:szCs w:val="14"/>
          <w:b w:val="1"/>
          <w:bCs w:val="1"/>
          <w:color w:val="auto"/>
        </w:rPr>
        <w:t>offset by</w:t>
      </w:r>
    </w:p>
    <w:p>
      <w:pPr>
        <w:spacing w:after="0" w:line="194" w:lineRule="exact"/>
        <w:rPr>
          <w:rFonts w:ascii="Arial" w:cs="Arial" w:eastAsia="Arial" w:hAnsi="Arial"/>
          <w:sz w:val="14"/>
          <w:szCs w:val="14"/>
          <w:color w:val="auto"/>
        </w:rPr>
      </w:pPr>
    </w:p>
    <w:p>
      <w:pPr>
        <w:ind w:left="260" w:hanging="147"/>
        <w:spacing w:after="0"/>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$19 million higher recovery of CPUC-authorized costs, which revenues are fully offset in operation and maintenance expenses; and</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$13 million higher authorized base margin.</w:t>
      </w:r>
    </w:p>
    <w:p>
      <w:pPr>
        <w:spacing w:after="0" w:line="190" w:lineRule="exact"/>
        <w:rPr>
          <w:sz w:val="20"/>
          <w:szCs w:val="20"/>
          <w:color w:val="auto"/>
        </w:rPr>
      </w:pPr>
    </w:p>
    <w:p>
      <w:pPr>
        <w:jc w:val="both"/>
        <w:ind w:right="400"/>
        <w:spacing w:after="0" w:line="256" w:lineRule="auto"/>
        <w:rPr>
          <w:sz w:val="20"/>
          <w:szCs w:val="20"/>
          <w:color w:val="auto"/>
        </w:rPr>
      </w:pPr>
      <w:r>
        <w:rPr>
          <w:rFonts w:ascii="Arial" w:cs="Arial" w:eastAsia="Arial" w:hAnsi="Arial"/>
          <w:sz w:val="14"/>
          <w:szCs w:val="14"/>
          <w:color w:val="auto"/>
        </w:rPr>
        <w:t>The average cost of natural gas for the three months ended March 31, 2011 was $4.36 per Mcf compared to $5.81 per Mcf for the corresponding period in 2010, a 25-percent decrease or $1.45 per Mcf, resulting in lower revenues and cost of $176 million. The decrease due to the lower average cost of natural gas delivered was partially offset by higher demand for natural gas, which resulted in higher revenues and cost of $33 million in 2011.</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Energy and SDG&amp;E: Electric Revenues and Cost of Electric Fuel and Purchased Power</w:t>
      </w:r>
    </w:p>
    <w:p>
      <w:pPr>
        <w:spacing w:after="0" w:line="160" w:lineRule="exact"/>
        <w:rPr>
          <w:sz w:val="20"/>
          <w:szCs w:val="20"/>
          <w:color w:val="auto"/>
        </w:rPr>
      </w:pPr>
    </w:p>
    <w:p>
      <w:pPr>
        <w:ind w:right="520"/>
        <w:spacing w:after="0" w:line="267" w:lineRule="auto"/>
        <w:rPr>
          <w:sz w:val="20"/>
          <w:szCs w:val="20"/>
          <w:color w:val="auto"/>
        </w:rPr>
      </w:pPr>
      <w:r>
        <w:rPr>
          <w:rFonts w:ascii="Arial" w:cs="Arial" w:eastAsia="Arial" w:hAnsi="Arial"/>
          <w:sz w:val="14"/>
          <w:szCs w:val="14"/>
          <w:color w:val="auto"/>
        </w:rPr>
        <w:t>The table below shows electric revenues for Sempra Energy and SDG&amp;E for the three-month periods ended March 31, 2011 and 2010. Sempra Energy Consolidated amounts are net of intercompany transactions. Because the cost of electricity is substantially recovered in rates, changes in the cost are reflected in the changes in revenues.</w:t>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ELECTRIC DISTRIBUTION AND TRANSMISSION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300" w:type="dxa"/>
            <w:vAlign w:val="bottom"/>
            <w:gridSpan w:val="2"/>
          </w:tcPr>
          <w:p>
            <w:pPr>
              <w:spacing w:after="0"/>
              <w:rPr>
                <w:sz w:val="20"/>
                <w:szCs w:val="20"/>
                <w:color w:val="auto"/>
              </w:rPr>
            </w:pPr>
            <w:r>
              <w:rPr>
                <w:rFonts w:ascii="Arial" w:cs="Arial" w:eastAsia="Arial" w:hAnsi="Arial"/>
                <w:sz w:val="11"/>
                <w:szCs w:val="11"/>
                <w:i w:val="1"/>
                <w:iCs w:val="1"/>
                <w:color w:val="auto"/>
              </w:rPr>
              <w:t>(Volumes in millions of kilowatt-hours, dollars in millions)</w:t>
            </w:r>
          </w:p>
        </w:tc>
        <w:tc>
          <w:tcPr>
            <w:tcW w:w="1840" w:type="dxa"/>
            <w:vAlign w:val="bottom"/>
            <w:gridSpan w:val="2"/>
            <w:vMerge w:val="restart"/>
          </w:tcPr>
          <w:p>
            <w:pPr>
              <w:jc w:val="right"/>
              <w:ind w:right="138"/>
              <w:spacing w:after="0"/>
              <w:rPr>
                <w:sz w:val="20"/>
                <w:szCs w:val="20"/>
                <w:color w:val="auto"/>
              </w:rPr>
            </w:pPr>
            <w:r>
              <w:rPr>
                <w:rFonts w:ascii="Arial" w:cs="Arial" w:eastAsia="Arial" w:hAnsi="Arial"/>
                <w:sz w:val="11"/>
                <w:szCs w:val="11"/>
                <w:color w:val="auto"/>
              </w:rPr>
              <w:t>2011</w:t>
            </w:r>
          </w:p>
        </w:tc>
        <w:tc>
          <w:tcPr>
            <w:tcW w:w="1480" w:type="dxa"/>
            <w:vAlign w:val="bottom"/>
          </w:tcPr>
          <w:p>
            <w:pPr>
              <w:spacing w:after="0"/>
              <w:rPr>
                <w:sz w:val="12"/>
                <w:szCs w:val="12"/>
                <w:color w:val="auto"/>
              </w:rPr>
            </w:pPr>
          </w:p>
        </w:tc>
        <w:tc>
          <w:tcPr>
            <w:tcW w:w="1600" w:type="dxa"/>
            <w:vAlign w:val="bottom"/>
            <w:gridSpan w:val="2"/>
            <w:vMerge w:val="restart"/>
          </w:tcPr>
          <w:p>
            <w:pPr>
              <w:jc w:val="right"/>
              <w:ind w:right="138"/>
              <w:spacing w:after="0"/>
              <w:rPr>
                <w:sz w:val="20"/>
                <w:szCs w:val="20"/>
                <w:color w:val="auto"/>
              </w:rPr>
            </w:pPr>
            <w:r>
              <w:rPr>
                <w:rFonts w:ascii="Arial" w:cs="Arial" w:eastAsia="Arial" w:hAnsi="Arial"/>
                <w:sz w:val="11"/>
                <w:szCs w:val="11"/>
                <w:color w:val="auto"/>
              </w:rPr>
              <w:t>2010</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840" w:type="dxa"/>
            <w:vAlign w:val="bottom"/>
            <w:tcBorders>
              <w:bottom w:val="single" w:sz="8" w:color="auto"/>
            </w:tcBorders>
            <w:gridSpan w:val="2"/>
            <w:vMerge w:val="continue"/>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gridSpan w:val="2"/>
            <w:vMerge w:val="continue"/>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300" w:type="dxa"/>
            <w:vAlign w:val="bottom"/>
            <w:tcBorders>
              <w:bottom w:val="single" w:sz="8" w:color="auto"/>
            </w:tcBorders>
            <w:gridSpan w:val="2"/>
          </w:tcPr>
          <w:p>
            <w:pPr>
              <w:spacing w:after="0" w:line="124" w:lineRule="exact"/>
              <w:rPr>
                <w:sz w:val="20"/>
                <w:szCs w:val="20"/>
                <w:color w:val="auto"/>
              </w:rPr>
            </w:pPr>
            <w:r>
              <w:rPr>
                <w:rFonts w:ascii="Arial" w:cs="Arial" w:eastAsia="Arial" w:hAnsi="Arial"/>
                <w:sz w:val="11"/>
                <w:szCs w:val="11"/>
                <w:color w:val="auto"/>
              </w:rPr>
              <w:t>Customer class</w:t>
            </w:r>
          </w:p>
        </w:tc>
        <w:tc>
          <w:tcPr>
            <w:tcW w:w="1440" w:type="dxa"/>
            <w:vAlign w:val="bottom"/>
            <w:tcBorders>
              <w:bottom w:val="single" w:sz="8" w:color="auto"/>
            </w:tcBorders>
          </w:tcPr>
          <w:p>
            <w:pPr>
              <w:jc w:val="right"/>
              <w:ind w:right="439"/>
              <w:spacing w:after="0" w:line="124" w:lineRule="exact"/>
              <w:rPr>
                <w:sz w:val="20"/>
                <w:szCs w:val="20"/>
                <w:color w:val="auto"/>
              </w:rPr>
            </w:pPr>
            <w:r>
              <w:rPr>
                <w:rFonts w:ascii="Arial" w:cs="Arial" w:eastAsia="Arial" w:hAnsi="Arial"/>
                <w:sz w:val="11"/>
                <w:szCs w:val="11"/>
                <w:color w:val="auto"/>
              </w:rPr>
              <w:t>Volumes</w:t>
            </w:r>
          </w:p>
        </w:tc>
        <w:tc>
          <w:tcPr>
            <w:tcW w:w="4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jc w:val="right"/>
              <w:ind w:right="778"/>
              <w:spacing w:after="0" w:line="124" w:lineRule="exact"/>
              <w:rPr>
                <w:sz w:val="20"/>
                <w:szCs w:val="20"/>
                <w:color w:val="auto"/>
              </w:rPr>
            </w:pPr>
            <w:r>
              <w:rPr>
                <w:rFonts w:ascii="Arial" w:cs="Arial" w:eastAsia="Arial" w:hAnsi="Arial"/>
                <w:sz w:val="11"/>
                <w:szCs w:val="11"/>
                <w:color w:val="auto"/>
              </w:rPr>
              <w:t>Revenue</w:t>
            </w:r>
          </w:p>
        </w:tc>
        <w:tc>
          <w:tcPr>
            <w:tcW w:w="1200" w:type="dxa"/>
            <w:vAlign w:val="bottom"/>
            <w:tcBorders>
              <w:bottom w:val="single" w:sz="8" w:color="auto"/>
            </w:tcBorders>
          </w:tcPr>
          <w:p>
            <w:pPr>
              <w:jc w:val="right"/>
              <w:ind w:right="459"/>
              <w:spacing w:after="0" w:line="124" w:lineRule="exact"/>
              <w:rPr>
                <w:sz w:val="20"/>
                <w:szCs w:val="20"/>
                <w:color w:val="auto"/>
              </w:rPr>
            </w:pPr>
            <w:r>
              <w:rPr>
                <w:rFonts w:ascii="Arial" w:cs="Arial" w:eastAsia="Arial" w:hAnsi="Arial"/>
                <w:sz w:val="11"/>
                <w:szCs w:val="11"/>
                <w:color w:val="auto"/>
              </w:rPr>
              <w:t>Volumes</w:t>
            </w:r>
          </w:p>
        </w:tc>
        <w:tc>
          <w:tcPr>
            <w:tcW w:w="4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538"/>
              <w:spacing w:after="0" w:line="124" w:lineRule="exact"/>
              <w:rPr>
                <w:sz w:val="20"/>
                <w:szCs w:val="20"/>
                <w:color w:val="auto"/>
              </w:rPr>
            </w:pPr>
            <w:r>
              <w:rPr>
                <w:rFonts w:ascii="Arial" w:cs="Arial" w:eastAsia="Arial" w:hAnsi="Arial"/>
                <w:sz w:val="11"/>
                <w:szCs w:val="11"/>
                <w:color w:val="auto"/>
              </w:rPr>
              <w:t>Revenue</w:t>
            </w:r>
          </w:p>
        </w:tc>
        <w:tc>
          <w:tcPr>
            <w:tcW w:w="0" w:type="dxa"/>
            <w:vAlign w:val="bottom"/>
          </w:tcPr>
          <w:p>
            <w:pPr>
              <w:spacing w:after="0"/>
              <w:rPr>
                <w:sz w:val="1"/>
                <w:szCs w:val="1"/>
                <w:color w:val="auto"/>
              </w:rPr>
            </w:pPr>
          </w:p>
        </w:tc>
      </w:tr>
      <w:tr>
        <w:trPr>
          <w:trHeight w:val="125"/>
        </w:trPr>
        <w:tc>
          <w:tcPr>
            <w:tcW w:w="53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Sempra Energy Consolidated:</w:t>
            </w:r>
          </w:p>
        </w:tc>
        <w:tc>
          <w:tcPr>
            <w:tcW w:w="1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5300" w:type="dxa"/>
            <w:vAlign w:val="bottom"/>
            <w:gridSpan w:val="2"/>
          </w:tcPr>
          <w:p>
            <w:pPr>
              <w:spacing w:after="0" w:line="134" w:lineRule="exact"/>
              <w:rPr>
                <w:sz w:val="20"/>
                <w:szCs w:val="20"/>
                <w:color w:val="auto"/>
              </w:rPr>
            </w:pPr>
            <w:r>
              <w:rPr>
                <w:rFonts w:ascii="Arial" w:cs="Arial" w:eastAsia="Arial" w:hAnsi="Arial"/>
                <w:sz w:val="12"/>
                <w:szCs w:val="12"/>
                <w:color w:val="auto"/>
              </w:rPr>
              <w:t>Residential</w:t>
            </w:r>
          </w:p>
        </w:tc>
        <w:tc>
          <w:tcPr>
            <w:tcW w:w="1440" w:type="dxa"/>
            <w:vAlign w:val="bottom"/>
          </w:tcPr>
          <w:p>
            <w:pPr>
              <w:jc w:val="right"/>
              <w:spacing w:after="0" w:line="134" w:lineRule="exact"/>
              <w:rPr>
                <w:sz w:val="20"/>
                <w:szCs w:val="20"/>
                <w:color w:val="auto"/>
              </w:rPr>
            </w:pPr>
            <w:r>
              <w:rPr>
                <w:rFonts w:ascii="Arial" w:cs="Arial" w:eastAsia="Arial" w:hAnsi="Arial"/>
                <w:sz w:val="12"/>
                <w:szCs w:val="12"/>
                <w:color w:val="auto"/>
              </w:rPr>
              <w:t>1,959</w:t>
            </w:r>
          </w:p>
        </w:tc>
        <w:tc>
          <w:tcPr>
            <w:tcW w:w="400" w:type="dxa"/>
            <w:vAlign w:val="bottom"/>
          </w:tcPr>
          <w:p>
            <w:pPr>
              <w:jc w:val="right"/>
              <w:ind w:right="238"/>
              <w:spacing w:after="0" w:line="134" w:lineRule="exact"/>
              <w:rPr>
                <w:sz w:val="20"/>
                <w:szCs w:val="20"/>
                <w:color w:val="auto"/>
              </w:rPr>
            </w:pPr>
            <w:r>
              <w:rPr>
                <w:rFonts w:ascii="Arial" w:cs="Arial" w:eastAsia="Arial" w:hAnsi="Arial"/>
                <w:sz w:val="12"/>
                <w:szCs w:val="12"/>
                <w:color w:val="auto"/>
              </w:rPr>
              <w:t>$</w:t>
            </w:r>
          </w:p>
        </w:tc>
        <w:tc>
          <w:tcPr>
            <w:tcW w:w="148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314</w:t>
            </w:r>
          </w:p>
        </w:tc>
        <w:tc>
          <w:tcPr>
            <w:tcW w:w="1200" w:type="dxa"/>
            <w:vAlign w:val="bottom"/>
          </w:tcPr>
          <w:p>
            <w:pPr>
              <w:jc w:val="right"/>
              <w:spacing w:after="0" w:line="134" w:lineRule="exact"/>
              <w:rPr>
                <w:sz w:val="20"/>
                <w:szCs w:val="20"/>
                <w:color w:val="auto"/>
              </w:rPr>
            </w:pPr>
            <w:r>
              <w:rPr>
                <w:rFonts w:ascii="Arial" w:cs="Arial" w:eastAsia="Arial" w:hAnsi="Arial"/>
                <w:sz w:val="12"/>
                <w:szCs w:val="12"/>
                <w:color w:val="auto"/>
              </w:rPr>
              <w:t>1,913</w:t>
            </w:r>
          </w:p>
        </w:tc>
        <w:tc>
          <w:tcPr>
            <w:tcW w:w="400" w:type="dxa"/>
            <w:vAlign w:val="bottom"/>
          </w:tcPr>
          <w:p>
            <w:pPr>
              <w:jc w:val="right"/>
              <w:ind w:right="258"/>
              <w:spacing w:after="0" w:line="134" w:lineRule="exact"/>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line="134" w:lineRule="exact"/>
              <w:rPr>
                <w:sz w:val="20"/>
                <w:szCs w:val="20"/>
                <w:color w:val="auto"/>
              </w:rPr>
            </w:pPr>
            <w:r>
              <w:rPr>
                <w:rFonts w:ascii="Arial" w:cs="Arial" w:eastAsia="Arial" w:hAnsi="Arial"/>
                <w:sz w:val="12"/>
                <w:szCs w:val="12"/>
                <w:color w:val="auto"/>
              </w:rPr>
              <w:t>276</w:t>
            </w:r>
          </w:p>
        </w:tc>
        <w:tc>
          <w:tcPr>
            <w:tcW w:w="0" w:type="dxa"/>
            <w:vAlign w:val="bottom"/>
          </w:tcPr>
          <w:p>
            <w:pPr>
              <w:spacing w:after="0"/>
              <w:rPr>
                <w:sz w:val="1"/>
                <w:szCs w:val="1"/>
                <w:color w:val="auto"/>
              </w:rPr>
            </w:pPr>
          </w:p>
        </w:tc>
      </w:tr>
      <w:tr>
        <w:trPr>
          <w:trHeight w:val="134"/>
        </w:trPr>
        <w:tc>
          <w:tcPr>
            <w:tcW w:w="5300" w:type="dxa"/>
            <w:vAlign w:val="bottom"/>
            <w:gridSpan w:val="2"/>
          </w:tcPr>
          <w:p>
            <w:pPr>
              <w:spacing w:after="0" w:line="134" w:lineRule="exact"/>
              <w:rPr>
                <w:sz w:val="20"/>
                <w:szCs w:val="20"/>
                <w:color w:val="auto"/>
              </w:rPr>
            </w:pPr>
            <w:r>
              <w:rPr>
                <w:rFonts w:ascii="Arial" w:cs="Arial" w:eastAsia="Arial" w:hAnsi="Arial"/>
                <w:sz w:val="12"/>
                <w:szCs w:val="12"/>
                <w:color w:val="auto"/>
              </w:rPr>
              <w:t>Commercial</w:t>
            </w:r>
          </w:p>
        </w:tc>
        <w:tc>
          <w:tcPr>
            <w:tcW w:w="1440" w:type="dxa"/>
            <w:vAlign w:val="bottom"/>
          </w:tcPr>
          <w:p>
            <w:pPr>
              <w:jc w:val="right"/>
              <w:spacing w:after="0" w:line="134" w:lineRule="exact"/>
              <w:rPr>
                <w:sz w:val="20"/>
                <w:szCs w:val="20"/>
                <w:color w:val="auto"/>
              </w:rPr>
            </w:pPr>
            <w:r>
              <w:rPr>
                <w:rFonts w:ascii="Arial" w:cs="Arial" w:eastAsia="Arial" w:hAnsi="Arial"/>
                <w:sz w:val="12"/>
                <w:szCs w:val="12"/>
                <w:color w:val="auto"/>
              </w:rPr>
              <w:t>1,669</w:t>
            </w:r>
          </w:p>
        </w:tc>
        <w:tc>
          <w:tcPr>
            <w:tcW w:w="400" w:type="dxa"/>
            <w:vAlign w:val="bottom"/>
          </w:tcPr>
          <w:p>
            <w:pPr>
              <w:spacing w:after="0"/>
              <w:rPr>
                <w:sz w:val="11"/>
                <w:szCs w:val="11"/>
                <w:color w:val="auto"/>
              </w:rPr>
            </w:pPr>
          </w:p>
        </w:tc>
        <w:tc>
          <w:tcPr>
            <w:tcW w:w="148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231</w:t>
            </w:r>
          </w:p>
        </w:tc>
        <w:tc>
          <w:tcPr>
            <w:tcW w:w="1200" w:type="dxa"/>
            <w:vAlign w:val="bottom"/>
          </w:tcPr>
          <w:p>
            <w:pPr>
              <w:jc w:val="right"/>
              <w:spacing w:after="0" w:line="134" w:lineRule="exact"/>
              <w:rPr>
                <w:sz w:val="20"/>
                <w:szCs w:val="20"/>
                <w:color w:val="auto"/>
              </w:rPr>
            </w:pPr>
            <w:r>
              <w:rPr>
                <w:rFonts w:ascii="Arial" w:cs="Arial" w:eastAsia="Arial" w:hAnsi="Arial"/>
                <w:sz w:val="12"/>
                <w:szCs w:val="12"/>
                <w:color w:val="auto"/>
              </w:rPr>
              <w:t>1,595</w:t>
            </w:r>
          </w:p>
        </w:tc>
        <w:tc>
          <w:tcPr>
            <w:tcW w:w="400" w:type="dxa"/>
            <w:vAlign w:val="bottom"/>
          </w:tcPr>
          <w:p>
            <w:pPr>
              <w:spacing w:after="0"/>
              <w:rPr>
                <w:sz w:val="11"/>
                <w:szCs w:val="11"/>
                <w:color w:val="auto"/>
              </w:rPr>
            </w:pPr>
          </w:p>
        </w:tc>
        <w:tc>
          <w:tcPr>
            <w:tcW w:w="1240" w:type="dxa"/>
            <w:vAlign w:val="bottom"/>
          </w:tcPr>
          <w:p>
            <w:pPr>
              <w:jc w:val="right"/>
              <w:spacing w:after="0" w:line="134" w:lineRule="exact"/>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34"/>
        </w:trPr>
        <w:tc>
          <w:tcPr>
            <w:tcW w:w="5300" w:type="dxa"/>
            <w:vAlign w:val="bottom"/>
            <w:gridSpan w:val="2"/>
          </w:tcPr>
          <w:p>
            <w:pPr>
              <w:spacing w:after="0" w:line="134" w:lineRule="exact"/>
              <w:rPr>
                <w:sz w:val="20"/>
                <w:szCs w:val="20"/>
                <w:color w:val="auto"/>
              </w:rPr>
            </w:pPr>
            <w:r>
              <w:rPr>
                <w:rFonts w:ascii="Arial" w:cs="Arial" w:eastAsia="Arial" w:hAnsi="Arial"/>
                <w:sz w:val="12"/>
                <w:szCs w:val="12"/>
                <w:color w:val="auto"/>
              </w:rPr>
              <w:t>Industrial</w:t>
            </w:r>
          </w:p>
        </w:tc>
        <w:tc>
          <w:tcPr>
            <w:tcW w:w="1440" w:type="dxa"/>
            <w:vAlign w:val="bottom"/>
          </w:tcPr>
          <w:p>
            <w:pPr>
              <w:jc w:val="right"/>
              <w:spacing w:after="0" w:line="134" w:lineRule="exact"/>
              <w:rPr>
                <w:sz w:val="20"/>
                <w:szCs w:val="20"/>
                <w:color w:val="auto"/>
              </w:rPr>
            </w:pPr>
            <w:r>
              <w:rPr>
                <w:rFonts w:ascii="Arial" w:cs="Arial" w:eastAsia="Arial" w:hAnsi="Arial"/>
                <w:sz w:val="12"/>
                <w:szCs w:val="12"/>
                <w:color w:val="auto"/>
              </w:rPr>
              <w:t>490</w:t>
            </w:r>
          </w:p>
        </w:tc>
        <w:tc>
          <w:tcPr>
            <w:tcW w:w="400" w:type="dxa"/>
            <w:vAlign w:val="bottom"/>
          </w:tcPr>
          <w:p>
            <w:pPr>
              <w:spacing w:after="0"/>
              <w:rPr>
                <w:sz w:val="11"/>
                <w:szCs w:val="11"/>
                <w:color w:val="auto"/>
              </w:rPr>
            </w:pPr>
          </w:p>
        </w:tc>
        <w:tc>
          <w:tcPr>
            <w:tcW w:w="148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57</w:t>
            </w:r>
          </w:p>
        </w:tc>
        <w:tc>
          <w:tcPr>
            <w:tcW w:w="1200" w:type="dxa"/>
            <w:vAlign w:val="bottom"/>
          </w:tcPr>
          <w:p>
            <w:pPr>
              <w:jc w:val="right"/>
              <w:spacing w:after="0" w:line="134" w:lineRule="exact"/>
              <w:rPr>
                <w:sz w:val="20"/>
                <w:szCs w:val="20"/>
                <w:color w:val="auto"/>
              </w:rPr>
            </w:pPr>
            <w:r>
              <w:rPr>
                <w:rFonts w:ascii="Arial" w:cs="Arial" w:eastAsia="Arial" w:hAnsi="Arial"/>
                <w:sz w:val="12"/>
                <w:szCs w:val="12"/>
                <w:color w:val="auto"/>
              </w:rPr>
              <w:t>524</w:t>
            </w:r>
          </w:p>
        </w:tc>
        <w:tc>
          <w:tcPr>
            <w:tcW w:w="400" w:type="dxa"/>
            <w:vAlign w:val="bottom"/>
          </w:tcPr>
          <w:p>
            <w:pPr>
              <w:spacing w:after="0"/>
              <w:rPr>
                <w:sz w:val="11"/>
                <w:szCs w:val="11"/>
                <w:color w:val="auto"/>
              </w:rPr>
            </w:pPr>
          </w:p>
        </w:tc>
        <w:tc>
          <w:tcPr>
            <w:tcW w:w="1240" w:type="dxa"/>
            <w:vAlign w:val="bottom"/>
          </w:tcPr>
          <w:p>
            <w:pPr>
              <w:jc w:val="right"/>
              <w:spacing w:after="0" w:line="134" w:lineRule="exact"/>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134"/>
        </w:trPr>
        <w:tc>
          <w:tcPr>
            <w:tcW w:w="5300" w:type="dxa"/>
            <w:vAlign w:val="bottom"/>
            <w:gridSpan w:val="2"/>
          </w:tcPr>
          <w:p>
            <w:pPr>
              <w:spacing w:after="0" w:line="134" w:lineRule="exact"/>
              <w:rPr>
                <w:sz w:val="20"/>
                <w:szCs w:val="20"/>
                <w:color w:val="auto"/>
              </w:rPr>
            </w:pPr>
            <w:r>
              <w:rPr>
                <w:rFonts w:ascii="Arial" w:cs="Arial" w:eastAsia="Arial" w:hAnsi="Arial"/>
                <w:sz w:val="12"/>
                <w:szCs w:val="12"/>
                <w:color w:val="auto"/>
              </w:rPr>
              <w:t>Direct access</w:t>
            </w:r>
          </w:p>
        </w:tc>
        <w:tc>
          <w:tcPr>
            <w:tcW w:w="1440" w:type="dxa"/>
            <w:vAlign w:val="bottom"/>
          </w:tcPr>
          <w:p>
            <w:pPr>
              <w:jc w:val="right"/>
              <w:spacing w:after="0" w:line="134" w:lineRule="exact"/>
              <w:rPr>
                <w:sz w:val="20"/>
                <w:szCs w:val="20"/>
                <w:color w:val="auto"/>
              </w:rPr>
            </w:pPr>
            <w:r>
              <w:rPr>
                <w:rFonts w:ascii="Arial" w:cs="Arial" w:eastAsia="Arial" w:hAnsi="Arial"/>
                <w:sz w:val="12"/>
                <w:szCs w:val="12"/>
                <w:color w:val="auto"/>
              </w:rPr>
              <w:t>786</w:t>
            </w:r>
          </w:p>
        </w:tc>
        <w:tc>
          <w:tcPr>
            <w:tcW w:w="400" w:type="dxa"/>
            <w:vAlign w:val="bottom"/>
          </w:tcPr>
          <w:p>
            <w:pPr>
              <w:spacing w:after="0"/>
              <w:rPr>
                <w:sz w:val="11"/>
                <w:szCs w:val="11"/>
                <w:color w:val="auto"/>
              </w:rPr>
            </w:pPr>
          </w:p>
        </w:tc>
        <w:tc>
          <w:tcPr>
            <w:tcW w:w="148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36</w:t>
            </w:r>
          </w:p>
        </w:tc>
        <w:tc>
          <w:tcPr>
            <w:tcW w:w="1200" w:type="dxa"/>
            <w:vAlign w:val="bottom"/>
          </w:tcPr>
          <w:p>
            <w:pPr>
              <w:jc w:val="right"/>
              <w:spacing w:after="0" w:line="134" w:lineRule="exact"/>
              <w:rPr>
                <w:sz w:val="20"/>
                <w:szCs w:val="20"/>
                <w:color w:val="auto"/>
              </w:rPr>
            </w:pPr>
            <w:r>
              <w:rPr>
                <w:rFonts w:ascii="Arial" w:cs="Arial" w:eastAsia="Arial" w:hAnsi="Arial"/>
                <w:sz w:val="12"/>
                <w:szCs w:val="12"/>
                <w:color w:val="auto"/>
              </w:rPr>
              <w:t>720</w:t>
            </w:r>
          </w:p>
        </w:tc>
        <w:tc>
          <w:tcPr>
            <w:tcW w:w="400" w:type="dxa"/>
            <w:vAlign w:val="bottom"/>
          </w:tcPr>
          <w:p>
            <w:pPr>
              <w:spacing w:after="0"/>
              <w:rPr>
                <w:sz w:val="11"/>
                <w:szCs w:val="11"/>
                <w:color w:val="auto"/>
              </w:rPr>
            </w:pPr>
          </w:p>
        </w:tc>
        <w:tc>
          <w:tcPr>
            <w:tcW w:w="1240" w:type="dxa"/>
            <w:vAlign w:val="bottom"/>
          </w:tcPr>
          <w:p>
            <w:pPr>
              <w:jc w:val="right"/>
              <w:spacing w:after="0" w:line="134" w:lineRule="exact"/>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44"/>
        </w:trPr>
        <w:tc>
          <w:tcPr>
            <w:tcW w:w="5300" w:type="dxa"/>
            <w:vAlign w:val="bottom"/>
            <w:gridSpan w:val="2"/>
          </w:tcPr>
          <w:p>
            <w:pPr>
              <w:spacing w:after="0"/>
              <w:rPr>
                <w:sz w:val="20"/>
                <w:szCs w:val="20"/>
                <w:color w:val="auto"/>
              </w:rPr>
            </w:pPr>
            <w:r>
              <w:rPr>
                <w:rFonts w:ascii="Arial" w:cs="Arial" w:eastAsia="Arial" w:hAnsi="Arial"/>
                <w:sz w:val="12"/>
                <w:szCs w:val="12"/>
                <w:color w:val="auto"/>
              </w:rPr>
              <w:t>Street and highway lighting</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4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w:t>
            </w:r>
          </w:p>
        </w:tc>
        <w:tc>
          <w:tcPr>
            <w:tcW w:w="4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1440" w:type="dxa"/>
            <w:vAlign w:val="bottom"/>
          </w:tcPr>
          <w:p>
            <w:pPr>
              <w:jc w:val="right"/>
              <w:spacing w:after="0" w:line="126" w:lineRule="exact"/>
              <w:rPr>
                <w:sz w:val="20"/>
                <w:szCs w:val="20"/>
                <w:color w:val="auto"/>
              </w:rPr>
            </w:pPr>
            <w:r>
              <w:rPr>
                <w:rFonts w:ascii="Arial" w:cs="Arial" w:eastAsia="Arial" w:hAnsi="Arial"/>
                <w:sz w:val="12"/>
                <w:szCs w:val="12"/>
                <w:color w:val="auto"/>
              </w:rPr>
              <w:t>4,931</w:t>
            </w:r>
          </w:p>
        </w:tc>
        <w:tc>
          <w:tcPr>
            <w:tcW w:w="400" w:type="dxa"/>
            <w:vAlign w:val="bottom"/>
          </w:tcPr>
          <w:p>
            <w:pPr>
              <w:spacing w:after="0"/>
              <w:rPr>
                <w:sz w:val="10"/>
                <w:szCs w:val="10"/>
                <w:color w:val="auto"/>
              </w:rPr>
            </w:pPr>
          </w:p>
        </w:tc>
        <w:tc>
          <w:tcPr>
            <w:tcW w:w="1480" w:type="dxa"/>
            <w:vAlign w:val="bottom"/>
          </w:tcPr>
          <w:p>
            <w:pPr>
              <w:jc w:val="right"/>
              <w:ind w:right="218"/>
              <w:spacing w:after="0" w:line="126" w:lineRule="exact"/>
              <w:rPr>
                <w:sz w:val="20"/>
                <w:szCs w:val="20"/>
                <w:color w:val="auto"/>
              </w:rPr>
            </w:pPr>
            <w:r>
              <w:rPr>
                <w:rFonts w:ascii="Arial" w:cs="Arial" w:eastAsia="Arial" w:hAnsi="Arial"/>
                <w:sz w:val="12"/>
                <w:szCs w:val="12"/>
                <w:color w:val="auto"/>
              </w:rPr>
              <w:t>642</w:t>
            </w:r>
          </w:p>
        </w:tc>
        <w:tc>
          <w:tcPr>
            <w:tcW w:w="1200" w:type="dxa"/>
            <w:vAlign w:val="bottom"/>
          </w:tcPr>
          <w:p>
            <w:pPr>
              <w:jc w:val="right"/>
              <w:spacing w:after="0" w:line="126" w:lineRule="exact"/>
              <w:rPr>
                <w:sz w:val="20"/>
                <w:szCs w:val="20"/>
                <w:color w:val="auto"/>
              </w:rPr>
            </w:pPr>
            <w:r>
              <w:rPr>
                <w:rFonts w:ascii="Arial" w:cs="Arial" w:eastAsia="Arial" w:hAnsi="Arial"/>
                <w:sz w:val="12"/>
                <w:szCs w:val="12"/>
                <w:color w:val="auto"/>
              </w:rPr>
              <w:t>4,775</w:t>
            </w:r>
          </w:p>
        </w:tc>
        <w:tc>
          <w:tcPr>
            <w:tcW w:w="400" w:type="dxa"/>
            <w:vAlign w:val="bottom"/>
          </w:tcPr>
          <w:p>
            <w:pPr>
              <w:spacing w:after="0"/>
              <w:rPr>
                <w:sz w:val="10"/>
                <w:szCs w:val="10"/>
                <w:color w:val="auto"/>
              </w:rPr>
            </w:pPr>
          </w:p>
        </w:tc>
        <w:tc>
          <w:tcPr>
            <w:tcW w:w="1240" w:type="dxa"/>
            <w:vAlign w:val="bottom"/>
          </w:tcPr>
          <w:p>
            <w:pPr>
              <w:jc w:val="right"/>
              <w:spacing w:after="0" w:line="126" w:lineRule="exact"/>
              <w:rPr>
                <w:sz w:val="20"/>
                <w:szCs w:val="20"/>
                <w:color w:val="auto"/>
              </w:rPr>
            </w:pPr>
            <w:r>
              <w:rPr>
                <w:rFonts w:ascii="Arial" w:cs="Arial" w:eastAsia="Arial" w:hAnsi="Arial"/>
                <w:sz w:val="12"/>
                <w:szCs w:val="12"/>
                <w:color w:val="auto"/>
              </w:rPr>
              <w:t>560</w:t>
            </w:r>
          </w:p>
        </w:tc>
        <w:tc>
          <w:tcPr>
            <w:tcW w:w="0" w:type="dxa"/>
            <w:vAlign w:val="bottom"/>
          </w:tcPr>
          <w:p>
            <w:pPr>
              <w:spacing w:after="0"/>
              <w:rPr>
                <w:sz w:val="1"/>
                <w:szCs w:val="1"/>
                <w:color w:val="auto"/>
              </w:rPr>
            </w:pPr>
          </w:p>
        </w:tc>
      </w:tr>
      <w:tr>
        <w:trPr>
          <w:trHeight w:val="134"/>
        </w:trPr>
        <w:tc>
          <w:tcPr>
            <w:tcW w:w="5300" w:type="dxa"/>
            <w:vAlign w:val="bottom"/>
            <w:gridSpan w:val="2"/>
          </w:tcPr>
          <w:p>
            <w:pPr>
              <w:spacing w:after="0" w:line="134" w:lineRule="exact"/>
              <w:rPr>
                <w:sz w:val="20"/>
                <w:szCs w:val="20"/>
                <w:color w:val="auto"/>
              </w:rPr>
            </w:pPr>
            <w:r>
              <w:rPr>
                <w:rFonts w:ascii="Arial" w:cs="Arial" w:eastAsia="Arial" w:hAnsi="Arial"/>
                <w:sz w:val="12"/>
                <w:szCs w:val="12"/>
                <w:color w:val="auto"/>
              </w:rPr>
              <w:t>Other revenues</w:t>
            </w:r>
          </w:p>
        </w:tc>
        <w:tc>
          <w:tcPr>
            <w:tcW w:w="1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8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25</w:t>
            </w: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tcPr>
          <w:p>
            <w:pPr>
              <w:jc w:val="right"/>
              <w:spacing w:after="0" w:line="134" w:lineRule="exact"/>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44"/>
        </w:trPr>
        <w:tc>
          <w:tcPr>
            <w:tcW w:w="5300" w:type="dxa"/>
            <w:vAlign w:val="bottom"/>
            <w:gridSpan w:val="2"/>
          </w:tcPr>
          <w:p>
            <w:pPr>
              <w:spacing w:after="0"/>
              <w:rPr>
                <w:sz w:val="20"/>
                <w:szCs w:val="20"/>
                <w:color w:val="auto"/>
              </w:rPr>
            </w:pPr>
            <w:r>
              <w:rPr>
                <w:rFonts w:ascii="Arial" w:cs="Arial" w:eastAsia="Arial" w:hAnsi="Arial"/>
                <w:sz w:val="12"/>
                <w:szCs w:val="12"/>
                <w:color w:val="auto"/>
              </w:rPr>
              <w:t>Balancing accounts</w:t>
            </w:r>
          </w:p>
        </w:tc>
        <w:tc>
          <w:tcPr>
            <w:tcW w:w="14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(4)</w:t>
            </w:r>
          </w:p>
        </w:tc>
        <w:tc>
          <w:tcPr>
            <w:tcW w:w="1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tcBorders>
              <w:bottom w:val="single" w:sz="8" w:color="auto"/>
            </w:tcBorders>
          </w:tcPr>
          <w:p>
            <w:pPr>
              <w:ind w:left="120"/>
              <w:spacing w:after="0" w:line="134" w:lineRule="exact"/>
              <w:rPr>
                <w:sz w:val="20"/>
                <w:szCs w:val="20"/>
                <w:color w:val="auto"/>
              </w:rPr>
            </w:pPr>
            <w:r>
              <w:rPr>
                <w:rFonts w:ascii="Arial" w:cs="Arial" w:eastAsia="Arial" w:hAnsi="Arial"/>
                <w:sz w:val="12"/>
                <w:szCs w:val="12"/>
                <w:color w:val="auto"/>
              </w:rPr>
              <w:t>Total</w:t>
            </w:r>
          </w:p>
        </w:tc>
        <w:tc>
          <w:tcPr>
            <w:tcW w:w="14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238"/>
              <w:spacing w:after="0" w:line="134" w:lineRule="exact"/>
              <w:rPr>
                <w:sz w:val="20"/>
                <w:szCs w:val="20"/>
                <w:color w:val="auto"/>
              </w:rPr>
            </w:pPr>
            <w:r>
              <w:rPr>
                <w:rFonts w:ascii="Arial" w:cs="Arial" w:eastAsia="Arial" w:hAnsi="Arial"/>
                <w:sz w:val="12"/>
                <w:szCs w:val="12"/>
                <w:color w:val="auto"/>
              </w:rPr>
              <w:t>$</w:t>
            </w:r>
          </w:p>
        </w:tc>
        <w:tc>
          <w:tcPr>
            <w:tcW w:w="1480" w:type="dxa"/>
            <w:vAlign w:val="bottom"/>
            <w:tcBorders>
              <w:bottom w:val="single" w:sz="8" w:color="auto"/>
            </w:tcBorders>
          </w:tcPr>
          <w:p>
            <w:pPr>
              <w:jc w:val="right"/>
              <w:ind w:right="218"/>
              <w:spacing w:after="0" w:line="134" w:lineRule="exact"/>
              <w:rPr>
                <w:sz w:val="20"/>
                <w:szCs w:val="20"/>
                <w:color w:val="auto"/>
              </w:rPr>
            </w:pPr>
            <w:r>
              <w:rPr>
                <w:rFonts w:ascii="Arial" w:cs="Arial" w:eastAsia="Arial" w:hAnsi="Arial"/>
                <w:sz w:val="12"/>
                <w:szCs w:val="12"/>
                <w:color w:val="auto"/>
              </w:rPr>
              <w:t>663</w:t>
            </w:r>
          </w:p>
        </w:tc>
        <w:tc>
          <w:tcPr>
            <w:tcW w:w="1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258"/>
              <w:spacing w:after="0" w:line="134" w:lineRule="exact"/>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562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280" w:type="dxa"/>
            <w:vAlign w:val="bottom"/>
          </w:tcPr>
          <w:p>
            <w:pPr>
              <w:spacing w:after="0" w:line="126" w:lineRule="exact"/>
              <w:rPr>
                <w:sz w:val="20"/>
                <w:szCs w:val="20"/>
                <w:color w:val="auto"/>
              </w:rPr>
            </w:pPr>
            <w:r>
              <w:rPr>
                <w:rFonts w:ascii="Arial" w:cs="Arial" w:eastAsia="Arial" w:hAnsi="Arial"/>
                <w:sz w:val="12"/>
                <w:szCs w:val="12"/>
                <w:b w:val="1"/>
                <w:bCs w:val="1"/>
                <w:color w:val="auto"/>
              </w:rPr>
              <w:t>SDG&amp;E:</w:t>
            </w:r>
          </w:p>
        </w:tc>
        <w:tc>
          <w:tcPr>
            <w:tcW w:w="1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5300" w:type="dxa"/>
            <w:vAlign w:val="bottom"/>
            <w:gridSpan w:val="2"/>
          </w:tcPr>
          <w:p>
            <w:pPr>
              <w:spacing w:after="0" w:line="134" w:lineRule="exact"/>
              <w:rPr>
                <w:sz w:val="20"/>
                <w:szCs w:val="20"/>
                <w:color w:val="auto"/>
              </w:rPr>
            </w:pPr>
            <w:r>
              <w:rPr>
                <w:rFonts w:ascii="Arial" w:cs="Arial" w:eastAsia="Arial" w:hAnsi="Arial"/>
                <w:sz w:val="12"/>
                <w:szCs w:val="12"/>
                <w:color w:val="auto"/>
              </w:rPr>
              <w:t>Residential</w:t>
            </w:r>
          </w:p>
        </w:tc>
        <w:tc>
          <w:tcPr>
            <w:tcW w:w="1440" w:type="dxa"/>
            <w:vAlign w:val="bottom"/>
          </w:tcPr>
          <w:p>
            <w:pPr>
              <w:jc w:val="right"/>
              <w:spacing w:after="0" w:line="134" w:lineRule="exact"/>
              <w:rPr>
                <w:sz w:val="20"/>
                <w:szCs w:val="20"/>
                <w:color w:val="auto"/>
              </w:rPr>
            </w:pPr>
            <w:r>
              <w:rPr>
                <w:rFonts w:ascii="Arial" w:cs="Arial" w:eastAsia="Arial" w:hAnsi="Arial"/>
                <w:sz w:val="12"/>
                <w:szCs w:val="12"/>
                <w:color w:val="auto"/>
              </w:rPr>
              <w:t>1,959</w:t>
            </w:r>
          </w:p>
        </w:tc>
        <w:tc>
          <w:tcPr>
            <w:tcW w:w="400" w:type="dxa"/>
            <w:vAlign w:val="bottom"/>
          </w:tcPr>
          <w:p>
            <w:pPr>
              <w:jc w:val="right"/>
              <w:ind w:right="238"/>
              <w:spacing w:after="0" w:line="134" w:lineRule="exact"/>
              <w:rPr>
                <w:sz w:val="20"/>
                <w:szCs w:val="20"/>
                <w:color w:val="auto"/>
              </w:rPr>
            </w:pPr>
            <w:r>
              <w:rPr>
                <w:rFonts w:ascii="Arial" w:cs="Arial" w:eastAsia="Arial" w:hAnsi="Arial"/>
                <w:sz w:val="12"/>
                <w:szCs w:val="12"/>
                <w:color w:val="auto"/>
              </w:rPr>
              <w:t>$</w:t>
            </w:r>
          </w:p>
        </w:tc>
        <w:tc>
          <w:tcPr>
            <w:tcW w:w="148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314</w:t>
            </w:r>
          </w:p>
        </w:tc>
        <w:tc>
          <w:tcPr>
            <w:tcW w:w="1200" w:type="dxa"/>
            <w:vAlign w:val="bottom"/>
          </w:tcPr>
          <w:p>
            <w:pPr>
              <w:jc w:val="right"/>
              <w:spacing w:after="0" w:line="134" w:lineRule="exact"/>
              <w:rPr>
                <w:sz w:val="20"/>
                <w:szCs w:val="20"/>
                <w:color w:val="auto"/>
              </w:rPr>
            </w:pPr>
            <w:r>
              <w:rPr>
                <w:rFonts w:ascii="Arial" w:cs="Arial" w:eastAsia="Arial" w:hAnsi="Arial"/>
                <w:sz w:val="12"/>
                <w:szCs w:val="12"/>
                <w:color w:val="auto"/>
              </w:rPr>
              <w:t>1,913</w:t>
            </w:r>
          </w:p>
        </w:tc>
        <w:tc>
          <w:tcPr>
            <w:tcW w:w="400" w:type="dxa"/>
            <w:vAlign w:val="bottom"/>
          </w:tcPr>
          <w:p>
            <w:pPr>
              <w:jc w:val="right"/>
              <w:ind w:right="258"/>
              <w:spacing w:after="0" w:line="134" w:lineRule="exact"/>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line="134" w:lineRule="exact"/>
              <w:rPr>
                <w:sz w:val="20"/>
                <w:szCs w:val="20"/>
                <w:color w:val="auto"/>
              </w:rPr>
            </w:pPr>
            <w:r>
              <w:rPr>
                <w:rFonts w:ascii="Arial" w:cs="Arial" w:eastAsia="Arial" w:hAnsi="Arial"/>
                <w:sz w:val="12"/>
                <w:szCs w:val="12"/>
                <w:color w:val="auto"/>
              </w:rPr>
              <w:t>276</w:t>
            </w:r>
          </w:p>
        </w:tc>
        <w:tc>
          <w:tcPr>
            <w:tcW w:w="0" w:type="dxa"/>
            <w:vAlign w:val="bottom"/>
          </w:tcPr>
          <w:p>
            <w:pPr>
              <w:spacing w:after="0"/>
              <w:rPr>
                <w:sz w:val="1"/>
                <w:szCs w:val="1"/>
                <w:color w:val="auto"/>
              </w:rPr>
            </w:pPr>
          </w:p>
        </w:tc>
      </w:tr>
      <w:tr>
        <w:trPr>
          <w:trHeight w:val="134"/>
        </w:trPr>
        <w:tc>
          <w:tcPr>
            <w:tcW w:w="5300" w:type="dxa"/>
            <w:vAlign w:val="bottom"/>
            <w:gridSpan w:val="2"/>
          </w:tcPr>
          <w:p>
            <w:pPr>
              <w:spacing w:after="0" w:line="134" w:lineRule="exact"/>
              <w:rPr>
                <w:sz w:val="20"/>
                <w:szCs w:val="20"/>
                <w:color w:val="auto"/>
              </w:rPr>
            </w:pPr>
            <w:r>
              <w:rPr>
                <w:rFonts w:ascii="Arial" w:cs="Arial" w:eastAsia="Arial" w:hAnsi="Arial"/>
                <w:sz w:val="12"/>
                <w:szCs w:val="12"/>
                <w:color w:val="auto"/>
              </w:rPr>
              <w:t>Commercial</w:t>
            </w:r>
          </w:p>
        </w:tc>
        <w:tc>
          <w:tcPr>
            <w:tcW w:w="1440" w:type="dxa"/>
            <w:vAlign w:val="bottom"/>
          </w:tcPr>
          <w:p>
            <w:pPr>
              <w:jc w:val="right"/>
              <w:spacing w:after="0" w:line="134" w:lineRule="exact"/>
              <w:rPr>
                <w:sz w:val="20"/>
                <w:szCs w:val="20"/>
                <w:color w:val="auto"/>
              </w:rPr>
            </w:pPr>
            <w:r>
              <w:rPr>
                <w:rFonts w:ascii="Arial" w:cs="Arial" w:eastAsia="Arial" w:hAnsi="Arial"/>
                <w:sz w:val="12"/>
                <w:szCs w:val="12"/>
                <w:color w:val="auto"/>
              </w:rPr>
              <w:t>1,669</w:t>
            </w:r>
          </w:p>
        </w:tc>
        <w:tc>
          <w:tcPr>
            <w:tcW w:w="400" w:type="dxa"/>
            <w:vAlign w:val="bottom"/>
          </w:tcPr>
          <w:p>
            <w:pPr>
              <w:spacing w:after="0"/>
              <w:rPr>
                <w:sz w:val="11"/>
                <w:szCs w:val="11"/>
                <w:color w:val="auto"/>
              </w:rPr>
            </w:pPr>
          </w:p>
        </w:tc>
        <w:tc>
          <w:tcPr>
            <w:tcW w:w="148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231</w:t>
            </w:r>
          </w:p>
        </w:tc>
        <w:tc>
          <w:tcPr>
            <w:tcW w:w="1200" w:type="dxa"/>
            <w:vAlign w:val="bottom"/>
          </w:tcPr>
          <w:p>
            <w:pPr>
              <w:jc w:val="right"/>
              <w:spacing w:after="0" w:line="134" w:lineRule="exact"/>
              <w:rPr>
                <w:sz w:val="20"/>
                <w:szCs w:val="20"/>
                <w:color w:val="auto"/>
              </w:rPr>
            </w:pPr>
            <w:r>
              <w:rPr>
                <w:rFonts w:ascii="Arial" w:cs="Arial" w:eastAsia="Arial" w:hAnsi="Arial"/>
                <w:sz w:val="12"/>
                <w:szCs w:val="12"/>
                <w:color w:val="auto"/>
              </w:rPr>
              <w:t>1,595</w:t>
            </w:r>
          </w:p>
        </w:tc>
        <w:tc>
          <w:tcPr>
            <w:tcW w:w="400" w:type="dxa"/>
            <w:vAlign w:val="bottom"/>
          </w:tcPr>
          <w:p>
            <w:pPr>
              <w:spacing w:after="0"/>
              <w:rPr>
                <w:sz w:val="11"/>
                <w:szCs w:val="11"/>
                <w:color w:val="auto"/>
              </w:rPr>
            </w:pPr>
          </w:p>
        </w:tc>
        <w:tc>
          <w:tcPr>
            <w:tcW w:w="1240" w:type="dxa"/>
            <w:vAlign w:val="bottom"/>
          </w:tcPr>
          <w:p>
            <w:pPr>
              <w:jc w:val="right"/>
              <w:spacing w:after="0" w:line="134" w:lineRule="exact"/>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34"/>
        </w:trPr>
        <w:tc>
          <w:tcPr>
            <w:tcW w:w="5300" w:type="dxa"/>
            <w:vAlign w:val="bottom"/>
            <w:gridSpan w:val="2"/>
          </w:tcPr>
          <w:p>
            <w:pPr>
              <w:spacing w:after="0" w:line="134" w:lineRule="exact"/>
              <w:rPr>
                <w:sz w:val="20"/>
                <w:szCs w:val="20"/>
                <w:color w:val="auto"/>
              </w:rPr>
            </w:pPr>
            <w:r>
              <w:rPr>
                <w:rFonts w:ascii="Arial" w:cs="Arial" w:eastAsia="Arial" w:hAnsi="Arial"/>
                <w:sz w:val="12"/>
                <w:szCs w:val="12"/>
                <w:color w:val="auto"/>
              </w:rPr>
              <w:t>Industrial</w:t>
            </w:r>
          </w:p>
        </w:tc>
        <w:tc>
          <w:tcPr>
            <w:tcW w:w="1440" w:type="dxa"/>
            <w:vAlign w:val="bottom"/>
          </w:tcPr>
          <w:p>
            <w:pPr>
              <w:jc w:val="right"/>
              <w:spacing w:after="0" w:line="134" w:lineRule="exact"/>
              <w:rPr>
                <w:sz w:val="20"/>
                <w:szCs w:val="20"/>
                <w:color w:val="auto"/>
              </w:rPr>
            </w:pPr>
            <w:r>
              <w:rPr>
                <w:rFonts w:ascii="Arial" w:cs="Arial" w:eastAsia="Arial" w:hAnsi="Arial"/>
                <w:sz w:val="12"/>
                <w:szCs w:val="12"/>
                <w:color w:val="auto"/>
              </w:rPr>
              <w:t>493</w:t>
            </w:r>
          </w:p>
        </w:tc>
        <w:tc>
          <w:tcPr>
            <w:tcW w:w="400" w:type="dxa"/>
            <w:vAlign w:val="bottom"/>
          </w:tcPr>
          <w:p>
            <w:pPr>
              <w:spacing w:after="0"/>
              <w:rPr>
                <w:sz w:val="11"/>
                <w:szCs w:val="11"/>
                <w:color w:val="auto"/>
              </w:rPr>
            </w:pPr>
          </w:p>
        </w:tc>
        <w:tc>
          <w:tcPr>
            <w:tcW w:w="148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58</w:t>
            </w:r>
          </w:p>
        </w:tc>
        <w:tc>
          <w:tcPr>
            <w:tcW w:w="1200" w:type="dxa"/>
            <w:vAlign w:val="bottom"/>
          </w:tcPr>
          <w:p>
            <w:pPr>
              <w:jc w:val="right"/>
              <w:spacing w:after="0" w:line="134" w:lineRule="exact"/>
              <w:rPr>
                <w:sz w:val="20"/>
                <w:szCs w:val="20"/>
                <w:color w:val="auto"/>
              </w:rPr>
            </w:pPr>
            <w:r>
              <w:rPr>
                <w:rFonts w:ascii="Arial" w:cs="Arial" w:eastAsia="Arial" w:hAnsi="Arial"/>
                <w:sz w:val="12"/>
                <w:szCs w:val="12"/>
                <w:color w:val="auto"/>
              </w:rPr>
              <w:t>527</w:t>
            </w:r>
          </w:p>
        </w:tc>
        <w:tc>
          <w:tcPr>
            <w:tcW w:w="400" w:type="dxa"/>
            <w:vAlign w:val="bottom"/>
          </w:tcPr>
          <w:p>
            <w:pPr>
              <w:spacing w:after="0"/>
              <w:rPr>
                <w:sz w:val="11"/>
                <w:szCs w:val="11"/>
                <w:color w:val="auto"/>
              </w:rPr>
            </w:pPr>
          </w:p>
        </w:tc>
        <w:tc>
          <w:tcPr>
            <w:tcW w:w="1240" w:type="dxa"/>
            <w:vAlign w:val="bottom"/>
          </w:tcPr>
          <w:p>
            <w:pPr>
              <w:jc w:val="right"/>
              <w:spacing w:after="0" w:line="134" w:lineRule="exact"/>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134"/>
        </w:trPr>
        <w:tc>
          <w:tcPr>
            <w:tcW w:w="5300" w:type="dxa"/>
            <w:vAlign w:val="bottom"/>
            <w:gridSpan w:val="2"/>
          </w:tcPr>
          <w:p>
            <w:pPr>
              <w:spacing w:after="0" w:line="134" w:lineRule="exact"/>
              <w:rPr>
                <w:sz w:val="20"/>
                <w:szCs w:val="20"/>
                <w:color w:val="auto"/>
              </w:rPr>
            </w:pPr>
            <w:r>
              <w:rPr>
                <w:rFonts w:ascii="Arial" w:cs="Arial" w:eastAsia="Arial" w:hAnsi="Arial"/>
                <w:sz w:val="12"/>
                <w:szCs w:val="12"/>
                <w:color w:val="auto"/>
              </w:rPr>
              <w:t>Direct access</w:t>
            </w:r>
          </w:p>
        </w:tc>
        <w:tc>
          <w:tcPr>
            <w:tcW w:w="1440" w:type="dxa"/>
            <w:vAlign w:val="bottom"/>
          </w:tcPr>
          <w:p>
            <w:pPr>
              <w:jc w:val="right"/>
              <w:spacing w:after="0" w:line="134" w:lineRule="exact"/>
              <w:rPr>
                <w:sz w:val="20"/>
                <w:szCs w:val="20"/>
                <w:color w:val="auto"/>
              </w:rPr>
            </w:pPr>
            <w:r>
              <w:rPr>
                <w:rFonts w:ascii="Arial" w:cs="Arial" w:eastAsia="Arial" w:hAnsi="Arial"/>
                <w:sz w:val="12"/>
                <w:szCs w:val="12"/>
                <w:color w:val="auto"/>
              </w:rPr>
              <w:t>786</w:t>
            </w:r>
          </w:p>
        </w:tc>
        <w:tc>
          <w:tcPr>
            <w:tcW w:w="400" w:type="dxa"/>
            <w:vAlign w:val="bottom"/>
          </w:tcPr>
          <w:p>
            <w:pPr>
              <w:spacing w:after="0"/>
              <w:rPr>
                <w:sz w:val="11"/>
                <w:szCs w:val="11"/>
                <w:color w:val="auto"/>
              </w:rPr>
            </w:pPr>
          </w:p>
        </w:tc>
        <w:tc>
          <w:tcPr>
            <w:tcW w:w="148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36</w:t>
            </w:r>
          </w:p>
        </w:tc>
        <w:tc>
          <w:tcPr>
            <w:tcW w:w="1200" w:type="dxa"/>
            <w:vAlign w:val="bottom"/>
          </w:tcPr>
          <w:p>
            <w:pPr>
              <w:jc w:val="right"/>
              <w:spacing w:after="0" w:line="134" w:lineRule="exact"/>
              <w:rPr>
                <w:sz w:val="20"/>
                <w:szCs w:val="20"/>
                <w:color w:val="auto"/>
              </w:rPr>
            </w:pPr>
            <w:r>
              <w:rPr>
                <w:rFonts w:ascii="Arial" w:cs="Arial" w:eastAsia="Arial" w:hAnsi="Arial"/>
                <w:sz w:val="12"/>
                <w:szCs w:val="12"/>
                <w:color w:val="auto"/>
              </w:rPr>
              <w:t>720</w:t>
            </w:r>
          </w:p>
        </w:tc>
        <w:tc>
          <w:tcPr>
            <w:tcW w:w="400" w:type="dxa"/>
            <w:vAlign w:val="bottom"/>
          </w:tcPr>
          <w:p>
            <w:pPr>
              <w:spacing w:after="0"/>
              <w:rPr>
                <w:sz w:val="11"/>
                <w:szCs w:val="11"/>
                <w:color w:val="auto"/>
              </w:rPr>
            </w:pPr>
          </w:p>
        </w:tc>
        <w:tc>
          <w:tcPr>
            <w:tcW w:w="1240" w:type="dxa"/>
            <w:vAlign w:val="bottom"/>
          </w:tcPr>
          <w:p>
            <w:pPr>
              <w:jc w:val="right"/>
              <w:spacing w:after="0" w:line="134" w:lineRule="exact"/>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44"/>
        </w:trPr>
        <w:tc>
          <w:tcPr>
            <w:tcW w:w="5300" w:type="dxa"/>
            <w:vAlign w:val="bottom"/>
            <w:gridSpan w:val="2"/>
          </w:tcPr>
          <w:p>
            <w:pPr>
              <w:spacing w:after="0"/>
              <w:rPr>
                <w:sz w:val="20"/>
                <w:szCs w:val="20"/>
                <w:color w:val="auto"/>
              </w:rPr>
            </w:pPr>
            <w:r>
              <w:rPr>
                <w:rFonts w:ascii="Arial" w:cs="Arial" w:eastAsia="Arial" w:hAnsi="Arial"/>
                <w:sz w:val="12"/>
                <w:szCs w:val="12"/>
                <w:color w:val="auto"/>
              </w:rPr>
              <w:t>Street and highway lighting</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4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w:t>
            </w:r>
          </w:p>
        </w:tc>
        <w:tc>
          <w:tcPr>
            <w:tcW w:w="4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1440" w:type="dxa"/>
            <w:vAlign w:val="bottom"/>
          </w:tcPr>
          <w:p>
            <w:pPr>
              <w:jc w:val="right"/>
              <w:spacing w:after="0" w:line="126" w:lineRule="exact"/>
              <w:rPr>
                <w:sz w:val="20"/>
                <w:szCs w:val="20"/>
                <w:color w:val="auto"/>
              </w:rPr>
            </w:pPr>
            <w:r>
              <w:rPr>
                <w:rFonts w:ascii="Arial" w:cs="Arial" w:eastAsia="Arial" w:hAnsi="Arial"/>
                <w:sz w:val="12"/>
                <w:szCs w:val="12"/>
                <w:color w:val="auto"/>
              </w:rPr>
              <w:t>4,934</w:t>
            </w:r>
          </w:p>
        </w:tc>
        <w:tc>
          <w:tcPr>
            <w:tcW w:w="400" w:type="dxa"/>
            <w:vAlign w:val="bottom"/>
          </w:tcPr>
          <w:p>
            <w:pPr>
              <w:spacing w:after="0"/>
              <w:rPr>
                <w:sz w:val="10"/>
                <w:szCs w:val="10"/>
                <w:color w:val="auto"/>
              </w:rPr>
            </w:pPr>
          </w:p>
        </w:tc>
        <w:tc>
          <w:tcPr>
            <w:tcW w:w="1480" w:type="dxa"/>
            <w:vAlign w:val="bottom"/>
          </w:tcPr>
          <w:p>
            <w:pPr>
              <w:jc w:val="right"/>
              <w:ind w:right="218"/>
              <w:spacing w:after="0" w:line="126" w:lineRule="exact"/>
              <w:rPr>
                <w:sz w:val="20"/>
                <w:szCs w:val="20"/>
                <w:color w:val="auto"/>
              </w:rPr>
            </w:pPr>
            <w:r>
              <w:rPr>
                <w:rFonts w:ascii="Arial" w:cs="Arial" w:eastAsia="Arial" w:hAnsi="Arial"/>
                <w:sz w:val="12"/>
                <w:szCs w:val="12"/>
                <w:color w:val="auto"/>
              </w:rPr>
              <w:t>643</w:t>
            </w:r>
          </w:p>
        </w:tc>
        <w:tc>
          <w:tcPr>
            <w:tcW w:w="1200" w:type="dxa"/>
            <w:vAlign w:val="bottom"/>
          </w:tcPr>
          <w:p>
            <w:pPr>
              <w:jc w:val="right"/>
              <w:spacing w:after="0" w:line="126" w:lineRule="exact"/>
              <w:rPr>
                <w:sz w:val="20"/>
                <w:szCs w:val="20"/>
                <w:color w:val="auto"/>
              </w:rPr>
            </w:pPr>
            <w:r>
              <w:rPr>
                <w:rFonts w:ascii="Arial" w:cs="Arial" w:eastAsia="Arial" w:hAnsi="Arial"/>
                <w:sz w:val="12"/>
                <w:szCs w:val="12"/>
                <w:color w:val="auto"/>
              </w:rPr>
              <w:t>4,778</w:t>
            </w:r>
          </w:p>
        </w:tc>
        <w:tc>
          <w:tcPr>
            <w:tcW w:w="400" w:type="dxa"/>
            <w:vAlign w:val="bottom"/>
          </w:tcPr>
          <w:p>
            <w:pPr>
              <w:spacing w:after="0"/>
              <w:rPr>
                <w:sz w:val="10"/>
                <w:szCs w:val="10"/>
                <w:color w:val="auto"/>
              </w:rPr>
            </w:pPr>
          </w:p>
        </w:tc>
        <w:tc>
          <w:tcPr>
            <w:tcW w:w="1240" w:type="dxa"/>
            <w:vAlign w:val="bottom"/>
          </w:tcPr>
          <w:p>
            <w:pPr>
              <w:jc w:val="right"/>
              <w:spacing w:after="0" w:line="126" w:lineRule="exact"/>
              <w:rPr>
                <w:sz w:val="20"/>
                <w:szCs w:val="20"/>
                <w:color w:val="auto"/>
              </w:rPr>
            </w:pPr>
            <w:r>
              <w:rPr>
                <w:rFonts w:ascii="Arial" w:cs="Arial" w:eastAsia="Arial" w:hAnsi="Arial"/>
                <w:sz w:val="12"/>
                <w:szCs w:val="12"/>
                <w:color w:val="auto"/>
              </w:rPr>
              <w:t>560</w:t>
            </w:r>
          </w:p>
        </w:tc>
        <w:tc>
          <w:tcPr>
            <w:tcW w:w="0" w:type="dxa"/>
            <w:vAlign w:val="bottom"/>
          </w:tcPr>
          <w:p>
            <w:pPr>
              <w:spacing w:after="0"/>
              <w:rPr>
                <w:sz w:val="1"/>
                <w:szCs w:val="1"/>
                <w:color w:val="auto"/>
              </w:rPr>
            </w:pPr>
          </w:p>
        </w:tc>
      </w:tr>
      <w:tr>
        <w:trPr>
          <w:trHeight w:val="134"/>
        </w:trPr>
        <w:tc>
          <w:tcPr>
            <w:tcW w:w="5300" w:type="dxa"/>
            <w:vAlign w:val="bottom"/>
            <w:gridSpan w:val="2"/>
          </w:tcPr>
          <w:p>
            <w:pPr>
              <w:spacing w:after="0" w:line="134" w:lineRule="exact"/>
              <w:rPr>
                <w:sz w:val="20"/>
                <w:szCs w:val="20"/>
                <w:color w:val="auto"/>
              </w:rPr>
            </w:pPr>
            <w:r>
              <w:rPr>
                <w:rFonts w:ascii="Arial" w:cs="Arial" w:eastAsia="Arial" w:hAnsi="Arial"/>
                <w:sz w:val="12"/>
                <w:szCs w:val="12"/>
                <w:color w:val="auto"/>
              </w:rPr>
              <w:t>Other revenues</w:t>
            </w:r>
          </w:p>
        </w:tc>
        <w:tc>
          <w:tcPr>
            <w:tcW w:w="1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8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26</w:t>
            </w:r>
          </w:p>
        </w:tc>
        <w:tc>
          <w:tcPr>
            <w:tcW w:w="1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tcPr>
          <w:p>
            <w:pPr>
              <w:jc w:val="right"/>
              <w:spacing w:after="0" w:line="134" w:lineRule="exact"/>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44"/>
        </w:trPr>
        <w:tc>
          <w:tcPr>
            <w:tcW w:w="5300" w:type="dxa"/>
            <w:vAlign w:val="bottom"/>
            <w:gridSpan w:val="2"/>
          </w:tcPr>
          <w:p>
            <w:pPr>
              <w:spacing w:after="0"/>
              <w:rPr>
                <w:sz w:val="20"/>
                <w:szCs w:val="20"/>
                <w:color w:val="auto"/>
              </w:rPr>
            </w:pPr>
            <w:r>
              <w:rPr>
                <w:rFonts w:ascii="Arial" w:cs="Arial" w:eastAsia="Arial" w:hAnsi="Arial"/>
                <w:sz w:val="12"/>
                <w:szCs w:val="12"/>
                <w:color w:val="auto"/>
              </w:rPr>
              <w:t>Balancing accounts</w:t>
            </w:r>
          </w:p>
        </w:tc>
        <w:tc>
          <w:tcPr>
            <w:tcW w:w="14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(4)</w:t>
            </w:r>
          </w:p>
        </w:tc>
        <w:tc>
          <w:tcPr>
            <w:tcW w:w="1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80" w:type="dxa"/>
            <w:vAlign w:val="bottom"/>
          </w:tcPr>
          <w:p>
            <w:pPr>
              <w:ind w:left="120"/>
              <w:spacing w:after="0"/>
              <w:rPr>
                <w:sz w:val="20"/>
                <w:szCs w:val="20"/>
                <w:color w:val="auto"/>
              </w:rPr>
            </w:pPr>
            <w:r>
              <w:rPr>
                <w:rFonts w:ascii="Arial" w:cs="Arial" w:eastAsia="Arial" w:hAnsi="Arial"/>
                <w:sz w:val="12"/>
                <w:szCs w:val="12"/>
                <w:color w:val="auto"/>
              </w:rPr>
              <w:t>Total(1)</w:t>
            </w:r>
          </w:p>
        </w:tc>
        <w:tc>
          <w:tcPr>
            <w:tcW w:w="1440" w:type="dxa"/>
            <w:vAlign w:val="bottom"/>
          </w:tcPr>
          <w:p>
            <w:pPr>
              <w:spacing w:after="0"/>
              <w:rPr>
                <w:sz w:val="12"/>
                <w:szCs w:val="12"/>
                <w:color w:val="auto"/>
              </w:rPr>
            </w:pPr>
          </w:p>
        </w:tc>
        <w:tc>
          <w:tcPr>
            <w:tcW w:w="400" w:type="dxa"/>
            <w:vAlign w:val="bottom"/>
          </w:tcPr>
          <w:p>
            <w:pPr>
              <w:jc w:val="right"/>
              <w:ind w:right="23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218"/>
              <w:spacing w:after="0"/>
              <w:rPr>
                <w:sz w:val="20"/>
                <w:szCs w:val="20"/>
                <w:color w:val="auto"/>
              </w:rPr>
            </w:pPr>
            <w:r>
              <w:rPr>
                <w:rFonts w:ascii="Arial" w:cs="Arial" w:eastAsia="Arial" w:hAnsi="Arial"/>
                <w:sz w:val="12"/>
                <w:szCs w:val="12"/>
                <w:color w:val="auto"/>
              </w:rPr>
              <w:t>665</w:t>
            </w:r>
          </w:p>
        </w:tc>
        <w:tc>
          <w:tcPr>
            <w:tcW w:w="1200" w:type="dxa"/>
            <w:vAlign w:val="bottom"/>
          </w:tcPr>
          <w:p>
            <w:pPr>
              <w:spacing w:after="0"/>
              <w:rPr>
                <w:sz w:val="12"/>
                <w:szCs w:val="12"/>
                <w:color w:val="auto"/>
              </w:rPr>
            </w:pPr>
          </w:p>
        </w:tc>
        <w:tc>
          <w:tcPr>
            <w:tcW w:w="400" w:type="dxa"/>
            <w:vAlign w:val="bottom"/>
          </w:tcPr>
          <w:p>
            <w:pPr>
              <w:jc w:val="right"/>
              <w:ind w:right="258"/>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563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279005" cy="13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(1) Includes sales to affiliates of $2 million in 2011 and $1 million in 2010.</w:t>
      </w:r>
    </w:p>
    <w:p>
      <w:pPr>
        <w:spacing w:after="0" w:line="180" w:lineRule="exact"/>
        <w:rPr>
          <w:sz w:val="20"/>
          <w:szCs w:val="20"/>
          <w:color w:val="auto"/>
        </w:rPr>
      </w:pPr>
    </w:p>
    <w:p>
      <w:pPr>
        <w:spacing w:after="0"/>
        <w:rPr>
          <w:sz w:val="20"/>
          <w:szCs w:val="20"/>
          <w:color w:val="auto"/>
        </w:rPr>
      </w:pPr>
      <w:r>
        <w:rPr>
          <w:rFonts w:ascii="Arial" w:cs="Arial" w:eastAsia="Arial" w:hAnsi="Arial"/>
          <w:sz w:val="11"/>
          <w:szCs w:val="11"/>
          <w:color w:val="auto"/>
        </w:rPr>
        <w:t>During the three months ended March 31, 2011, electric revenues increased by $101 million (18%) to $663 million at Sempra Energy and by $102 million (18%) to $665 million at SDG&amp;E, primarily due to:</w:t>
      </w:r>
    </w:p>
    <w:p>
      <w:pPr>
        <w:spacing w:after="0" w:line="204" w:lineRule="exact"/>
        <w:rPr>
          <w:sz w:val="20"/>
          <w:szCs w:val="20"/>
          <w:color w:val="auto"/>
        </w:rPr>
      </w:pPr>
    </w:p>
    <w:p>
      <w:pPr>
        <w:ind w:left="260" w:hanging="147"/>
        <w:spacing w:after="0"/>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$42 million higher recoverable expenses that are fully offset in operation and maintenance expenses;</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$32 million increase in the cost of electric fuel and purchased power excluding Otay Mesa VIE;</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$15 million higher authorized base margin on electric generation and distribution; and</w:t>
      </w:r>
    </w:p>
    <w:p>
      <w:pPr>
        <w:spacing w:after="0" w:line="186" w:lineRule="exact"/>
        <w:rPr>
          <w:rFonts w:ascii="Arial" w:cs="Arial" w:eastAsia="Arial" w:hAnsi="Arial"/>
          <w:sz w:val="14"/>
          <w:szCs w:val="14"/>
          <w:color w:val="auto"/>
        </w:rPr>
      </w:pPr>
    </w:p>
    <w:p>
      <w:pPr>
        <w:ind w:left="260" w:hanging="147"/>
        <w:spacing w:after="0"/>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$5 million higher authorized transmission margin; </w:t>
      </w:r>
      <w:r>
        <w:rPr>
          <w:rFonts w:ascii="Arial" w:cs="Arial" w:eastAsia="Arial" w:hAnsi="Arial"/>
          <w:sz w:val="14"/>
          <w:szCs w:val="14"/>
          <w:b w:val="1"/>
          <w:bCs w:val="1"/>
          <w:color w:val="auto"/>
        </w:rPr>
        <w:t>offset by</w:t>
      </w:r>
    </w:p>
    <w:p>
      <w:pPr>
        <w:spacing w:after="0" w:line="194" w:lineRule="exact"/>
        <w:rPr>
          <w:rFonts w:ascii="Arial" w:cs="Arial" w:eastAsia="Arial" w:hAnsi="Arial"/>
          <w:sz w:val="14"/>
          <w:szCs w:val="14"/>
          <w:color w:val="auto"/>
        </w:rPr>
      </w:pPr>
    </w:p>
    <w:p>
      <w:pPr>
        <w:ind w:left="260" w:hanging="147"/>
        <w:spacing w:after="0"/>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$11 million decrease due to tolling payments and natural gas supply costs in 2011 associated with the power generated by Otay Mesa.</w:t>
      </w:r>
    </w:p>
    <w:p>
      <w:pPr>
        <w:spacing w:after="0" w:line="190" w:lineRule="exact"/>
        <w:rPr>
          <w:sz w:val="20"/>
          <w:szCs w:val="20"/>
          <w:color w:val="auto"/>
        </w:rPr>
      </w:pPr>
    </w:p>
    <w:p>
      <w:pPr>
        <w:ind w:right="160"/>
        <w:spacing w:after="0" w:line="267" w:lineRule="auto"/>
        <w:rPr>
          <w:sz w:val="20"/>
          <w:szCs w:val="20"/>
          <w:color w:val="auto"/>
        </w:rPr>
      </w:pPr>
      <w:r>
        <w:rPr>
          <w:rFonts w:ascii="Arial" w:cs="Arial" w:eastAsia="Arial" w:hAnsi="Arial"/>
          <w:sz w:val="14"/>
          <w:szCs w:val="14"/>
          <w:color w:val="auto"/>
        </w:rPr>
        <w:t>At both Sempra Energy and SDG&amp;E, the cost of electric fuel and purchased power increased by $23 million (16%) to $171 million in the three months ended March 31, 2011 primarily due to a $32 million increase in fuel and purchased-power costs (excluding Otay Mesa VIE), offset by a $9 million decrease in the cost of power purchased from Otay Mesa VIE.</w:t>
      </w:r>
    </w:p>
    <w:p>
      <w:pPr>
        <w:spacing w:after="0" w:line="138" w:lineRule="exact"/>
        <w:rPr>
          <w:sz w:val="20"/>
          <w:szCs w:val="20"/>
          <w:color w:val="auto"/>
        </w:rPr>
      </w:pPr>
    </w:p>
    <w:p>
      <w:pPr>
        <w:jc w:val="both"/>
        <w:ind w:right="40"/>
        <w:spacing w:after="0" w:line="256" w:lineRule="auto"/>
        <w:rPr>
          <w:sz w:val="20"/>
          <w:szCs w:val="20"/>
          <w:color w:val="auto"/>
        </w:rPr>
      </w:pPr>
      <w:r>
        <w:rPr>
          <w:rFonts w:ascii="Arial" w:cs="Arial" w:eastAsia="Arial" w:hAnsi="Arial"/>
          <w:sz w:val="14"/>
          <w:szCs w:val="14"/>
          <w:color w:val="auto"/>
        </w:rPr>
        <w:t>We do not include in the Condensed Consolidated Statements of Operations the commodity costs (and the revenues to recover those costs) associated with long-term contracts that are allocated to SDG&amp;E by the California Department of Water Resources (DWR). However, we do include the associated volumes and distribution revenues in the table above. We provide further discussion of these contracts in Note 1 of the Notes to Consolidated Financial Statements in the Annual Report.</w:t>
      </w: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Global and Parent Revenues and Cost of Sales</w:t>
      </w:r>
    </w:p>
    <w:p>
      <w:pPr>
        <w:sectPr>
          <w:pgSz w:w="11900" w:h="16838" w:orient="portrait"/>
          <w:cols w:equalWidth="0" w:num="1">
            <w:col w:w="11460"/>
          </w:cols>
          <w:pgMar w:left="220" w:top="132" w:right="219" w:bottom="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1"/>
          <w:szCs w:val="11"/>
          <w:color w:val="auto"/>
        </w:rPr>
        <w:t>During the three months ended March 31, 2011, our Sempra Global and Parent revenues decreased by $69 million (11%) to $553 million. The decrease was primarily due to:</w:t>
      </w:r>
    </w:p>
    <w:p>
      <w:pPr>
        <w:sectPr>
          <w:pgSz w:w="11900" w:h="16838" w:orient="portrait"/>
          <w:cols w:equalWidth="0" w:num="1">
            <w:col w:w="11460"/>
          </w:cols>
          <w:pgMar w:left="220" w:top="132" w:right="219" w:bottom="0" w:gutter="0" w:footer="0" w:header="0"/>
          <w:type w:val="continuous"/>
        </w:sectPr>
      </w:pPr>
    </w:p>
    <w:bookmarkStart w:id="48" w:name="page49"/>
    <w:bookmarkEnd w:id="48"/>
    <w:p>
      <w:pPr>
        <w:ind w:left="260" w:hanging="147"/>
        <w:spacing w:after="0"/>
        <w:tabs>
          <w:tab w:leader="none" w:pos="2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$49 million lower revenues at Sempra Generation due to decreased power sales; and</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$19 million lower revenues at Sempra LNG primarily due to decreased natural gas sales and lower natural gas prices in 2011.</w:t>
      </w:r>
    </w:p>
    <w:p>
      <w:pPr>
        <w:spacing w:after="0" w:line="190" w:lineRule="exact"/>
        <w:rPr>
          <w:sz w:val="20"/>
          <w:szCs w:val="20"/>
          <w:color w:val="auto"/>
        </w:rPr>
      </w:pPr>
    </w:p>
    <w:p>
      <w:pPr>
        <w:ind w:right="540"/>
        <w:spacing w:after="0" w:line="267" w:lineRule="auto"/>
        <w:rPr>
          <w:sz w:val="20"/>
          <w:szCs w:val="20"/>
          <w:color w:val="auto"/>
        </w:rPr>
      </w:pPr>
      <w:r>
        <w:rPr>
          <w:rFonts w:ascii="Arial" w:cs="Arial" w:eastAsia="Arial" w:hAnsi="Arial"/>
          <w:sz w:val="14"/>
          <w:szCs w:val="14"/>
          <w:color w:val="auto"/>
        </w:rPr>
        <w:t>During the three months ended March 31, 2011, our cost of natural gas, electric fuel and purchased power decreased to $263 million. The $75 million (22%) decrease included $51 million at Sempra Generation and $13 million at Sempra LNG, primarily associated with their lower revenues.</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Litigation Expense</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Sempra Energy Consolidated</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In the three months ended March 31, 2010, we recorded litigation expense of $168 million, which included $159 million related to the agreement to settle certain energy crisis litigation.</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Operation and Maintenance</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Sempra Energy Consolidated</w:t>
      </w:r>
    </w:p>
    <w:p>
      <w:pPr>
        <w:spacing w:after="0" w:line="160"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For the three months ended March 31, 2011, our other operation and maintenance expenses increased by $56 million (10%) to $632 million. The increase included higher operation and maintenance expenses at SDG&amp;E (discussed below) of $45 million (which excludes the $4 million of lower litigation expense separately reported as Litigation Expense on the Sempra Energy Condensed Consolidated Statements of Operations), and $26 million at SoCalGas, including $19 million higher recoverable expenses.</w:t>
      </w: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Operation and Maintenance</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SDG&amp;E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March 31, 2011, SDG&amp;E's operation and maintenance expenses increased by $41 million (18%) to $273 million. The increase was primarily due to:</w:t>
      </w:r>
    </w:p>
    <w:p>
      <w:pPr>
        <w:spacing w:after="0" w:line="170" w:lineRule="exact"/>
        <w:rPr>
          <w:sz w:val="20"/>
          <w:szCs w:val="20"/>
          <w:color w:val="auto"/>
        </w:rPr>
      </w:pPr>
    </w:p>
    <w:p>
      <w:pPr>
        <w:ind w:left="260" w:hanging="147"/>
        <w:spacing w:after="0"/>
        <w:tabs>
          <w:tab w:leader="none" w:pos="2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$43 million higher recoverable expenses; and</w:t>
      </w:r>
    </w:p>
    <w:p>
      <w:pPr>
        <w:spacing w:after="0" w:line="186" w:lineRule="exact"/>
        <w:rPr>
          <w:rFonts w:ascii="Arial" w:cs="Arial" w:eastAsia="Arial" w:hAnsi="Arial"/>
          <w:sz w:val="14"/>
          <w:szCs w:val="14"/>
          <w:color w:val="auto"/>
        </w:rPr>
      </w:pPr>
    </w:p>
    <w:p>
      <w:pPr>
        <w:ind w:left="260" w:hanging="147"/>
        <w:spacing w:after="0"/>
        <w:tabs>
          <w:tab w:leader="none" w:pos="2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$8 million of higher liability insurance premiums for wildfire coverage; </w:t>
      </w:r>
      <w:r>
        <w:rPr>
          <w:rFonts w:ascii="Arial" w:cs="Arial" w:eastAsia="Arial" w:hAnsi="Arial"/>
          <w:sz w:val="14"/>
          <w:szCs w:val="14"/>
          <w:b w:val="1"/>
          <w:bCs w:val="1"/>
          <w:color w:val="auto"/>
        </w:rPr>
        <w:t>offset by</w:t>
      </w:r>
    </w:p>
    <w:p>
      <w:pPr>
        <w:spacing w:after="0" w:line="194" w:lineRule="exact"/>
        <w:rPr>
          <w:rFonts w:ascii="Arial" w:cs="Arial" w:eastAsia="Arial" w:hAnsi="Arial"/>
          <w:sz w:val="14"/>
          <w:szCs w:val="14"/>
          <w:color w:val="auto"/>
        </w:rPr>
      </w:pPr>
    </w:p>
    <w:p>
      <w:pPr>
        <w:ind w:left="260" w:hanging="147"/>
        <w:spacing w:after="0"/>
        <w:tabs>
          <w:tab w:leader="none" w:pos="2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$4 million lower litigation reserves.</w:t>
      </w: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Income, Net</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Sempra Energy Consolidated</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In the three months ended March 31, 2011, other income, net, increased by $35 million to $43 million primarily due to:</w:t>
      </w:r>
    </w:p>
    <w:p>
      <w:pPr>
        <w:spacing w:after="0" w:line="170" w:lineRule="exact"/>
        <w:rPr>
          <w:sz w:val="20"/>
          <w:szCs w:val="20"/>
          <w:color w:val="auto"/>
        </w:rPr>
      </w:pPr>
    </w:p>
    <w:p>
      <w:pPr>
        <w:ind w:left="260" w:hanging="147"/>
        <w:spacing w:after="0"/>
        <w:tabs>
          <w:tab w:leader="none" w:pos="260" w:val="left"/>
        </w:tabs>
        <w:numPr>
          <w:ilvl w:val="0"/>
          <w:numId w:val="41"/>
        </w:numPr>
        <w:rPr>
          <w:rFonts w:ascii="Arial" w:cs="Arial" w:eastAsia="Arial" w:hAnsi="Arial"/>
          <w:sz w:val="11"/>
          <w:szCs w:val="11"/>
          <w:color w:val="auto"/>
        </w:rPr>
      </w:pPr>
      <w:r>
        <w:rPr>
          <w:rFonts w:ascii="Arial" w:cs="Arial" w:eastAsia="Arial" w:hAnsi="Arial"/>
          <w:sz w:val="11"/>
          <w:szCs w:val="11"/>
          <w:color w:val="auto"/>
        </w:rPr>
        <w:t>$10 million of gains on interest rate and foreign exchange instruments in the first three months of 2011 compared to $9 million losses, all related to Otay Mesa VIE, in the first three months of 2010;</w:t>
      </w:r>
    </w:p>
    <w:p>
      <w:pPr>
        <w:spacing w:after="0" w:line="224" w:lineRule="exact"/>
        <w:rPr>
          <w:rFonts w:ascii="Arial" w:cs="Arial" w:eastAsia="Arial" w:hAnsi="Arial"/>
          <w:sz w:val="11"/>
          <w:szCs w:val="11"/>
          <w:color w:val="auto"/>
        </w:rPr>
      </w:pPr>
    </w:p>
    <w:p>
      <w:pPr>
        <w:ind w:left="260" w:hanging="147"/>
        <w:spacing w:after="0"/>
        <w:tabs>
          <w:tab w:leader="none" w:pos="2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$6 million higher allowance for equity funds used during construction attributable to SDG&amp;E; and</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$5 million higher investment gains on dedicated assets in support of our executive retirement and deferred compensation plans.</w:t>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Taxes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shows the income tax expense and effective income tax rates for Sempra Energy, SDG&amp;E, PE and SoCalGas.</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 EXPENSE AND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(Dollars in millions)</w:t>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gridSpan w:val="2"/>
          </w:tcPr>
          <w:p>
            <w:pPr>
              <w:ind w:left="20"/>
              <w:spacing w:after="0" w:line="121" w:lineRule="exact"/>
              <w:rPr>
                <w:sz w:val="20"/>
                <w:szCs w:val="20"/>
                <w:color w:val="auto"/>
              </w:rPr>
            </w:pPr>
            <w:r>
              <w:rPr>
                <w:rFonts w:ascii="Arial" w:cs="Arial" w:eastAsia="Arial" w:hAnsi="Arial"/>
                <w:sz w:val="11"/>
                <w:szCs w:val="11"/>
                <w:color w:val="auto"/>
              </w:rPr>
              <w:t>Three months ended March 31,</w:t>
            </w:r>
          </w:p>
        </w:tc>
        <w:tc>
          <w:tcPr>
            <w:tcW w:w="38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jc w:val="right"/>
              <w:ind w:right="1061"/>
              <w:spacing w:after="0" w:line="124" w:lineRule="exact"/>
              <w:rPr>
                <w:sz w:val="20"/>
                <w:szCs w:val="20"/>
                <w:color w:val="auto"/>
              </w:rPr>
            </w:pPr>
            <w:r>
              <w:rPr>
                <w:rFonts w:ascii="Arial" w:cs="Arial" w:eastAsia="Arial" w:hAnsi="Arial"/>
                <w:sz w:val="11"/>
                <w:szCs w:val="11"/>
                <w:color w:val="auto"/>
              </w:rPr>
              <w:t>2011</w:t>
            </w:r>
          </w:p>
        </w:tc>
        <w:tc>
          <w:tcPr>
            <w:tcW w:w="6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ind w:left="60"/>
              <w:spacing w:after="0" w:line="124" w:lineRule="exact"/>
              <w:rPr>
                <w:sz w:val="20"/>
                <w:szCs w:val="20"/>
                <w:color w:val="auto"/>
              </w:rPr>
            </w:pPr>
            <w:r>
              <w:rPr>
                <w:rFonts w:ascii="Arial" w:cs="Arial" w:eastAsia="Arial" w:hAnsi="Arial"/>
                <w:sz w:val="11"/>
                <w:szCs w:val="11"/>
                <w:color w:val="auto"/>
              </w:rPr>
              <w:t>2010</w:t>
            </w:r>
          </w:p>
        </w:tc>
      </w:tr>
      <w:tr>
        <w:trPr>
          <w:trHeight w:val="146"/>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540" w:type="dxa"/>
            <w:vAlign w:val="bottom"/>
          </w:tcPr>
          <w:p>
            <w:pPr>
              <w:jc w:val="center"/>
              <w:ind w:left="643"/>
              <w:spacing w:after="0"/>
              <w:rPr>
                <w:sz w:val="20"/>
                <w:szCs w:val="20"/>
                <w:color w:val="auto"/>
              </w:rPr>
            </w:pPr>
            <w:r>
              <w:rPr>
                <w:rFonts w:ascii="Arial" w:cs="Arial" w:eastAsia="Arial" w:hAnsi="Arial"/>
                <w:sz w:val="11"/>
                <w:szCs w:val="11"/>
                <w:color w:val="auto"/>
                <w:w w:val="97"/>
              </w:rPr>
              <w:t>Income Tax</w:t>
            </w:r>
          </w:p>
        </w:tc>
        <w:tc>
          <w:tcPr>
            <w:tcW w:w="1820" w:type="dxa"/>
            <w:vAlign w:val="bottom"/>
          </w:tcPr>
          <w:p>
            <w:pPr>
              <w:jc w:val="right"/>
              <w:spacing w:after="0"/>
              <w:rPr>
                <w:sz w:val="20"/>
                <w:szCs w:val="20"/>
                <w:color w:val="auto"/>
              </w:rPr>
            </w:pPr>
            <w:r>
              <w:rPr>
                <w:rFonts w:ascii="Arial" w:cs="Arial" w:eastAsia="Arial" w:hAnsi="Arial"/>
                <w:sz w:val="11"/>
                <w:szCs w:val="11"/>
                <w:color w:val="auto"/>
              </w:rPr>
              <w:t>Effective Income</w:t>
            </w:r>
          </w:p>
        </w:tc>
        <w:tc>
          <w:tcPr>
            <w:tcW w:w="620" w:type="dxa"/>
            <w:vAlign w:val="bottom"/>
          </w:tcPr>
          <w:p>
            <w:pPr>
              <w:spacing w:after="0"/>
              <w:rPr>
                <w:sz w:val="12"/>
                <w:szCs w:val="12"/>
                <w:color w:val="auto"/>
              </w:rPr>
            </w:pPr>
          </w:p>
        </w:tc>
        <w:tc>
          <w:tcPr>
            <w:tcW w:w="1560" w:type="dxa"/>
            <w:vAlign w:val="bottom"/>
          </w:tcPr>
          <w:p>
            <w:pPr>
              <w:jc w:val="center"/>
              <w:ind w:left="583"/>
              <w:spacing w:after="0"/>
              <w:rPr>
                <w:sz w:val="20"/>
                <w:szCs w:val="20"/>
                <w:color w:val="auto"/>
              </w:rPr>
            </w:pPr>
            <w:r>
              <w:rPr>
                <w:rFonts w:ascii="Arial" w:cs="Arial" w:eastAsia="Arial" w:hAnsi="Arial"/>
                <w:sz w:val="11"/>
                <w:szCs w:val="11"/>
                <w:color w:val="auto"/>
                <w:w w:val="97"/>
              </w:rPr>
              <w:t>Income Tax</w:t>
            </w:r>
          </w:p>
        </w:tc>
        <w:tc>
          <w:tcPr>
            <w:tcW w:w="380" w:type="dxa"/>
            <w:vAlign w:val="bottom"/>
          </w:tcPr>
          <w:p>
            <w:pPr>
              <w:spacing w:after="0"/>
              <w:rPr>
                <w:sz w:val="12"/>
                <w:szCs w:val="12"/>
                <w:color w:val="auto"/>
              </w:rPr>
            </w:pPr>
          </w:p>
        </w:tc>
        <w:tc>
          <w:tcPr>
            <w:tcW w:w="2040" w:type="dxa"/>
            <w:vAlign w:val="bottom"/>
          </w:tcPr>
          <w:p>
            <w:pPr>
              <w:ind w:left="600"/>
              <w:spacing w:after="0"/>
              <w:rPr>
                <w:sz w:val="20"/>
                <w:szCs w:val="20"/>
                <w:color w:val="auto"/>
              </w:rPr>
            </w:pPr>
            <w:r>
              <w:rPr>
                <w:rFonts w:ascii="Arial" w:cs="Arial" w:eastAsia="Arial" w:hAnsi="Arial"/>
                <w:sz w:val="11"/>
                <w:szCs w:val="11"/>
                <w:color w:val="auto"/>
              </w:rPr>
              <w:t>Effective Income</w:t>
            </w:r>
          </w:p>
        </w:tc>
      </w:tr>
      <w:tr>
        <w:trPr>
          <w:trHeight w:val="124"/>
        </w:trPr>
        <w:tc>
          <w:tcPr>
            <w:tcW w:w="20" w:type="dxa"/>
            <w:vAlign w:val="bottom"/>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center"/>
              <w:ind w:left="623"/>
              <w:spacing w:after="0" w:line="123" w:lineRule="exact"/>
              <w:rPr>
                <w:sz w:val="20"/>
                <w:szCs w:val="20"/>
                <w:color w:val="auto"/>
              </w:rPr>
            </w:pPr>
            <w:r>
              <w:rPr>
                <w:rFonts w:ascii="Arial" w:cs="Arial" w:eastAsia="Arial" w:hAnsi="Arial"/>
                <w:sz w:val="11"/>
                <w:szCs w:val="11"/>
                <w:color w:val="auto"/>
                <w:w w:val="98"/>
              </w:rPr>
              <w:t>Expense</w:t>
            </w:r>
          </w:p>
        </w:tc>
        <w:tc>
          <w:tcPr>
            <w:tcW w:w="1820" w:type="dxa"/>
            <w:vAlign w:val="bottom"/>
            <w:tcBorders>
              <w:bottom w:val="single" w:sz="8" w:color="auto"/>
            </w:tcBorders>
          </w:tcPr>
          <w:p>
            <w:pPr>
              <w:jc w:val="right"/>
              <w:ind w:right="141"/>
              <w:spacing w:after="0" w:line="123" w:lineRule="exact"/>
              <w:rPr>
                <w:sz w:val="20"/>
                <w:szCs w:val="20"/>
                <w:color w:val="auto"/>
              </w:rPr>
            </w:pPr>
            <w:r>
              <w:rPr>
                <w:rFonts w:ascii="Arial" w:cs="Arial" w:eastAsia="Arial" w:hAnsi="Arial"/>
                <w:sz w:val="11"/>
                <w:szCs w:val="11"/>
                <w:color w:val="auto"/>
              </w:rPr>
              <w:t>Tax Rate</w:t>
            </w:r>
          </w:p>
        </w:tc>
        <w:tc>
          <w:tcPr>
            <w:tcW w:w="6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jc w:val="center"/>
              <w:ind w:left="583"/>
              <w:spacing w:after="0" w:line="123" w:lineRule="exact"/>
              <w:rPr>
                <w:sz w:val="20"/>
                <w:szCs w:val="20"/>
                <w:color w:val="auto"/>
              </w:rPr>
            </w:pPr>
            <w:r>
              <w:rPr>
                <w:rFonts w:ascii="Arial" w:cs="Arial" w:eastAsia="Arial" w:hAnsi="Arial"/>
                <w:sz w:val="11"/>
                <w:szCs w:val="11"/>
                <w:color w:val="auto"/>
              </w:rPr>
              <w:t>Expense</w:t>
            </w:r>
          </w:p>
        </w:tc>
        <w:tc>
          <w:tcPr>
            <w:tcW w:w="38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ind w:left="780"/>
              <w:spacing w:after="0" w:line="123" w:lineRule="exact"/>
              <w:rPr>
                <w:sz w:val="20"/>
                <w:szCs w:val="20"/>
                <w:color w:val="auto"/>
              </w:rPr>
            </w:pPr>
            <w:r>
              <w:rPr>
                <w:rFonts w:ascii="Arial" w:cs="Arial" w:eastAsia="Arial" w:hAnsi="Arial"/>
                <w:sz w:val="11"/>
                <w:szCs w:val="11"/>
                <w:color w:val="auto"/>
              </w:rPr>
              <w:t>Tax Rate</w:t>
            </w:r>
          </w:p>
        </w:tc>
      </w:tr>
      <w:tr>
        <w:trPr>
          <w:trHeight w:val="125"/>
        </w:trPr>
        <w:tc>
          <w:tcPr>
            <w:tcW w:w="20" w:type="dxa"/>
            <w:vAlign w:val="bottom"/>
          </w:tcPr>
          <w:p>
            <w:pPr>
              <w:spacing w:after="0"/>
              <w:rPr>
                <w:sz w:val="10"/>
                <w:szCs w:val="10"/>
                <w:color w:val="auto"/>
              </w:rPr>
            </w:pPr>
          </w:p>
        </w:tc>
        <w:tc>
          <w:tcPr>
            <w:tcW w:w="3480" w:type="dxa"/>
            <w:vAlign w:val="bottom"/>
          </w:tcPr>
          <w:p>
            <w:pPr>
              <w:spacing w:after="0" w:line="126" w:lineRule="exact"/>
              <w:rPr>
                <w:sz w:val="20"/>
                <w:szCs w:val="20"/>
                <w:color w:val="auto"/>
              </w:rPr>
            </w:pPr>
            <w:r>
              <w:rPr>
                <w:rFonts w:ascii="Arial" w:cs="Arial" w:eastAsia="Arial" w:hAnsi="Arial"/>
                <w:sz w:val="12"/>
                <w:szCs w:val="12"/>
                <w:color w:val="auto"/>
              </w:rPr>
              <w:t>Sempra Energy Consolidated</w:t>
            </w:r>
          </w:p>
        </w:tc>
        <w:tc>
          <w:tcPr>
            <w:tcW w:w="1540" w:type="dxa"/>
            <w:vAlign w:val="bottom"/>
          </w:tcPr>
          <w:p>
            <w:pPr>
              <w:jc w:val="right"/>
              <w:ind w:right="1163"/>
              <w:spacing w:after="0" w:line="126" w:lineRule="exact"/>
              <w:rPr>
                <w:sz w:val="20"/>
                <w:szCs w:val="20"/>
                <w:color w:val="auto"/>
              </w:rPr>
            </w:pPr>
            <w:r>
              <w:rPr>
                <w:rFonts w:ascii="Arial" w:cs="Arial" w:eastAsia="Arial" w:hAnsi="Arial"/>
                <w:sz w:val="12"/>
                <w:szCs w:val="12"/>
                <w:color w:val="auto"/>
              </w:rPr>
              <w:t>$</w:t>
            </w:r>
          </w:p>
        </w:tc>
        <w:tc>
          <w:tcPr>
            <w:tcW w:w="1820" w:type="dxa"/>
            <w:vAlign w:val="bottom"/>
          </w:tcPr>
          <w:p>
            <w:pPr>
              <w:jc w:val="right"/>
              <w:ind w:right="1421"/>
              <w:spacing w:after="0" w:line="126" w:lineRule="exact"/>
              <w:rPr>
                <w:sz w:val="20"/>
                <w:szCs w:val="20"/>
                <w:color w:val="auto"/>
              </w:rPr>
            </w:pPr>
            <w:r>
              <w:rPr>
                <w:rFonts w:ascii="Arial" w:cs="Arial" w:eastAsia="Arial" w:hAnsi="Arial"/>
                <w:sz w:val="12"/>
                <w:szCs w:val="12"/>
                <w:color w:val="auto"/>
              </w:rPr>
              <w:t>109</w:t>
            </w:r>
          </w:p>
        </w:tc>
        <w:tc>
          <w:tcPr>
            <w:tcW w:w="620" w:type="dxa"/>
            <w:vAlign w:val="bottom"/>
          </w:tcPr>
          <w:p>
            <w:pPr>
              <w:ind w:left="120"/>
              <w:spacing w:after="0" w:line="126" w:lineRule="exact"/>
              <w:rPr>
                <w:sz w:val="20"/>
                <w:szCs w:val="20"/>
                <w:color w:val="auto"/>
              </w:rPr>
            </w:pPr>
            <w:r>
              <w:rPr>
                <w:rFonts w:ascii="Arial" w:cs="Arial" w:eastAsia="Arial" w:hAnsi="Arial"/>
                <w:sz w:val="12"/>
                <w:szCs w:val="12"/>
                <w:color w:val="auto"/>
              </w:rPr>
              <w:t>32 %</w:t>
            </w:r>
          </w:p>
        </w:tc>
        <w:tc>
          <w:tcPr>
            <w:tcW w:w="1560" w:type="dxa"/>
            <w:vAlign w:val="bottom"/>
          </w:tcPr>
          <w:p>
            <w:pPr>
              <w:jc w:val="right"/>
              <w:ind w:right="1203"/>
              <w:spacing w:after="0" w:line="126" w:lineRule="exact"/>
              <w:rPr>
                <w:sz w:val="20"/>
                <w:szCs w:val="20"/>
                <w:color w:val="auto"/>
              </w:rPr>
            </w:pPr>
            <w:r>
              <w:rPr>
                <w:rFonts w:ascii="Arial" w:cs="Arial" w:eastAsia="Arial" w:hAnsi="Arial"/>
                <w:sz w:val="12"/>
                <w:szCs w:val="12"/>
                <w:color w:val="auto"/>
              </w:rPr>
              <w:t>$</w:t>
            </w:r>
          </w:p>
        </w:tc>
        <w:tc>
          <w:tcPr>
            <w:tcW w:w="380" w:type="dxa"/>
            <w:vAlign w:val="bottom"/>
          </w:tcPr>
          <w:p>
            <w:pPr>
              <w:jc w:val="right"/>
              <w:ind w:right="18"/>
              <w:spacing w:after="0" w:line="126" w:lineRule="exact"/>
              <w:rPr>
                <w:sz w:val="20"/>
                <w:szCs w:val="20"/>
                <w:color w:val="auto"/>
              </w:rPr>
            </w:pPr>
            <w:r>
              <w:rPr>
                <w:rFonts w:ascii="Arial" w:cs="Arial" w:eastAsia="Arial" w:hAnsi="Arial"/>
                <w:sz w:val="12"/>
                <w:szCs w:val="12"/>
                <w:color w:val="auto"/>
              </w:rPr>
              <w:t>58</w:t>
            </w:r>
          </w:p>
        </w:tc>
        <w:tc>
          <w:tcPr>
            <w:tcW w:w="2040" w:type="dxa"/>
            <w:vAlign w:val="bottom"/>
          </w:tcPr>
          <w:p>
            <w:pPr>
              <w:ind w:left="1540"/>
              <w:spacing w:after="0" w:line="126" w:lineRule="exact"/>
              <w:rPr>
                <w:sz w:val="20"/>
                <w:szCs w:val="20"/>
                <w:color w:val="auto"/>
              </w:rPr>
            </w:pPr>
            <w:r>
              <w:rPr>
                <w:rFonts w:ascii="Arial" w:cs="Arial" w:eastAsia="Arial" w:hAnsi="Arial"/>
                <w:sz w:val="12"/>
                <w:szCs w:val="12"/>
                <w:color w:val="auto"/>
              </w:rPr>
              <w:t>42 %</w:t>
            </w:r>
          </w:p>
        </w:tc>
      </w:tr>
      <w:tr>
        <w:trPr>
          <w:trHeight w:val="134"/>
        </w:trPr>
        <w:tc>
          <w:tcPr>
            <w:tcW w:w="3500" w:type="dxa"/>
            <w:vAlign w:val="bottom"/>
            <w:gridSpan w:val="2"/>
          </w:tcPr>
          <w:p>
            <w:pPr>
              <w:spacing w:after="0" w:line="134" w:lineRule="exact"/>
              <w:rPr>
                <w:sz w:val="20"/>
                <w:szCs w:val="20"/>
                <w:color w:val="auto"/>
              </w:rPr>
            </w:pPr>
            <w:r>
              <w:rPr>
                <w:rFonts w:ascii="Arial" w:cs="Arial" w:eastAsia="Arial" w:hAnsi="Arial"/>
                <w:sz w:val="12"/>
                <w:szCs w:val="12"/>
                <w:color w:val="auto"/>
              </w:rPr>
              <w:t>SDG&amp;E</w:t>
            </w:r>
          </w:p>
        </w:tc>
        <w:tc>
          <w:tcPr>
            <w:tcW w:w="1540" w:type="dxa"/>
            <w:vAlign w:val="bottom"/>
          </w:tcPr>
          <w:p>
            <w:pPr>
              <w:spacing w:after="0"/>
              <w:rPr>
                <w:sz w:val="11"/>
                <w:szCs w:val="11"/>
                <w:color w:val="auto"/>
              </w:rPr>
            </w:pPr>
          </w:p>
        </w:tc>
        <w:tc>
          <w:tcPr>
            <w:tcW w:w="1820" w:type="dxa"/>
            <w:vAlign w:val="bottom"/>
          </w:tcPr>
          <w:p>
            <w:pPr>
              <w:jc w:val="right"/>
              <w:ind w:right="1421"/>
              <w:spacing w:after="0" w:line="134" w:lineRule="exact"/>
              <w:rPr>
                <w:sz w:val="20"/>
                <w:szCs w:val="20"/>
                <w:color w:val="auto"/>
              </w:rPr>
            </w:pPr>
            <w:r>
              <w:rPr>
                <w:rFonts w:ascii="Arial" w:cs="Arial" w:eastAsia="Arial" w:hAnsi="Arial"/>
                <w:sz w:val="12"/>
                <w:szCs w:val="12"/>
                <w:color w:val="auto"/>
              </w:rPr>
              <w:t>49</w:t>
            </w:r>
          </w:p>
        </w:tc>
        <w:tc>
          <w:tcPr>
            <w:tcW w:w="620" w:type="dxa"/>
            <w:vAlign w:val="bottom"/>
          </w:tcPr>
          <w:p>
            <w:pPr>
              <w:ind w:left="120"/>
              <w:spacing w:after="0" w:line="134" w:lineRule="exact"/>
              <w:rPr>
                <w:sz w:val="20"/>
                <w:szCs w:val="20"/>
                <w:color w:val="auto"/>
              </w:rPr>
            </w:pPr>
            <w:r>
              <w:rPr>
                <w:rFonts w:ascii="Arial" w:cs="Arial" w:eastAsia="Arial" w:hAnsi="Arial"/>
                <w:sz w:val="12"/>
                <w:szCs w:val="12"/>
                <w:color w:val="auto"/>
              </w:rPr>
              <w:t>34</w:t>
            </w:r>
          </w:p>
        </w:tc>
        <w:tc>
          <w:tcPr>
            <w:tcW w:w="1560" w:type="dxa"/>
            <w:vAlign w:val="bottom"/>
          </w:tcPr>
          <w:p>
            <w:pPr>
              <w:spacing w:after="0"/>
              <w:rPr>
                <w:sz w:val="11"/>
                <w:szCs w:val="11"/>
                <w:color w:val="auto"/>
              </w:rPr>
            </w:pPr>
          </w:p>
        </w:tc>
        <w:tc>
          <w:tcPr>
            <w:tcW w:w="380" w:type="dxa"/>
            <w:vAlign w:val="bottom"/>
          </w:tcPr>
          <w:p>
            <w:pPr>
              <w:jc w:val="right"/>
              <w:ind w:right="18"/>
              <w:spacing w:after="0" w:line="134" w:lineRule="exact"/>
              <w:rPr>
                <w:sz w:val="20"/>
                <w:szCs w:val="20"/>
                <w:color w:val="auto"/>
              </w:rPr>
            </w:pPr>
            <w:r>
              <w:rPr>
                <w:rFonts w:ascii="Arial" w:cs="Arial" w:eastAsia="Arial" w:hAnsi="Arial"/>
                <w:sz w:val="12"/>
                <w:szCs w:val="12"/>
                <w:color w:val="auto"/>
              </w:rPr>
              <w:t>31</w:t>
            </w:r>
          </w:p>
        </w:tc>
        <w:tc>
          <w:tcPr>
            <w:tcW w:w="2040" w:type="dxa"/>
            <w:vAlign w:val="bottom"/>
          </w:tcPr>
          <w:p>
            <w:pPr>
              <w:ind w:left="1540"/>
              <w:spacing w:after="0" w:line="134" w:lineRule="exact"/>
              <w:rPr>
                <w:sz w:val="20"/>
                <w:szCs w:val="20"/>
                <w:color w:val="auto"/>
              </w:rPr>
            </w:pPr>
            <w:r>
              <w:rPr>
                <w:rFonts w:ascii="Arial" w:cs="Arial" w:eastAsia="Arial" w:hAnsi="Arial"/>
                <w:sz w:val="12"/>
                <w:szCs w:val="12"/>
                <w:color w:val="auto"/>
              </w:rPr>
              <w:t>29</w:t>
            </w:r>
          </w:p>
        </w:tc>
      </w:tr>
      <w:tr>
        <w:trPr>
          <w:trHeight w:val="134"/>
        </w:trPr>
        <w:tc>
          <w:tcPr>
            <w:tcW w:w="3500" w:type="dxa"/>
            <w:vAlign w:val="bottom"/>
            <w:gridSpan w:val="2"/>
          </w:tcPr>
          <w:p>
            <w:pPr>
              <w:spacing w:after="0" w:line="134" w:lineRule="exact"/>
              <w:rPr>
                <w:sz w:val="20"/>
                <w:szCs w:val="20"/>
                <w:color w:val="auto"/>
              </w:rPr>
            </w:pPr>
            <w:r>
              <w:rPr>
                <w:rFonts w:ascii="Arial" w:cs="Arial" w:eastAsia="Arial" w:hAnsi="Arial"/>
                <w:sz w:val="12"/>
                <w:szCs w:val="12"/>
                <w:color w:val="auto"/>
              </w:rPr>
              <w:t>PE</w:t>
            </w:r>
          </w:p>
        </w:tc>
        <w:tc>
          <w:tcPr>
            <w:tcW w:w="1540" w:type="dxa"/>
            <w:vAlign w:val="bottom"/>
          </w:tcPr>
          <w:p>
            <w:pPr>
              <w:spacing w:after="0"/>
              <w:rPr>
                <w:sz w:val="11"/>
                <w:szCs w:val="11"/>
                <w:color w:val="auto"/>
              </w:rPr>
            </w:pPr>
          </w:p>
        </w:tc>
        <w:tc>
          <w:tcPr>
            <w:tcW w:w="1820" w:type="dxa"/>
            <w:vAlign w:val="bottom"/>
          </w:tcPr>
          <w:p>
            <w:pPr>
              <w:jc w:val="right"/>
              <w:ind w:right="1421"/>
              <w:spacing w:after="0" w:line="134" w:lineRule="exact"/>
              <w:rPr>
                <w:sz w:val="20"/>
                <w:szCs w:val="20"/>
                <w:color w:val="auto"/>
              </w:rPr>
            </w:pPr>
            <w:r>
              <w:rPr>
                <w:rFonts w:ascii="Arial" w:cs="Arial" w:eastAsia="Arial" w:hAnsi="Arial"/>
                <w:sz w:val="12"/>
                <w:szCs w:val="12"/>
                <w:color w:val="auto"/>
              </w:rPr>
              <w:t>37</w:t>
            </w:r>
          </w:p>
        </w:tc>
        <w:tc>
          <w:tcPr>
            <w:tcW w:w="620" w:type="dxa"/>
            <w:vAlign w:val="bottom"/>
          </w:tcPr>
          <w:p>
            <w:pPr>
              <w:ind w:left="120"/>
              <w:spacing w:after="0" w:line="134" w:lineRule="exact"/>
              <w:rPr>
                <w:sz w:val="20"/>
                <w:szCs w:val="20"/>
                <w:color w:val="auto"/>
              </w:rPr>
            </w:pPr>
            <w:r>
              <w:rPr>
                <w:rFonts w:ascii="Arial" w:cs="Arial" w:eastAsia="Arial" w:hAnsi="Arial"/>
                <w:sz w:val="12"/>
                <w:szCs w:val="12"/>
                <w:color w:val="auto"/>
              </w:rPr>
              <w:t>35</w:t>
            </w:r>
          </w:p>
        </w:tc>
        <w:tc>
          <w:tcPr>
            <w:tcW w:w="1560" w:type="dxa"/>
            <w:vAlign w:val="bottom"/>
          </w:tcPr>
          <w:p>
            <w:pPr>
              <w:spacing w:after="0"/>
              <w:rPr>
                <w:sz w:val="11"/>
                <w:szCs w:val="11"/>
                <w:color w:val="auto"/>
              </w:rPr>
            </w:pPr>
          </w:p>
        </w:tc>
        <w:tc>
          <w:tcPr>
            <w:tcW w:w="380" w:type="dxa"/>
            <w:vAlign w:val="bottom"/>
          </w:tcPr>
          <w:p>
            <w:pPr>
              <w:jc w:val="right"/>
              <w:ind w:right="18"/>
              <w:spacing w:after="0" w:line="134" w:lineRule="exact"/>
              <w:rPr>
                <w:sz w:val="20"/>
                <w:szCs w:val="20"/>
                <w:color w:val="auto"/>
              </w:rPr>
            </w:pPr>
            <w:r>
              <w:rPr>
                <w:rFonts w:ascii="Arial" w:cs="Arial" w:eastAsia="Arial" w:hAnsi="Arial"/>
                <w:sz w:val="12"/>
                <w:szCs w:val="12"/>
                <w:color w:val="auto"/>
              </w:rPr>
              <w:t>57</w:t>
            </w:r>
          </w:p>
        </w:tc>
        <w:tc>
          <w:tcPr>
            <w:tcW w:w="2040" w:type="dxa"/>
            <w:vAlign w:val="bottom"/>
          </w:tcPr>
          <w:p>
            <w:pPr>
              <w:ind w:left="1540"/>
              <w:spacing w:after="0" w:line="134" w:lineRule="exact"/>
              <w:rPr>
                <w:sz w:val="20"/>
                <w:szCs w:val="20"/>
                <w:color w:val="auto"/>
              </w:rPr>
            </w:pPr>
            <w:r>
              <w:rPr>
                <w:rFonts w:ascii="Arial" w:cs="Arial" w:eastAsia="Arial" w:hAnsi="Arial"/>
                <w:sz w:val="12"/>
                <w:szCs w:val="12"/>
                <w:color w:val="auto"/>
              </w:rPr>
              <w:t>47</w:t>
            </w:r>
          </w:p>
        </w:tc>
      </w:tr>
      <w:tr>
        <w:trPr>
          <w:trHeight w:val="144"/>
        </w:trPr>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SoCalGas</w:t>
            </w:r>
          </w:p>
        </w:tc>
        <w:tc>
          <w:tcPr>
            <w:tcW w:w="15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ind w:right="1421"/>
              <w:spacing w:after="0"/>
              <w:rPr>
                <w:sz w:val="20"/>
                <w:szCs w:val="20"/>
                <w:color w:val="auto"/>
              </w:rPr>
            </w:pPr>
            <w:r>
              <w:rPr>
                <w:rFonts w:ascii="Arial" w:cs="Arial" w:eastAsia="Arial" w:hAnsi="Arial"/>
                <w:sz w:val="12"/>
                <w:szCs w:val="12"/>
                <w:color w:val="auto"/>
              </w:rPr>
              <w:t>37</w:t>
            </w: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35</w:t>
            </w:r>
          </w:p>
        </w:tc>
        <w:tc>
          <w:tcPr>
            <w:tcW w:w="15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56</w:t>
            </w:r>
          </w:p>
        </w:tc>
        <w:tc>
          <w:tcPr>
            <w:tcW w:w="2040" w:type="dxa"/>
            <w:vAlign w:val="bottom"/>
            <w:tcBorders>
              <w:bottom w:val="single" w:sz="8" w:color="auto"/>
            </w:tcBorders>
          </w:tcPr>
          <w:p>
            <w:pPr>
              <w:ind w:left="1540"/>
              <w:spacing w:after="0"/>
              <w:rPr>
                <w:sz w:val="20"/>
                <w:szCs w:val="20"/>
                <w:color w:val="auto"/>
              </w:rPr>
            </w:pPr>
            <w:r>
              <w:rPr>
                <w:rFonts w:ascii="Arial" w:cs="Arial" w:eastAsia="Arial" w:hAnsi="Arial"/>
                <w:sz w:val="12"/>
                <w:szCs w:val="12"/>
                <w:color w:val="auto"/>
              </w:rPr>
              <w:t>46</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Sempra Energy Consolidated</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The increase in income tax expense in the three months ended March 31, 2011 was due to higher pretax income, offset by a lower effective income tax rate primarily resulting from:</w:t>
      </w:r>
    </w:p>
    <w:p>
      <w:pPr>
        <w:spacing w:after="0" w:line="170" w:lineRule="exact"/>
        <w:rPr>
          <w:sz w:val="20"/>
          <w:szCs w:val="20"/>
          <w:color w:val="auto"/>
        </w:rPr>
      </w:pPr>
    </w:p>
    <w:p>
      <w:pPr>
        <w:ind w:left="260" w:hanging="147"/>
        <w:spacing w:after="0" w:line="267" w:lineRule="auto"/>
        <w:tabs>
          <w:tab w:leader="none" w:pos="260" w:val="left"/>
        </w:tabs>
        <w:numPr>
          <w:ilvl w:val="0"/>
          <w:numId w:val="42"/>
        </w:numPr>
        <w:rPr>
          <w:rFonts w:ascii="Arial" w:cs="Arial" w:eastAsia="Arial" w:hAnsi="Arial"/>
          <w:sz w:val="14"/>
          <w:szCs w:val="14"/>
          <w:b w:val="1"/>
          <w:bCs w:val="1"/>
          <w:color w:val="auto"/>
        </w:rPr>
      </w:pPr>
      <w:r>
        <w:rPr>
          <w:rFonts w:ascii="Arial" w:cs="Arial" w:eastAsia="Arial" w:hAnsi="Arial"/>
          <w:sz w:val="14"/>
          <w:szCs w:val="14"/>
          <w:color w:val="auto"/>
        </w:rPr>
        <w:t>a $16 million write-down in 2010 of the deferred tax assets related to other postretirement benefits, as a result of a change in U.S. tax law that eliminates a future deduction, starting in 2013, for retiree healthcare funded by the Medicare Part D subsidy;</w:t>
      </w:r>
    </w:p>
    <w:p>
      <w:pPr>
        <w:spacing w:after="0" w:line="158" w:lineRule="exact"/>
        <w:rPr>
          <w:rFonts w:ascii="Arial" w:cs="Arial" w:eastAsia="Arial" w:hAnsi="Arial"/>
          <w:sz w:val="14"/>
          <w:szCs w:val="14"/>
          <w:b w:val="1"/>
          <w:bCs w:val="1"/>
          <w:color w:val="auto"/>
        </w:rPr>
      </w:pPr>
    </w:p>
    <w:p>
      <w:pPr>
        <w:ind w:left="260" w:hanging="147"/>
        <w:spacing w:after="0"/>
        <w:tabs>
          <w:tab w:leader="none" w:pos="260" w:val="left"/>
        </w:tabs>
        <w:numPr>
          <w:ilvl w:val="0"/>
          <w:numId w:val="42"/>
        </w:numPr>
        <w:rPr>
          <w:rFonts w:ascii="Arial" w:cs="Arial" w:eastAsia="Arial" w:hAnsi="Arial"/>
          <w:sz w:val="14"/>
          <w:szCs w:val="14"/>
          <w:b w:val="1"/>
          <w:bCs w:val="1"/>
          <w:color w:val="auto"/>
        </w:rPr>
      </w:pPr>
      <w:r>
        <w:rPr>
          <w:rFonts w:ascii="Arial" w:cs="Arial" w:eastAsia="Arial" w:hAnsi="Arial"/>
          <w:sz w:val="14"/>
          <w:szCs w:val="14"/>
          <w:color w:val="auto"/>
        </w:rPr>
        <w:t>lower tax expense in 2011 due to Mexican currency translation and inflation adjustments;</w:t>
      </w:r>
    </w:p>
    <w:p>
      <w:pPr>
        <w:spacing w:after="0" w:line="190" w:lineRule="exact"/>
        <w:rPr>
          <w:rFonts w:ascii="Arial" w:cs="Arial" w:eastAsia="Arial" w:hAnsi="Arial"/>
          <w:sz w:val="14"/>
          <w:szCs w:val="14"/>
          <w:b w:val="1"/>
          <w:bCs w:val="1"/>
          <w:color w:val="auto"/>
        </w:rPr>
      </w:pPr>
    </w:p>
    <w:p>
      <w:pPr>
        <w:ind w:left="260" w:hanging="147"/>
        <w:spacing w:after="0"/>
        <w:tabs>
          <w:tab w:leader="none" w:pos="2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higher planned investment tax credits;</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42"/>
        </w:numPr>
        <w:rPr>
          <w:rFonts w:ascii="Arial" w:cs="Arial" w:eastAsia="Arial" w:hAnsi="Arial"/>
          <w:sz w:val="14"/>
          <w:szCs w:val="14"/>
          <w:b w:val="1"/>
          <w:bCs w:val="1"/>
          <w:color w:val="auto"/>
        </w:rPr>
      </w:pPr>
      <w:r>
        <w:rPr>
          <w:rFonts w:ascii="Arial" w:cs="Arial" w:eastAsia="Arial" w:hAnsi="Arial"/>
          <w:sz w:val="14"/>
          <w:szCs w:val="14"/>
          <w:color w:val="auto"/>
        </w:rPr>
        <w:t>higher exclusions from taxable income of the equity portion of allowance for funds used during construction (AFUDC); and</w:t>
      </w:r>
    </w:p>
    <w:p>
      <w:pPr>
        <w:spacing w:after="0" w:line="186" w:lineRule="exact"/>
        <w:rPr>
          <w:rFonts w:ascii="Arial" w:cs="Arial" w:eastAsia="Arial" w:hAnsi="Arial"/>
          <w:sz w:val="14"/>
          <w:szCs w:val="14"/>
          <w:b w:val="1"/>
          <w:bCs w:val="1"/>
          <w:color w:val="auto"/>
        </w:rPr>
      </w:pPr>
    </w:p>
    <w:p>
      <w:pPr>
        <w:ind w:left="260" w:hanging="147"/>
        <w:spacing w:after="0"/>
        <w:tabs>
          <w:tab w:leader="none" w:pos="2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higher deductions for self-developed software costs; </w:t>
      </w:r>
      <w:r>
        <w:rPr>
          <w:rFonts w:ascii="Arial" w:cs="Arial" w:eastAsia="Arial" w:hAnsi="Arial"/>
          <w:sz w:val="14"/>
          <w:szCs w:val="14"/>
          <w:b w:val="1"/>
          <w:bCs w:val="1"/>
          <w:color w:val="auto"/>
        </w:rPr>
        <w:t>offset by</w:t>
      </w:r>
    </w:p>
    <w:p>
      <w:pPr>
        <w:spacing w:after="0" w:line="194" w:lineRule="exact"/>
        <w:rPr>
          <w:rFonts w:ascii="Arial" w:cs="Arial" w:eastAsia="Arial" w:hAnsi="Arial"/>
          <w:sz w:val="14"/>
          <w:szCs w:val="14"/>
          <w:color w:val="auto"/>
        </w:rPr>
      </w:pPr>
    </w:p>
    <w:p>
      <w:pPr>
        <w:ind w:left="260" w:hanging="147"/>
        <w:spacing w:after="0"/>
        <w:tabs>
          <w:tab w:leader="none" w:pos="2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lower favorable adjustments related to prior years' income tax issues; and</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an increase in the amount by which book depreciation for the Sempra Utilities exceeds normalized tax depreciation, which is not treated as a deferred tax asset for ratemaking purposes.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SDG&amp;E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SDG&amp;E's income tax expense increased in the three months ended March 31, 2011 primarily due to higher pretax income and a higher effective income tax rate primarily resulting from:</w:t>
      </w:r>
    </w:p>
    <w:p>
      <w:pPr>
        <w:spacing w:after="0" w:line="166" w:lineRule="exact"/>
        <w:rPr>
          <w:sz w:val="20"/>
          <w:szCs w:val="20"/>
          <w:color w:val="auto"/>
        </w:rPr>
      </w:pPr>
    </w:p>
    <w:p>
      <w:pPr>
        <w:ind w:left="260" w:hanging="147"/>
        <w:spacing w:after="0"/>
        <w:tabs>
          <w:tab w:leader="none" w:pos="2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lower favorable adjustments related to prior years’ income tax issues; </w:t>
      </w:r>
      <w:r>
        <w:rPr>
          <w:rFonts w:ascii="Arial" w:cs="Arial" w:eastAsia="Arial" w:hAnsi="Arial"/>
          <w:sz w:val="14"/>
          <w:szCs w:val="14"/>
          <w:b w:val="1"/>
          <w:bCs w:val="1"/>
          <w:color w:val="auto"/>
        </w:rPr>
        <w:t>offset by</w:t>
      </w:r>
    </w:p>
    <w:p>
      <w:pPr>
        <w:spacing w:after="0" w:line="194" w:lineRule="exact"/>
        <w:rPr>
          <w:rFonts w:ascii="Arial" w:cs="Arial" w:eastAsia="Arial" w:hAnsi="Arial"/>
          <w:sz w:val="14"/>
          <w:szCs w:val="14"/>
          <w:color w:val="auto"/>
        </w:rPr>
      </w:pPr>
    </w:p>
    <w:p>
      <w:pPr>
        <w:ind w:left="260" w:hanging="147"/>
        <w:spacing w:after="0"/>
        <w:tabs>
          <w:tab w:leader="none" w:pos="2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 $3 million write-down in 2010 of the deferred tax assets related to other postretirement benefits as a result of a change in U.S. tax law, as we discuss above;</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impact of Otay Mesa VIE, as we discuss below; and</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higher exclusions from taxable income of the equity portion of AFUDC.</w:t>
      </w:r>
    </w:p>
    <w:p>
      <w:pPr>
        <w:sectPr>
          <w:pgSz w:w="11900" w:h="16838" w:orient="portrait"/>
          <w:cols w:equalWidth="0" w:num="1">
            <w:col w:w="11460"/>
          </w:cols>
          <w:pgMar w:left="220" w:top="294" w:right="219" w:bottom="0" w:gutter="0" w:footer="0" w:header="0"/>
        </w:sectPr>
      </w:pPr>
    </w:p>
    <w:bookmarkStart w:id="49" w:name="page50"/>
    <w:bookmarkEnd w:id="49"/>
    <w:p>
      <w:pPr>
        <w:spacing w:after="0" w:line="267" w:lineRule="auto"/>
        <w:rPr>
          <w:sz w:val="20"/>
          <w:szCs w:val="20"/>
          <w:color w:val="auto"/>
        </w:rPr>
      </w:pPr>
      <w:r>
        <w:rPr>
          <w:rFonts w:ascii="Arial" w:cs="Arial" w:eastAsia="Arial" w:hAnsi="Arial"/>
          <w:sz w:val="14"/>
          <w:szCs w:val="14"/>
          <w:color w:val="auto"/>
        </w:rPr>
        <w:t>Results for Sempra Energy Consolidated and SDG&amp;E include Otay Mesa VIE, which is consolidated, and therefore, their effective income tax rates are impacted by the VIE’s stand-alone effective income tax rate.</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PE and SoCalGas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Income tax expense decreased at PE and SoCalGas primarily due to lower pretax income, as well as lower effective income tax rates primarily due to:</w:t>
      </w:r>
    </w:p>
    <w:p>
      <w:pPr>
        <w:spacing w:after="0" w:line="170" w:lineRule="exact"/>
        <w:rPr>
          <w:sz w:val="20"/>
          <w:szCs w:val="20"/>
          <w:color w:val="auto"/>
        </w:rPr>
      </w:pPr>
    </w:p>
    <w:p>
      <w:pPr>
        <w:ind w:left="260" w:hanging="147"/>
        <w:spacing w:after="0"/>
        <w:tabs>
          <w:tab w:leader="none" w:pos="2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 $13 million write-down in 2010 of the deferred tax assets related to other postretirement benefits as a result of a change in U.S. tax law, as we discuss above; and</w:t>
      </w:r>
    </w:p>
    <w:p>
      <w:pPr>
        <w:spacing w:after="0" w:line="186" w:lineRule="exact"/>
        <w:rPr>
          <w:rFonts w:ascii="Arial" w:cs="Arial" w:eastAsia="Arial" w:hAnsi="Arial"/>
          <w:sz w:val="14"/>
          <w:szCs w:val="14"/>
          <w:color w:val="auto"/>
        </w:rPr>
      </w:pPr>
    </w:p>
    <w:p>
      <w:pPr>
        <w:ind w:left="260" w:hanging="147"/>
        <w:spacing w:after="0"/>
        <w:tabs>
          <w:tab w:leader="none" w:pos="2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higher deductions for self-developed software costs; </w:t>
      </w:r>
      <w:r>
        <w:rPr>
          <w:rFonts w:ascii="Arial" w:cs="Arial" w:eastAsia="Arial" w:hAnsi="Arial"/>
          <w:sz w:val="14"/>
          <w:szCs w:val="14"/>
          <w:b w:val="1"/>
          <w:bCs w:val="1"/>
          <w:color w:val="auto"/>
        </w:rPr>
        <w:t>offset by</w:t>
      </w:r>
    </w:p>
    <w:p>
      <w:pPr>
        <w:spacing w:after="0" w:line="194" w:lineRule="exact"/>
        <w:rPr>
          <w:rFonts w:ascii="Arial" w:cs="Arial" w:eastAsia="Arial" w:hAnsi="Arial"/>
          <w:sz w:val="14"/>
          <w:szCs w:val="14"/>
          <w:color w:val="auto"/>
        </w:rPr>
      </w:pPr>
    </w:p>
    <w:p>
      <w:pPr>
        <w:ind w:left="260" w:hanging="147"/>
        <w:spacing w:after="0"/>
        <w:tabs>
          <w:tab w:leader="none" w:pos="2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an increase in the amount by which book depreciation exceeds normalized tax depreciation, which is not treated as a deferred tax asset for ratemaking purposes.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Tax Relief, Unemployment Insurance Reauthorization, and Job Creation Act of 2010</w:t>
      </w:r>
    </w:p>
    <w:p>
      <w:pPr>
        <w:spacing w:after="0" w:line="160" w:lineRule="exact"/>
        <w:rPr>
          <w:sz w:val="20"/>
          <w:szCs w:val="20"/>
          <w:color w:val="auto"/>
        </w:rPr>
      </w:pPr>
    </w:p>
    <w:p>
      <w:pPr>
        <w:ind w:right="320"/>
        <w:spacing w:after="0" w:line="256" w:lineRule="auto"/>
        <w:rPr>
          <w:sz w:val="20"/>
          <w:szCs w:val="20"/>
          <w:color w:val="auto"/>
        </w:rPr>
      </w:pPr>
      <w:r>
        <w:rPr>
          <w:rFonts w:ascii="Arial" w:cs="Arial" w:eastAsia="Arial" w:hAnsi="Arial"/>
          <w:sz w:val="14"/>
          <w:szCs w:val="14"/>
          <w:color w:val="auto"/>
        </w:rPr>
        <w:t>In December 2010, the Tax Relief, Unemployment Insurance Reauthorization, and Job Creation Act of 2010 (2010 Tax Act) was signed into law. The 2010 Tax Act included the extension of bonus depreciation for U.S. federal income tax purposes for years 2010 through 2012 and an increase in the rate of bonus depreciation from 50 percent to 100 percent. This increased rate only applies to certain investments made after September 8, 2010 through December 31, 2012.</w:t>
      </w:r>
    </w:p>
    <w:p>
      <w:pPr>
        <w:spacing w:after="0" w:line="146" w:lineRule="exact"/>
        <w:rPr>
          <w:sz w:val="20"/>
          <w:szCs w:val="20"/>
          <w:color w:val="auto"/>
        </w:rPr>
      </w:pPr>
    </w:p>
    <w:p>
      <w:pPr>
        <w:ind w:right="100"/>
        <w:spacing w:after="0" w:line="256" w:lineRule="auto"/>
        <w:rPr>
          <w:sz w:val="20"/>
          <w:szCs w:val="20"/>
          <w:color w:val="auto"/>
        </w:rPr>
      </w:pPr>
      <w:r>
        <w:rPr>
          <w:rFonts w:ascii="Arial" w:cs="Arial" w:eastAsia="Arial" w:hAnsi="Arial"/>
          <w:sz w:val="14"/>
          <w:szCs w:val="14"/>
          <w:color w:val="auto"/>
        </w:rPr>
        <w:t>Additionally, the 2010 Tax Act extended for years 2010 and 2011 the U.S. federal income tax law known as the look-through rule. This rule allows, under certain situations, for certain non-operating activity (e.g., dividend income, royalty income, interest income, rental income, etc.) of a greater than 50-percent owned non-U.S. subsidiary, to not be taxed under U.S. federal income tax law. If this rule is not extended beyond 2011, Sempra Energy’s effective income tax rate could potentially increase in subsequent years.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We provide further discussion regarding the 2010 Tax Act in "Management's Discussion and Analysis of Financial Condition and Results of Operations" in the Annual Report.</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 Earnings, Net of Income Tax</w:t>
      </w:r>
    </w:p>
    <w:p>
      <w:pPr>
        <w:spacing w:after="0" w:line="160"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Equity earnings, net of income tax, consisting of earnings from Sempra Pipelines &amp; Storage’s equity method investments, were $31 million in the three months ended March 31, 2011 compared to $19 million for the corresponding period in 2010. The increase in 2011 was primarily due to:</w:t>
      </w:r>
    </w:p>
    <w:p>
      <w:pPr>
        <w:spacing w:after="0" w:line="138" w:lineRule="exact"/>
        <w:rPr>
          <w:sz w:val="20"/>
          <w:szCs w:val="20"/>
          <w:color w:val="auto"/>
        </w:rPr>
      </w:pPr>
    </w:p>
    <w:p>
      <w:pPr>
        <w:ind w:left="260" w:hanging="147"/>
        <w:spacing w:after="0"/>
        <w:tabs>
          <w:tab w:leader="none" w:pos="2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$7 million in earnings related to the joint-venture interest acquired from El Paso Corporation in April 2010; and</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$5 million higher earnings from investments in Chile and Peru.</w:t>
      </w: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(Earnings) Losses Attributable to Noncontrolling Interests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Sempra Energy Consolidated and SDG&amp;E</w:t>
      </w:r>
    </w:p>
    <w:p>
      <w:pPr>
        <w:spacing w:after="0" w:line="160" w:lineRule="exact"/>
        <w:rPr>
          <w:sz w:val="20"/>
          <w:szCs w:val="20"/>
          <w:color w:val="auto"/>
        </w:rPr>
      </w:pPr>
    </w:p>
    <w:p>
      <w:pPr>
        <w:ind w:right="300"/>
        <w:spacing w:after="0" w:line="267" w:lineRule="auto"/>
        <w:rPr>
          <w:sz w:val="20"/>
          <w:szCs w:val="20"/>
          <w:color w:val="auto"/>
        </w:rPr>
      </w:pPr>
      <w:r>
        <w:rPr>
          <w:rFonts w:ascii="Arial" w:cs="Arial" w:eastAsia="Arial" w:hAnsi="Arial"/>
          <w:sz w:val="14"/>
          <w:szCs w:val="14"/>
          <w:color w:val="auto"/>
        </w:rPr>
        <w:t>Earnings attributable to noncontrolling interests, all related to Otay Mesa VIE, were $4 million in the first quarter of 2011 compared to losses of $8 million in the first quarter of 2010, primarily due to $9 million of losses on interest rate instruments in 2010.</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Earnings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We discuss variations in Sempra Energy's earnings (losses) by business unit above in "Business Unit Results."</w:t>
      </w:r>
    </w:p>
    <w:p>
      <w:pPr>
        <w:sectPr>
          <w:pgSz w:w="11900" w:h="16838" w:orient="portrait"/>
          <w:cols w:equalWidth="0" w:num="1">
            <w:col w:w="11460"/>
          </w:cols>
          <w:pgMar w:left="220" w:top="129" w:right="219" w:bottom="1440" w:gutter="0" w:footer="0" w:header="0"/>
        </w:sectPr>
      </w:pPr>
    </w:p>
    <w:bookmarkStart w:id="50" w:name="page51"/>
    <w:bookmarkEnd w:id="50"/>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141605</wp:posOffset>
            </wp:positionH>
            <wp:positionV relativeFrom="page">
              <wp:posOffset>436880</wp:posOffset>
            </wp:positionV>
            <wp:extent cx="729170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1705" cy="6350"/>
                    </a:xfrm>
                    <a:prstGeom prst="rect">
                      <a:avLst/>
                    </a:prstGeom>
                    <a:noFill/>
                  </pic:spPr>
                </pic:pic>
              </a:graphicData>
            </a:graphic>
          </wp:anchor>
        </w:drawing>
        <w:t>CAPITAL RESOURCES AND LIQUIDITY</w:t>
      </w:r>
    </w:p>
    <w:p>
      <w:pPr>
        <w:spacing w:after="0" w:line="150" w:lineRule="exact"/>
        <w:rPr>
          <w:sz w:val="20"/>
          <w:szCs w:val="20"/>
          <w:color w:val="auto"/>
        </w:rPr>
      </w:pPr>
    </w:p>
    <w:p>
      <w:pPr>
        <w:spacing w:after="0" w:line="306" w:lineRule="auto"/>
        <w:rPr>
          <w:sz w:val="20"/>
          <w:szCs w:val="20"/>
          <w:color w:val="auto"/>
        </w:rPr>
      </w:pPr>
      <w:r>
        <w:rPr>
          <w:rFonts w:ascii="Arial" w:cs="Arial" w:eastAsia="Arial" w:hAnsi="Arial"/>
          <w:sz w:val="13"/>
          <w:szCs w:val="13"/>
          <w:color w:val="auto"/>
        </w:rPr>
        <w:t>We expect our cash flows from operations to fund a substantial portion of our capital expenditures and dividends. In addition, we may meet our cash requirements through the issuance of short-term and long-term debt and the expected distributions from RBS Sempra Commodities related to proceeds from the transactions to sell certain businesses within the joint venture, as we discuss below.</w:t>
      </w:r>
    </w:p>
    <w:p>
      <w:pPr>
        <w:spacing w:after="0" w:line="115" w:lineRule="exact"/>
        <w:rPr>
          <w:sz w:val="20"/>
          <w:szCs w:val="20"/>
          <w:color w:val="auto"/>
        </w:rPr>
      </w:pPr>
    </w:p>
    <w:p>
      <w:pPr>
        <w:jc w:val="both"/>
        <w:ind w:right="120"/>
        <w:spacing w:after="0" w:line="256" w:lineRule="auto"/>
        <w:rPr>
          <w:sz w:val="20"/>
          <w:szCs w:val="20"/>
          <w:color w:val="auto"/>
        </w:rPr>
      </w:pPr>
      <w:r>
        <w:rPr>
          <w:rFonts w:ascii="Arial" w:cs="Arial" w:eastAsia="Arial" w:hAnsi="Arial"/>
          <w:sz w:val="14"/>
          <w:szCs w:val="14"/>
          <w:color w:val="auto"/>
        </w:rPr>
        <w:t>Our committed lines of credit provide liquidity and support commercial paper. As we discuss in Note 6 of the Notes to Condensed Consolidated Financial Statements herein, Sempra Energy, Sempra Global and the Sempra Utilities each have four-year revolving credit facilities, expiring in 2014. At Sempra Energy and Sempra Global, the agreements are syndicated broadly among 23 different lenders and at the Sempra Utilities, among 22 different lenders. No single lender has greater than a 7-percent share in any facility.</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shows the amount of available funds at March 31, 2011:</w:t>
      </w:r>
    </w:p>
    <w:p>
      <w:pPr>
        <w:spacing w:after="0" w:line="3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AVAILABLE FUNDS AT 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(Dollars in millions)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3200" w:type="dxa"/>
            <w:vAlign w:val="bottom"/>
          </w:tcPr>
          <w:p>
            <w:pPr>
              <w:jc w:val="center"/>
              <w:ind w:left="2143"/>
              <w:spacing w:after="0"/>
              <w:rPr>
                <w:sz w:val="20"/>
                <w:szCs w:val="20"/>
                <w:color w:val="auto"/>
              </w:rPr>
            </w:pPr>
            <w:r>
              <w:rPr>
                <w:rFonts w:ascii="Arial" w:cs="Arial" w:eastAsia="Arial" w:hAnsi="Arial"/>
                <w:sz w:val="11"/>
                <w:szCs w:val="11"/>
                <w:color w:val="auto"/>
                <w:w w:val="99"/>
              </w:rPr>
              <w:t>Sempra Energy</w:t>
            </w: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24"/>
        </w:trPr>
        <w:tc>
          <w:tcPr>
            <w:tcW w:w="20" w:type="dxa"/>
            <w:vAlign w:val="bottom"/>
          </w:tcPr>
          <w:p>
            <w:pPr>
              <w:spacing w:after="0"/>
              <w:rPr>
                <w:sz w:val="10"/>
                <w:szCs w:val="10"/>
                <w:color w:val="auto"/>
              </w:rPr>
            </w:pPr>
          </w:p>
        </w:tc>
        <w:tc>
          <w:tcPr>
            <w:tcW w:w="390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jc w:val="center"/>
              <w:ind w:left="2143"/>
              <w:spacing w:after="0" w:line="123" w:lineRule="exact"/>
              <w:rPr>
                <w:sz w:val="20"/>
                <w:szCs w:val="20"/>
                <w:color w:val="auto"/>
              </w:rPr>
            </w:pPr>
            <w:r>
              <w:rPr>
                <w:rFonts w:ascii="Arial" w:cs="Arial" w:eastAsia="Arial" w:hAnsi="Arial"/>
                <w:sz w:val="11"/>
                <w:szCs w:val="11"/>
                <w:color w:val="auto"/>
                <w:w w:val="99"/>
              </w:rPr>
              <w:t>Consolidated</w:t>
            </w:r>
          </w:p>
        </w:tc>
        <w:tc>
          <w:tcPr>
            <w:tcW w:w="4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jc w:val="right"/>
              <w:ind w:right="700"/>
              <w:spacing w:after="0" w:line="123" w:lineRule="exact"/>
              <w:rPr>
                <w:sz w:val="20"/>
                <w:szCs w:val="20"/>
                <w:color w:val="auto"/>
              </w:rPr>
            </w:pPr>
            <w:r>
              <w:rPr>
                <w:rFonts w:ascii="Arial" w:cs="Arial" w:eastAsia="Arial" w:hAnsi="Arial"/>
                <w:sz w:val="11"/>
                <w:szCs w:val="11"/>
                <w:color w:val="auto"/>
              </w:rPr>
              <w:t>SDG&amp;E</w:t>
            </w:r>
          </w:p>
        </w:tc>
        <w:tc>
          <w:tcPr>
            <w:tcW w:w="3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jc w:val="right"/>
              <w:ind w:right="560"/>
              <w:spacing w:after="0" w:line="123" w:lineRule="exact"/>
              <w:rPr>
                <w:sz w:val="20"/>
                <w:szCs w:val="20"/>
                <w:color w:val="auto"/>
              </w:rPr>
            </w:pPr>
            <w:r>
              <w:rPr>
                <w:rFonts w:ascii="Arial" w:cs="Arial" w:eastAsia="Arial" w:hAnsi="Arial"/>
                <w:sz w:val="11"/>
                <w:szCs w:val="11"/>
                <w:color w:val="auto"/>
              </w:rPr>
              <w:t>PE/SoCalGas</w:t>
            </w:r>
          </w:p>
        </w:tc>
      </w:tr>
      <w:tr>
        <w:trPr>
          <w:trHeight w:val="125"/>
        </w:trPr>
        <w:tc>
          <w:tcPr>
            <w:tcW w:w="20" w:type="dxa"/>
            <w:vAlign w:val="bottom"/>
          </w:tcPr>
          <w:p>
            <w:pPr>
              <w:spacing w:after="0"/>
              <w:rPr>
                <w:sz w:val="10"/>
                <w:szCs w:val="10"/>
                <w:color w:val="auto"/>
              </w:rPr>
            </w:pPr>
          </w:p>
        </w:tc>
        <w:tc>
          <w:tcPr>
            <w:tcW w:w="3900" w:type="dxa"/>
            <w:vAlign w:val="bottom"/>
          </w:tcPr>
          <w:p>
            <w:pPr>
              <w:spacing w:after="0" w:line="126" w:lineRule="exact"/>
              <w:rPr>
                <w:sz w:val="20"/>
                <w:szCs w:val="20"/>
                <w:color w:val="auto"/>
              </w:rPr>
            </w:pPr>
            <w:r>
              <w:rPr>
                <w:rFonts w:ascii="Arial" w:cs="Arial" w:eastAsia="Arial" w:hAnsi="Arial"/>
                <w:sz w:val="12"/>
                <w:szCs w:val="12"/>
                <w:color w:val="auto"/>
              </w:rPr>
              <w:t>Unrestricted cash and cash equivalents</w:t>
            </w:r>
          </w:p>
        </w:tc>
        <w:tc>
          <w:tcPr>
            <w:tcW w:w="3200" w:type="dxa"/>
            <w:vAlign w:val="bottom"/>
          </w:tcPr>
          <w:p>
            <w:pPr>
              <w:jc w:val="right"/>
              <w:ind w:right="1343"/>
              <w:spacing w:after="0" w:line="126" w:lineRule="exact"/>
              <w:rPr>
                <w:sz w:val="20"/>
                <w:szCs w:val="20"/>
                <w:color w:val="auto"/>
              </w:rPr>
            </w:pPr>
            <w:r>
              <w:rPr>
                <w:rFonts w:ascii="Arial" w:cs="Arial" w:eastAsia="Arial" w:hAnsi="Arial"/>
                <w:sz w:val="12"/>
                <w:szCs w:val="12"/>
                <w:color w:val="auto"/>
              </w:rPr>
              <w:t>$</w:t>
            </w:r>
          </w:p>
        </w:tc>
        <w:tc>
          <w:tcPr>
            <w:tcW w:w="440" w:type="dxa"/>
            <w:vAlign w:val="bottom"/>
          </w:tcPr>
          <w:p>
            <w:pPr>
              <w:jc w:val="right"/>
              <w:spacing w:after="0" w:line="126" w:lineRule="exact"/>
              <w:rPr>
                <w:sz w:val="20"/>
                <w:szCs w:val="20"/>
                <w:color w:val="auto"/>
              </w:rPr>
            </w:pPr>
            <w:r>
              <w:rPr>
                <w:rFonts w:ascii="Arial" w:cs="Arial" w:eastAsia="Arial" w:hAnsi="Arial"/>
                <w:sz w:val="12"/>
                <w:szCs w:val="12"/>
                <w:color w:val="auto"/>
              </w:rPr>
              <w:t>1,219</w:t>
            </w:r>
          </w:p>
        </w:tc>
        <w:tc>
          <w:tcPr>
            <w:tcW w:w="440" w:type="dxa"/>
            <w:vAlign w:val="bottom"/>
          </w:tcPr>
          <w:p>
            <w:pPr>
              <w:jc w:val="right"/>
              <w:ind w:right="298"/>
              <w:spacing w:after="0" w:line="126" w:lineRule="exact"/>
              <w:rPr>
                <w:sz w:val="20"/>
                <w:szCs w:val="20"/>
                <w:color w:val="auto"/>
              </w:rPr>
            </w:pPr>
            <w:r>
              <w:rPr>
                <w:rFonts w:ascii="Arial" w:cs="Arial" w:eastAsia="Arial" w:hAnsi="Arial"/>
                <w:sz w:val="12"/>
                <w:szCs w:val="12"/>
                <w:color w:val="auto"/>
                <w:w w:val="89"/>
              </w:rPr>
              <w:t>$</w:t>
            </w:r>
          </w:p>
        </w:tc>
        <w:tc>
          <w:tcPr>
            <w:tcW w:w="1500" w:type="dxa"/>
            <w:vAlign w:val="bottom"/>
          </w:tcPr>
          <w:p>
            <w:pPr>
              <w:jc w:val="right"/>
              <w:spacing w:after="0" w:line="126" w:lineRule="exact"/>
              <w:rPr>
                <w:sz w:val="20"/>
                <w:szCs w:val="20"/>
                <w:color w:val="auto"/>
              </w:rPr>
            </w:pPr>
            <w:r>
              <w:rPr>
                <w:rFonts w:ascii="Arial" w:cs="Arial" w:eastAsia="Arial" w:hAnsi="Arial"/>
                <w:sz w:val="12"/>
                <w:szCs w:val="12"/>
                <w:color w:val="auto"/>
              </w:rPr>
              <w:t>272</w:t>
            </w:r>
          </w:p>
        </w:tc>
        <w:tc>
          <w:tcPr>
            <w:tcW w:w="380" w:type="dxa"/>
            <w:vAlign w:val="bottom"/>
          </w:tcPr>
          <w:p>
            <w:pPr>
              <w:jc w:val="right"/>
              <w:ind w:right="218"/>
              <w:spacing w:after="0" w:line="126" w:lineRule="exact"/>
              <w:rPr>
                <w:sz w:val="20"/>
                <w:szCs w:val="20"/>
                <w:color w:val="auto"/>
              </w:rPr>
            </w:pPr>
            <w:r>
              <w:rPr>
                <w:rFonts w:ascii="Arial" w:cs="Arial" w:eastAsia="Arial" w:hAnsi="Arial"/>
                <w:sz w:val="12"/>
                <w:szCs w:val="12"/>
                <w:color w:val="auto"/>
              </w:rPr>
              <w:t>$</w:t>
            </w:r>
          </w:p>
        </w:tc>
        <w:tc>
          <w:tcPr>
            <w:tcW w:w="1580" w:type="dxa"/>
            <w:vAlign w:val="bottom"/>
          </w:tcPr>
          <w:p>
            <w:pPr>
              <w:jc w:val="right"/>
              <w:spacing w:after="0" w:line="126" w:lineRule="exact"/>
              <w:rPr>
                <w:sz w:val="20"/>
                <w:szCs w:val="20"/>
                <w:color w:val="auto"/>
              </w:rPr>
            </w:pPr>
            <w:r>
              <w:rPr>
                <w:rFonts w:ascii="Arial" w:cs="Arial" w:eastAsia="Arial" w:hAnsi="Arial"/>
                <w:sz w:val="12"/>
                <w:szCs w:val="12"/>
                <w:color w:val="auto"/>
              </w:rPr>
              <w:t>33</w:t>
            </w:r>
          </w:p>
        </w:tc>
      </w:tr>
      <w:tr>
        <w:trPr>
          <w:trHeight w:val="148"/>
        </w:trPr>
        <w:tc>
          <w:tcPr>
            <w:tcW w:w="3920" w:type="dxa"/>
            <w:vAlign w:val="bottom"/>
            <w:gridSpan w:val="2"/>
          </w:tcPr>
          <w:p>
            <w:pPr>
              <w:spacing w:after="0"/>
              <w:rPr>
                <w:sz w:val="20"/>
                <w:szCs w:val="20"/>
                <w:color w:val="auto"/>
              </w:rPr>
            </w:pPr>
            <w:r>
              <w:rPr>
                <w:rFonts w:ascii="Arial" w:cs="Arial" w:eastAsia="Arial" w:hAnsi="Arial"/>
                <w:sz w:val="12"/>
                <w:szCs w:val="12"/>
                <w:color w:val="auto"/>
              </w:rPr>
              <w:t>Available unused credit(1)</w:t>
            </w:r>
          </w:p>
        </w:tc>
        <w:tc>
          <w:tcPr>
            <w:tcW w:w="3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2,771</w:t>
            </w:r>
          </w:p>
        </w:tc>
        <w:tc>
          <w:tcPr>
            <w:tcW w:w="44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363</w:t>
            </w:r>
          </w:p>
        </w:tc>
        <w:tc>
          <w:tcPr>
            <w:tcW w:w="38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563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279005" cy="133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ind w:left="640" w:right="140" w:hanging="384"/>
        <w:spacing w:after="0" w:line="268" w:lineRule="auto"/>
        <w:tabs>
          <w:tab w:leader="none" w:pos="640" w:val="left"/>
        </w:tabs>
        <w:numPr>
          <w:ilvl w:val="0"/>
          <w:numId w:val="46"/>
        </w:numPr>
        <w:rPr>
          <w:rFonts w:ascii="Arial" w:cs="Arial" w:eastAsia="Arial" w:hAnsi="Arial"/>
          <w:sz w:val="11"/>
          <w:szCs w:val="11"/>
          <w:i w:val="1"/>
          <w:iCs w:val="1"/>
          <w:color w:val="auto"/>
        </w:rPr>
      </w:pPr>
      <w:r>
        <w:rPr>
          <w:rFonts w:ascii="Arial" w:cs="Arial" w:eastAsia="Arial" w:hAnsi="Arial"/>
          <w:sz w:val="11"/>
          <w:szCs w:val="11"/>
          <w:i w:val="1"/>
          <w:iCs w:val="1"/>
          <w:color w:val="auto"/>
        </w:rPr>
        <w:t>Borrowings on the shared line of credit at SDG&amp;E and SoCalGas are limited to $600 million for each utility and $800 million in total. SDG&amp;E's available funds reflect variable-rate demand notes outstanding of $237 million supported by the line. SoCalGas' availability reflects the impact of SDG&amp;E's use of the combined credit available on the line.</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Energy Consolidated</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We believe that these available funds and cash flows from operations, distributions from equity method investments and security issuances, combined with current cash balances, will be adequate to:</w:t>
      </w:r>
    </w:p>
    <w:p>
      <w:pPr>
        <w:spacing w:after="0" w:line="181" w:lineRule="exact"/>
        <w:rPr>
          <w:sz w:val="20"/>
          <w:szCs w:val="20"/>
          <w:color w:val="auto"/>
        </w:rPr>
      </w:pPr>
    </w:p>
    <w:p>
      <w:pPr>
        <w:ind w:left="260" w:hanging="147"/>
        <w:spacing w:after="0"/>
        <w:tabs>
          <w:tab w:leader="none" w:pos="2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finance capital expenditures</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meet liquidity requirements</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fund shareholder dividends</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fund new business acquisitions or start-ups</w:t>
      </w:r>
    </w:p>
    <w:p>
      <w:pPr>
        <w:spacing w:after="0" w:line="190" w:lineRule="exact"/>
        <w:rPr>
          <w:sz w:val="20"/>
          <w:szCs w:val="20"/>
          <w:color w:val="auto"/>
        </w:rPr>
      </w:pPr>
    </w:p>
    <w:p>
      <w:pPr>
        <w:ind w:right="60"/>
        <w:spacing w:after="0" w:line="332" w:lineRule="auto"/>
        <w:rPr>
          <w:sz w:val="20"/>
          <w:szCs w:val="20"/>
          <w:color w:val="auto"/>
        </w:rPr>
      </w:pPr>
      <w:r>
        <w:rPr>
          <w:rFonts w:ascii="Arial" w:cs="Arial" w:eastAsia="Arial" w:hAnsi="Arial"/>
          <w:sz w:val="11"/>
          <w:szCs w:val="11"/>
          <w:color w:val="auto"/>
        </w:rPr>
        <w:t>In March 2011, Sempra Energy publicly offered and sold $500 million of 2-percent notes and $300 million of floating rate notes, both maturing in 2014. SDG&amp;E and SoCalGas issued long-term debt in 2010 in the aggregate principal amounts of $750 million and $300 million, respectively. Changing economic conditions could affect the availability and cost of both short-term and long-term financing. If cash flows from operations were to be significantly reduced or we were to be unable to borrow under acceptable terms, we would reduce or postpone discretionary capital expenditures and investments in new businesses. If these measures were necessary, they would primarily impact our Sempra Global businesses, as credit availability for the Sempra Utilities has not been significantly impacted by the credit crisis. Discretionary expenditures at Sempra Global include projects that we have not yet made firm commitments to build, primarily renewable generation facilities. We continuously monitor our ability to finance the needs of our operating, investing and financing activities in a manner consistent with our intention to maintain strong, investment-grade credit ratings and capital structure.</w:t>
      </w:r>
    </w:p>
    <w:p>
      <w:pPr>
        <w:spacing w:after="0" w:line="108" w:lineRule="exact"/>
        <w:rPr>
          <w:sz w:val="20"/>
          <w:szCs w:val="20"/>
          <w:color w:val="auto"/>
        </w:rPr>
      </w:pPr>
    </w:p>
    <w:p>
      <w:pPr>
        <w:ind w:right="60"/>
        <w:spacing w:after="0" w:line="238" w:lineRule="auto"/>
        <w:rPr>
          <w:sz w:val="20"/>
          <w:szCs w:val="20"/>
          <w:color w:val="auto"/>
        </w:rPr>
      </w:pPr>
      <w:r>
        <w:rPr>
          <w:rFonts w:ascii="Arial" w:cs="Arial" w:eastAsia="Arial" w:hAnsi="Arial"/>
          <w:sz w:val="14"/>
          <w:szCs w:val="14"/>
          <w:color w:val="auto"/>
        </w:rPr>
        <w:t>In three separate transactions during 2010 and one in early 2011, we and RBS sold substantially all of the businesses and assets of our joint-venture partnership that comprised our commodities-marketing businesses. As we conclude the transactions to divest the businesses, we expect to recover our remaining $779 million investment in the partnership throughout 2011, including $329 million received in April 2011. We are providing transitional back-up guarantees, some of which may continue for a prolonged period of time. RBS or JP Morgan, one of the buyers in the sales transactions, have fully indemnified us for any claims or losses in connection with the related transactions.</w:t>
      </w:r>
    </w:p>
    <w:p>
      <w:pPr>
        <w:spacing w:after="0" w:line="137" w:lineRule="exact"/>
        <w:rPr>
          <w:sz w:val="20"/>
          <w:szCs w:val="20"/>
          <w:color w:val="auto"/>
        </w:rPr>
      </w:pPr>
    </w:p>
    <w:p>
      <w:pPr>
        <w:ind w:right="260"/>
        <w:spacing w:after="0" w:line="251" w:lineRule="auto"/>
        <w:rPr>
          <w:sz w:val="20"/>
          <w:szCs w:val="20"/>
          <w:color w:val="auto"/>
        </w:rPr>
      </w:pPr>
      <w:r>
        <w:rPr>
          <w:rFonts w:ascii="Arial" w:cs="Arial" w:eastAsia="Arial" w:hAnsi="Arial"/>
          <w:sz w:val="14"/>
          <w:szCs w:val="14"/>
          <w:color w:val="auto"/>
        </w:rPr>
        <w:t>We provide additional information about RBS Sempra Commodities and the sales transactions and guarantees in Notes 4 and 6 of the Notes to Condensed Consolidated Financial Statements herein and in Notes 3, 4, 5 and 16 of the Notes to Consolidated Financial Statements in the Annual Report.</w:t>
      </w:r>
    </w:p>
    <w:p>
      <w:pPr>
        <w:spacing w:after="0" w:line="128"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We have significant investments in several trusts to provide for future payments of pensions and other postretirement benefits, and nuclear decommissioning. The value of the trust funds’ investments declined in 2008 and the first quarter of 2009 due to a decrease in the equity market and volatility in the fixed income market. Values increased from favorable market activity later in 2009 and in 2010. However, these markets continue to be volatile. The changes in asset values have not affected the trust funds’ abilities to make required payments, but may impact funding requirements for pension and other postretirement benefit plans. At the Sempra Utilities, funding requirements are generally recoverable in rates.</w:t>
      </w:r>
    </w:p>
    <w:p>
      <w:pPr>
        <w:spacing w:after="0" w:line="148" w:lineRule="exact"/>
        <w:rPr>
          <w:sz w:val="20"/>
          <w:szCs w:val="20"/>
          <w:color w:val="auto"/>
        </w:rPr>
      </w:pPr>
    </w:p>
    <w:p>
      <w:pPr>
        <w:ind w:right="180"/>
        <w:spacing w:after="0" w:line="267" w:lineRule="auto"/>
        <w:rPr>
          <w:sz w:val="20"/>
          <w:szCs w:val="20"/>
          <w:color w:val="auto"/>
        </w:rPr>
      </w:pPr>
      <w:r>
        <w:rPr>
          <w:rFonts w:ascii="Arial" w:cs="Arial" w:eastAsia="Arial" w:hAnsi="Arial"/>
          <w:sz w:val="14"/>
          <w:szCs w:val="14"/>
          <w:color w:val="auto"/>
        </w:rPr>
        <w:t>We discuss our principal credit agreements more fully in Note 6 of the Notes to Condensed Consolidated Financial Statements herein and in Note 5 of the Notes to Consolidated Financial Statements in the Annual Report.</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Utilities</w:t>
      </w:r>
    </w:p>
    <w:p>
      <w:pPr>
        <w:spacing w:after="0" w:line="160" w:lineRule="exact"/>
        <w:rPr>
          <w:sz w:val="20"/>
          <w:szCs w:val="20"/>
          <w:color w:val="auto"/>
        </w:rPr>
      </w:pPr>
    </w:p>
    <w:p>
      <w:pPr>
        <w:ind w:right="220"/>
        <w:spacing w:after="0" w:line="306" w:lineRule="auto"/>
        <w:rPr>
          <w:sz w:val="20"/>
          <w:szCs w:val="20"/>
          <w:color w:val="auto"/>
        </w:rPr>
      </w:pPr>
      <w:r>
        <w:rPr>
          <w:rFonts w:ascii="Arial" w:cs="Arial" w:eastAsia="Arial" w:hAnsi="Arial"/>
          <w:sz w:val="13"/>
          <w:szCs w:val="13"/>
          <w:color w:val="auto"/>
        </w:rPr>
        <w:t>SoCalGas expects that cash flows from operations and debt issuances will continue to be adequate to meet its capital expenditure requirements. In March 2011, Sempra Energy made a $200 million capital contribution to SDG&amp;E, and SDG&amp;E expects its cash flows from operations and debt issuances will be adequate to meet its future capital expenditure requirements.</w:t>
      </w:r>
    </w:p>
    <w:p>
      <w:pPr>
        <w:spacing w:after="0" w:line="115"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SoCalGas declared and paid a $50 million common dividend to PE in 2011 and a $100 million common dividend in 2010. PE paid corresponding dividends to Sempra Energy in both years. In 2009, SDG&amp;E declared and paid a $150 million common dividend to Sempra Energy.</w:t>
      </w:r>
    </w:p>
    <w:p>
      <w:pPr>
        <w:spacing w:after="0" w:line="138"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However, the level of future common dividends from SDG&amp;E and SoCalGas may be reduced or eliminated during periods of increased capital expenditures. The level of future common dividends from PE is dependent upon common dividends paid by SoCalGas. Sempra Energy may from time to time make additional equity contributions to SDG&amp;E and SoCalGas to support the Sempra Utilities’ capital expenditure programs.</w:t>
      </w: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Generation</w:t>
      </w:r>
    </w:p>
    <w:p>
      <w:pPr>
        <w:spacing w:after="0" w:line="160" w:lineRule="exact"/>
        <w:rPr>
          <w:sz w:val="20"/>
          <w:szCs w:val="20"/>
          <w:color w:val="auto"/>
        </w:rPr>
      </w:pPr>
    </w:p>
    <w:p>
      <w:pPr>
        <w:ind w:right="100"/>
        <w:spacing w:after="0" w:line="238" w:lineRule="auto"/>
        <w:rPr>
          <w:sz w:val="20"/>
          <w:szCs w:val="20"/>
          <w:color w:val="auto"/>
        </w:rPr>
      </w:pPr>
      <w:r>
        <w:rPr>
          <w:rFonts w:ascii="Arial" w:cs="Arial" w:eastAsia="Arial" w:hAnsi="Arial"/>
          <w:sz w:val="14"/>
          <w:szCs w:val="14"/>
          <w:color w:val="auto"/>
        </w:rPr>
        <w:t>We expect Sempra Generation to require funds for the development of electric generation facilities, primarily renewable energy projects. Projects at Sempra Generation may be financed through a combination of operating cash flow, project financing, funds from the parent, external borrowings, partnering in joint ventures and the sale of its El Dorado natural gas power plant to SDG&amp;E on October 1, 2011. Cash flows from operations at Sempra Generation are expected to decrease upon the expiration of its contract with the DWR in September 2011, due to less favorable pricing on replacement contracts, and the sale of El Dorado. Also, Sempra Generation may not be able to replace all of the lost revenue.</w:t>
      </w:r>
    </w:p>
    <w:p>
      <w:pPr>
        <w:spacing w:after="0" w:line="137" w:lineRule="exact"/>
        <w:rPr>
          <w:sz w:val="20"/>
          <w:szCs w:val="20"/>
          <w:color w:val="auto"/>
        </w:rPr>
      </w:pPr>
    </w:p>
    <w:p>
      <w:pPr>
        <w:jc w:val="both"/>
        <w:ind w:right="260"/>
        <w:spacing w:after="0" w:line="238" w:lineRule="auto"/>
        <w:rPr>
          <w:sz w:val="20"/>
          <w:szCs w:val="20"/>
          <w:color w:val="auto"/>
        </w:rPr>
      </w:pPr>
      <w:r>
        <w:rPr>
          <w:rFonts w:ascii="Arial" w:cs="Arial" w:eastAsia="Arial" w:hAnsi="Arial"/>
          <w:sz w:val="14"/>
          <w:szCs w:val="14"/>
          <w:color w:val="auto"/>
        </w:rPr>
        <w:t>Some of Sempra Generation's long-term power sale contracts contain collateral requirements, although the DWR contracts do not contain such requirements. The collateral arrangements require Sempra Generation and/or the counterparty to post cash, guarantees or letters of credit to the other party for exposure in excess of established thresholds. Sempra Generation may be required to provide collateral when market price movements adversely affect the counterparty's cost of replacement energy supplies if Sempra Generation fails to deliver the contracted amounts. Sempra Generation had no outstanding collateral requirements under such contracts at March 31, 2011.</w:t>
      </w: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Pipelines &amp; Storage</w:t>
      </w:r>
    </w:p>
    <w:p>
      <w:pPr>
        <w:spacing w:after="0" w:line="160" w:lineRule="exact"/>
        <w:rPr>
          <w:sz w:val="20"/>
          <w:szCs w:val="20"/>
          <w:color w:val="auto"/>
        </w:rPr>
      </w:pPr>
    </w:p>
    <w:p>
      <w:pPr>
        <w:spacing w:after="0"/>
        <w:rPr>
          <w:sz w:val="20"/>
          <w:szCs w:val="20"/>
          <w:color w:val="auto"/>
        </w:rPr>
      </w:pPr>
      <w:r>
        <w:rPr>
          <w:rFonts w:ascii="Arial" w:cs="Arial" w:eastAsia="Arial" w:hAnsi="Arial"/>
          <w:sz w:val="11"/>
          <w:szCs w:val="11"/>
          <w:color w:val="auto"/>
        </w:rPr>
        <w:t>Sempra Pipelines &amp; Storage is expected to require funding from the parent or from external sources to fund projects and investments, including development and expansion of its natural gas storage projects.</w:t>
      </w:r>
    </w:p>
    <w:p>
      <w:pPr>
        <w:spacing w:after="0" w:line="184" w:lineRule="exact"/>
        <w:rPr>
          <w:sz w:val="20"/>
          <w:szCs w:val="20"/>
          <w:color w:val="auto"/>
        </w:rPr>
      </w:pPr>
    </w:p>
    <w:p>
      <w:pPr>
        <w:ind w:right="160"/>
        <w:spacing w:after="0" w:line="251" w:lineRule="auto"/>
        <w:rPr>
          <w:sz w:val="20"/>
          <w:szCs w:val="20"/>
          <w:color w:val="auto"/>
        </w:rPr>
      </w:pPr>
      <w:r>
        <w:rPr>
          <w:rFonts w:ascii="Arial" w:cs="Arial" w:eastAsia="Arial" w:hAnsi="Arial"/>
          <w:sz w:val="14"/>
          <w:szCs w:val="14"/>
          <w:color w:val="auto"/>
        </w:rPr>
        <w:t>In April 2011, Sempra Pipelines &amp; Storage acquired AEI’s interests in Chilquinta Energía S.A. (Chilquinta Energía) and Luz del Sur S.A. (Luz del Sur) for $875 million plus working capital adjustments of $13 million. This transaction was funded with excess funds from foreign operations, proceeds from divestitures and short-term debt.</w:t>
      </w:r>
    </w:p>
    <w:p>
      <w:pPr>
        <w:spacing w:after="0" w:line="128" w:lineRule="exact"/>
        <w:rPr>
          <w:sz w:val="20"/>
          <w:szCs w:val="20"/>
          <w:color w:val="auto"/>
        </w:rPr>
      </w:pPr>
    </w:p>
    <w:p>
      <w:pPr>
        <w:ind w:right="40"/>
        <w:spacing w:after="0" w:line="251" w:lineRule="auto"/>
        <w:rPr>
          <w:sz w:val="20"/>
          <w:szCs w:val="20"/>
          <w:color w:val="auto"/>
        </w:rPr>
      </w:pPr>
      <w:r>
        <w:rPr>
          <w:rFonts w:ascii="Arial" w:cs="Arial" w:eastAsia="Arial" w:hAnsi="Arial"/>
          <w:sz w:val="14"/>
          <w:szCs w:val="14"/>
          <w:color w:val="auto"/>
        </w:rPr>
        <w:t>We provide additional information about Sempra Pipelines &amp; Storage’s investments in Chilquinta Energía and Luz del Sur in Note 12 of the Notes to Condensed Consolidated Financial Statements herein and in Notes 4 and 19 of the Notes to Consolidated Financial Statements in the Annual Report.</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LNG</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We expect Sempra LNG to provide operating cash flow for further development within Sempra Global from the operations of its two LNG receipt terminals, Energía Costa Azul and Cameron.</w:t>
      </w:r>
    </w:p>
    <w:p>
      <w:pPr>
        <w:sectPr>
          <w:pgSz w:w="11900" w:h="16838" w:orient="portrait"/>
          <w:cols w:equalWidth="0" w:num="1">
            <w:col w:w="11460"/>
          </w:cols>
          <w:pgMar w:left="220" w:top="778" w:right="219" w:bottom="0" w:gutter="0" w:footer="0" w:header="0"/>
        </w:sectPr>
      </w:pPr>
    </w:p>
    <w:bookmarkStart w:id="51" w:name="page52"/>
    <w:bookmarkEnd w:id="51"/>
    <w:p>
      <w:pPr>
        <w:spacing w:after="0"/>
        <w:rPr>
          <w:sz w:val="20"/>
          <w:szCs w:val="20"/>
          <w:color w:val="auto"/>
        </w:rPr>
      </w:pPr>
      <w:r>
        <w:rPr>
          <w:rFonts w:ascii="Arial" w:cs="Arial" w:eastAsia="Arial" w:hAnsi="Arial"/>
          <w:sz w:val="15"/>
          <w:szCs w:val="15"/>
          <w:color w:val="auto"/>
        </w:rPr>
        <w:t>CASH FLOWS FROM OPERATING ACTIVITIES</w:t>
      </w: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400" w:type="dxa"/>
            <w:vAlign w:val="bottom"/>
            <w:gridSpan w:val="2"/>
          </w:tcPr>
          <w:p>
            <w:pPr>
              <w:spacing w:after="0"/>
              <w:rPr>
                <w:sz w:val="20"/>
                <w:szCs w:val="20"/>
                <w:color w:val="auto"/>
              </w:rPr>
            </w:pPr>
            <w:r>
              <w:rPr>
                <w:rFonts w:ascii="Arial" w:cs="Arial" w:eastAsia="Arial" w:hAnsi="Arial"/>
                <w:sz w:val="11"/>
                <w:szCs w:val="11"/>
                <w:i w:val="1"/>
                <w:iCs w:val="1"/>
                <w:color w:val="auto"/>
              </w:rPr>
              <w:t>(Dollars in millions)</w:t>
            </w:r>
          </w:p>
        </w:tc>
        <w:tc>
          <w:tcPr>
            <w:tcW w:w="2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21"/>
        </w:trPr>
        <w:tc>
          <w:tcPr>
            <w:tcW w:w="20" w:type="dxa"/>
            <w:vAlign w:val="bottom"/>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jc w:val="right"/>
              <w:ind w:right="161"/>
              <w:spacing w:after="0" w:line="121" w:lineRule="exact"/>
              <w:rPr>
                <w:sz w:val="20"/>
                <w:szCs w:val="20"/>
                <w:color w:val="auto"/>
              </w:rPr>
            </w:pPr>
            <w:r>
              <w:rPr>
                <w:rFonts w:ascii="Arial" w:cs="Arial" w:eastAsia="Arial" w:hAnsi="Arial"/>
                <w:sz w:val="11"/>
                <w:szCs w:val="11"/>
                <w:color w:val="auto"/>
              </w:rPr>
              <w:t>2011</w:t>
            </w:r>
          </w:p>
        </w:tc>
        <w:tc>
          <w:tcPr>
            <w:tcW w:w="4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jc w:val="right"/>
              <w:ind w:right="239"/>
              <w:spacing w:after="0" w:line="121" w:lineRule="exact"/>
              <w:rPr>
                <w:sz w:val="20"/>
                <w:szCs w:val="20"/>
                <w:color w:val="auto"/>
              </w:rPr>
            </w:pPr>
            <w:r>
              <w:rPr>
                <w:rFonts w:ascii="Arial" w:cs="Arial" w:eastAsia="Arial" w:hAnsi="Arial"/>
                <w:sz w:val="11"/>
                <w:szCs w:val="11"/>
                <w:color w:val="auto"/>
              </w:rPr>
              <w:t>2011 Change</w:t>
            </w:r>
          </w:p>
        </w:tc>
        <w:tc>
          <w:tcPr>
            <w:tcW w:w="6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619"/>
              <w:spacing w:after="0" w:line="121" w:lineRule="exact"/>
              <w:rPr>
                <w:sz w:val="20"/>
                <w:szCs w:val="20"/>
                <w:color w:val="auto"/>
              </w:rPr>
            </w:pPr>
            <w:r>
              <w:rPr>
                <w:rFonts w:ascii="Arial" w:cs="Arial" w:eastAsia="Arial" w:hAnsi="Arial"/>
                <w:sz w:val="11"/>
                <w:szCs w:val="11"/>
                <w:color w:val="auto"/>
              </w:rPr>
              <w:t>2010</w:t>
            </w:r>
          </w:p>
        </w:tc>
      </w:tr>
      <w:tr>
        <w:trPr>
          <w:trHeight w:val="125"/>
        </w:trPr>
        <w:tc>
          <w:tcPr>
            <w:tcW w:w="20" w:type="dxa"/>
            <w:vAlign w:val="bottom"/>
          </w:tcPr>
          <w:p>
            <w:pPr>
              <w:spacing w:after="0"/>
              <w:rPr>
                <w:sz w:val="10"/>
                <w:szCs w:val="10"/>
                <w:color w:val="auto"/>
              </w:rPr>
            </w:pPr>
          </w:p>
        </w:tc>
        <w:tc>
          <w:tcPr>
            <w:tcW w:w="3380" w:type="dxa"/>
            <w:vAlign w:val="bottom"/>
          </w:tcPr>
          <w:p>
            <w:pPr>
              <w:spacing w:after="0" w:line="126" w:lineRule="exact"/>
              <w:rPr>
                <w:sz w:val="20"/>
                <w:szCs w:val="20"/>
                <w:color w:val="auto"/>
              </w:rPr>
            </w:pPr>
            <w:r>
              <w:rPr>
                <w:rFonts w:ascii="Arial" w:cs="Arial" w:eastAsia="Arial" w:hAnsi="Arial"/>
                <w:sz w:val="12"/>
                <w:szCs w:val="12"/>
                <w:color w:val="auto"/>
              </w:rPr>
              <w:t>Sempra Energy Consolidated</w:t>
            </w:r>
          </w:p>
        </w:tc>
        <w:tc>
          <w:tcPr>
            <w:tcW w:w="2880" w:type="dxa"/>
            <w:vAlign w:val="bottom"/>
          </w:tcPr>
          <w:p>
            <w:pPr>
              <w:jc w:val="right"/>
              <w:ind w:right="981"/>
              <w:spacing w:after="0" w:line="126" w:lineRule="exact"/>
              <w:rPr>
                <w:sz w:val="20"/>
                <w:szCs w:val="20"/>
                <w:color w:val="auto"/>
              </w:rPr>
            </w:pPr>
            <w:r>
              <w:rPr>
                <w:rFonts w:ascii="Arial" w:cs="Arial" w:eastAsia="Arial" w:hAnsi="Arial"/>
                <w:sz w:val="12"/>
                <w:szCs w:val="12"/>
                <w:color w:val="auto"/>
              </w:rPr>
              <w:t>$</w:t>
            </w:r>
          </w:p>
        </w:tc>
        <w:tc>
          <w:tcPr>
            <w:tcW w:w="440" w:type="dxa"/>
            <w:vAlign w:val="bottom"/>
          </w:tcPr>
          <w:p>
            <w:pPr>
              <w:jc w:val="right"/>
              <w:spacing w:after="0" w:line="126" w:lineRule="exact"/>
              <w:rPr>
                <w:sz w:val="20"/>
                <w:szCs w:val="20"/>
                <w:color w:val="auto"/>
              </w:rPr>
            </w:pPr>
            <w:r>
              <w:rPr>
                <w:rFonts w:ascii="Arial" w:cs="Arial" w:eastAsia="Arial" w:hAnsi="Arial"/>
                <w:sz w:val="12"/>
                <w:szCs w:val="12"/>
                <w:color w:val="auto"/>
              </w:rPr>
              <w:t>805</w:t>
            </w:r>
          </w:p>
        </w:tc>
        <w:tc>
          <w:tcPr>
            <w:tcW w:w="660" w:type="dxa"/>
            <w:vAlign w:val="bottom"/>
          </w:tcPr>
          <w:p>
            <w:pPr>
              <w:jc w:val="right"/>
              <w:ind w:right="518"/>
              <w:spacing w:after="0" w:line="126" w:lineRule="exact"/>
              <w:rPr>
                <w:sz w:val="20"/>
                <w:szCs w:val="20"/>
                <w:color w:val="auto"/>
              </w:rPr>
            </w:pPr>
            <w:r>
              <w:rPr>
                <w:rFonts w:ascii="Arial" w:cs="Arial" w:eastAsia="Arial" w:hAnsi="Arial"/>
                <w:sz w:val="12"/>
                <w:szCs w:val="12"/>
                <w:color w:val="auto"/>
                <w:w w:val="89"/>
              </w:rPr>
              <w:t>$</w:t>
            </w:r>
          </w:p>
        </w:tc>
        <w:tc>
          <w:tcPr>
            <w:tcW w:w="1560" w:type="dxa"/>
            <w:vAlign w:val="bottom"/>
          </w:tcPr>
          <w:p>
            <w:pPr>
              <w:jc w:val="right"/>
              <w:ind w:right="579"/>
              <w:spacing w:after="0" w:line="126" w:lineRule="exact"/>
              <w:rPr>
                <w:sz w:val="20"/>
                <w:szCs w:val="20"/>
                <w:color w:val="auto"/>
              </w:rPr>
            </w:pPr>
            <w:r>
              <w:rPr>
                <w:rFonts w:ascii="Arial" w:cs="Arial" w:eastAsia="Arial" w:hAnsi="Arial"/>
                <w:sz w:val="12"/>
                <w:szCs w:val="12"/>
                <w:color w:val="auto"/>
              </w:rPr>
              <w:t>(83)</w:t>
            </w:r>
          </w:p>
        </w:tc>
        <w:tc>
          <w:tcPr>
            <w:tcW w:w="660" w:type="dxa"/>
            <w:vAlign w:val="bottom"/>
          </w:tcPr>
          <w:p>
            <w:pPr>
              <w:jc w:val="right"/>
              <w:ind w:right="98"/>
              <w:spacing w:after="0" w:line="126" w:lineRule="exact"/>
              <w:rPr>
                <w:sz w:val="20"/>
                <w:szCs w:val="20"/>
                <w:color w:val="auto"/>
              </w:rPr>
            </w:pPr>
            <w:r>
              <w:rPr>
                <w:rFonts w:ascii="Arial" w:cs="Arial" w:eastAsia="Arial" w:hAnsi="Arial"/>
                <w:sz w:val="12"/>
                <w:szCs w:val="12"/>
                <w:color w:val="auto"/>
              </w:rPr>
              <w:t>(9)</w:t>
            </w:r>
          </w:p>
        </w:tc>
        <w:tc>
          <w:tcPr>
            <w:tcW w:w="640" w:type="dxa"/>
            <w:vAlign w:val="bottom"/>
          </w:tcPr>
          <w:p>
            <w:pPr>
              <w:jc w:val="right"/>
              <w:ind w:right="238"/>
              <w:spacing w:after="0" w:line="126" w:lineRule="exact"/>
              <w:rPr>
                <w:sz w:val="20"/>
                <w:szCs w:val="20"/>
                <w:color w:val="auto"/>
              </w:rPr>
            </w:pPr>
            <w:r>
              <w:rPr>
                <w:rFonts w:ascii="Arial" w:cs="Arial" w:eastAsia="Arial" w:hAnsi="Arial"/>
                <w:sz w:val="12"/>
                <w:szCs w:val="12"/>
                <w:color w:val="auto"/>
              </w:rPr>
              <w:t>%$</w:t>
            </w:r>
          </w:p>
        </w:tc>
        <w:tc>
          <w:tcPr>
            <w:tcW w:w="1220" w:type="dxa"/>
            <w:vAlign w:val="bottom"/>
          </w:tcPr>
          <w:p>
            <w:pPr>
              <w:jc w:val="right"/>
              <w:spacing w:after="0" w:line="126" w:lineRule="exact"/>
              <w:rPr>
                <w:sz w:val="20"/>
                <w:szCs w:val="20"/>
                <w:color w:val="auto"/>
              </w:rPr>
            </w:pPr>
            <w:r>
              <w:rPr>
                <w:rFonts w:ascii="Arial" w:cs="Arial" w:eastAsia="Arial" w:hAnsi="Arial"/>
                <w:sz w:val="12"/>
                <w:szCs w:val="12"/>
                <w:color w:val="auto"/>
              </w:rPr>
              <w:t>888</w:t>
            </w:r>
          </w:p>
        </w:tc>
      </w:tr>
      <w:tr>
        <w:trPr>
          <w:trHeight w:val="134"/>
        </w:trPr>
        <w:tc>
          <w:tcPr>
            <w:tcW w:w="3400" w:type="dxa"/>
            <w:vAlign w:val="bottom"/>
            <w:gridSpan w:val="2"/>
          </w:tcPr>
          <w:p>
            <w:pPr>
              <w:spacing w:after="0" w:line="134" w:lineRule="exact"/>
              <w:rPr>
                <w:sz w:val="20"/>
                <w:szCs w:val="20"/>
                <w:color w:val="auto"/>
              </w:rPr>
            </w:pPr>
            <w:r>
              <w:rPr>
                <w:rFonts w:ascii="Arial" w:cs="Arial" w:eastAsia="Arial" w:hAnsi="Arial"/>
                <w:sz w:val="12"/>
                <w:szCs w:val="12"/>
                <w:color w:val="auto"/>
              </w:rPr>
              <w:t>SDG&amp;E</w:t>
            </w:r>
          </w:p>
        </w:tc>
        <w:tc>
          <w:tcPr>
            <w:tcW w:w="2880" w:type="dxa"/>
            <w:vAlign w:val="bottom"/>
          </w:tcPr>
          <w:p>
            <w:pPr>
              <w:spacing w:after="0"/>
              <w:rPr>
                <w:sz w:val="11"/>
                <w:szCs w:val="11"/>
                <w:color w:val="auto"/>
              </w:rPr>
            </w:pPr>
          </w:p>
        </w:tc>
        <w:tc>
          <w:tcPr>
            <w:tcW w:w="440" w:type="dxa"/>
            <w:vAlign w:val="bottom"/>
          </w:tcPr>
          <w:p>
            <w:pPr>
              <w:jc w:val="right"/>
              <w:spacing w:after="0" w:line="134" w:lineRule="exact"/>
              <w:rPr>
                <w:sz w:val="20"/>
                <w:szCs w:val="20"/>
                <w:color w:val="auto"/>
              </w:rPr>
            </w:pPr>
            <w:r>
              <w:rPr>
                <w:rFonts w:ascii="Arial" w:cs="Arial" w:eastAsia="Arial" w:hAnsi="Arial"/>
                <w:sz w:val="12"/>
                <w:szCs w:val="12"/>
                <w:color w:val="auto"/>
              </w:rPr>
              <w:t>501</w:t>
            </w:r>
          </w:p>
        </w:tc>
        <w:tc>
          <w:tcPr>
            <w:tcW w:w="660" w:type="dxa"/>
            <w:vAlign w:val="bottom"/>
          </w:tcPr>
          <w:p>
            <w:pPr>
              <w:spacing w:after="0"/>
              <w:rPr>
                <w:sz w:val="11"/>
                <w:szCs w:val="11"/>
                <w:color w:val="auto"/>
              </w:rPr>
            </w:pPr>
          </w:p>
        </w:tc>
        <w:tc>
          <w:tcPr>
            <w:tcW w:w="1560" w:type="dxa"/>
            <w:vAlign w:val="bottom"/>
          </w:tcPr>
          <w:p>
            <w:pPr>
              <w:jc w:val="right"/>
              <w:ind w:right="619"/>
              <w:spacing w:after="0" w:line="134" w:lineRule="exact"/>
              <w:rPr>
                <w:sz w:val="20"/>
                <w:szCs w:val="20"/>
                <w:color w:val="auto"/>
              </w:rPr>
            </w:pPr>
            <w:r>
              <w:rPr>
                <w:rFonts w:ascii="Arial" w:cs="Arial" w:eastAsia="Arial" w:hAnsi="Arial"/>
                <w:sz w:val="12"/>
                <w:szCs w:val="12"/>
                <w:color w:val="auto"/>
              </w:rPr>
              <w:t>226</w:t>
            </w:r>
          </w:p>
        </w:tc>
        <w:tc>
          <w:tcPr>
            <w:tcW w:w="66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82</w:t>
            </w:r>
          </w:p>
        </w:tc>
        <w:tc>
          <w:tcPr>
            <w:tcW w:w="64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275</w:t>
            </w:r>
          </w:p>
        </w:tc>
      </w:tr>
      <w:tr>
        <w:trPr>
          <w:trHeight w:val="134"/>
        </w:trPr>
        <w:tc>
          <w:tcPr>
            <w:tcW w:w="3400" w:type="dxa"/>
            <w:vAlign w:val="bottom"/>
            <w:gridSpan w:val="2"/>
          </w:tcPr>
          <w:p>
            <w:pPr>
              <w:spacing w:after="0" w:line="134" w:lineRule="exact"/>
              <w:rPr>
                <w:sz w:val="20"/>
                <w:szCs w:val="20"/>
                <w:color w:val="auto"/>
              </w:rPr>
            </w:pPr>
            <w:r>
              <w:rPr>
                <w:rFonts w:ascii="Arial" w:cs="Arial" w:eastAsia="Arial" w:hAnsi="Arial"/>
                <w:sz w:val="12"/>
                <w:szCs w:val="12"/>
                <w:color w:val="auto"/>
              </w:rPr>
              <w:t>PE</w:t>
            </w:r>
          </w:p>
        </w:tc>
        <w:tc>
          <w:tcPr>
            <w:tcW w:w="2880" w:type="dxa"/>
            <w:vAlign w:val="bottom"/>
          </w:tcPr>
          <w:p>
            <w:pPr>
              <w:spacing w:after="0"/>
              <w:rPr>
                <w:sz w:val="11"/>
                <w:szCs w:val="11"/>
                <w:color w:val="auto"/>
              </w:rPr>
            </w:pPr>
          </w:p>
        </w:tc>
        <w:tc>
          <w:tcPr>
            <w:tcW w:w="440" w:type="dxa"/>
            <w:vAlign w:val="bottom"/>
          </w:tcPr>
          <w:p>
            <w:pPr>
              <w:jc w:val="right"/>
              <w:spacing w:after="0" w:line="134" w:lineRule="exact"/>
              <w:rPr>
                <w:sz w:val="20"/>
                <w:szCs w:val="20"/>
                <w:color w:val="auto"/>
              </w:rPr>
            </w:pPr>
            <w:r>
              <w:rPr>
                <w:rFonts w:ascii="Arial" w:cs="Arial" w:eastAsia="Arial" w:hAnsi="Arial"/>
                <w:sz w:val="12"/>
                <w:szCs w:val="12"/>
                <w:color w:val="auto"/>
              </w:rPr>
              <w:t>380</w:t>
            </w:r>
          </w:p>
        </w:tc>
        <w:tc>
          <w:tcPr>
            <w:tcW w:w="660" w:type="dxa"/>
            <w:vAlign w:val="bottom"/>
          </w:tcPr>
          <w:p>
            <w:pPr>
              <w:spacing w:after="0"/>
              <w:rPr>
                <w:sz w:val="11"/>
                <w:szCs w:val="11"/>
                <w:color w:val="auto"/>
              </w:rPr>
            </w:pPr>
          </w:p>
        </w:tc>
        <w:tc>
          <w:tcPr>
            <w:tcW w:w="1560" w:type="dxa"/>
            <w:vAlign w:val="bottom"/>
          </w:tcPr>
          <w:p>
            <w:pPr>
              <w:jc w:val="right"/>
              <w:ind w:right="579"/>
              <w:spacing w:after="0" w:line="134" w:lineRule="exact"/>
              <w:rPr>
                <w:sz w:val="20"/>
                <w:szCs w:val="20"/>
                <w:color w:val="auto"/>
              </w:rPr>
            </w:pPr>
            <w:r>
              <w:rPr>
                <w:rFonts w:ascii="Arial" w:cs="Arial" w:eastAsia="Arial" w:hAnsi="Arial"/>
                <w:sz w:val="12"/>
                <w:szCs w:val="12"/>
                <w:color w:val="auto"/>
              </w:rPr>
              <w:t>(112)</w:t>
            </w:r>
          </w:p>
        </w:tc>
        <w:tc>
          <w:tcPr>
            <w:tcW w:w="660" w:type="dxa"/>
            <w:vAlign w:val="bottom"/>
          </w:tcPr>
          <w:p>
            <w:pPr>
              <w:jc w:val="right"/>
              <w:ind w:right="98"/>
              <w:spacing w:after="0" w:line="134" w:lineRule="exact"/>
              <w:rPr>
                <w:sz w:val="20"/>
                <w:szCs w:val="20"/>
                <w:color w:val="auto"/>
              </w:rPr>
            </w:pPr>
            <w:r>
              <w:rPr>
                <w:rFonts w:ascii="Arial" w:cs="Arial" w:eastAsia="Arial" w:hAnsi="Arial"/>
                <w:sz w:val="12"/>
                <w:szCs w:val="12"/>
                <w:color w:val="auto"/>
              </w:rPr>
              <w:t>(23)</w:t>
            </w:r>
          </w:p>
        </w:tc>
        <w:tc>
          <w:tcPr>
            <w:tcW w:w="64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492</w:t>
            </w:r>
          </w:p>
        </w:tc>
      </w:tr>
      <w:tr>
        <w:trPr>
          <w:trHeight w:val="144"/>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SoCalGas</w:t>
            </w:r>
          </w:p>
        </w:tc>
        <w:tc>
          <w:tcPr>
            <w:tcW w:w="28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371</w:t>
            </w:r>
          </w:p>
        </w:tc>
        <w:tc>
          <w:tcPr>
            <w:tcW w:w="6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579"/>
              <w:spacing w:after="0"/>
              <w:rPr>
                <w:sz w:val="20"/>
                <w:szCs w:val="20"/>
                <w:color w:val="auto"/>
              </w:rPr>
            </w:pPr>
            <w:r>
              <w:rPr>
                <w:rFonts w:ascii="Arial" w:cs="Arial" w:eastAsia="Arial" w:hAnsi="Arial"/>
                <w:sz w:val="12"/>
                <w:szCs w:val="12"/>
                <w:color w:val="auto"/>
              </w:rPr>
              <w:t>(130)</w:t>
            </w:r>
          </w:p>
        </w:tc>
        <w:tc>
          <w:tcPr>
            <w:tcW w:w="6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(26)</w:t>
            </w:r>
          </w:p>
        </w:tc>
        <w:tc>
          <w:tcPr>
            <w:tcW w:w="6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501</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Energy Consolidated</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Cash provided by operating activities at Sempra Energy decreased in 2011 primarily due to:</w:t>
      </w:r>
    </w:p>
    <w:p>
      <w:pPr>
        <w:spacing w:after="0" w:line="170" w:lineRule="exact"/>
        <w:rPr>
          <w:sz w:val="20"/>
          <w:szCs w:val="20"/>
          <w:color w:val="auto"/>
        </w:rPr>
      </w:pPr>
    </w:p>
    <w:p>
      <w:pPr>
        <w:ind w:left="260" w:hanging="147"/>
        <w:spacing w:after="0"/>
        <w:tabs>
          <w:tab w:leader="none" w:pos="2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 $161 million decrease in accounts receivable in 2010, primarily at SoCalGas; and</w:t>
      </w:r>
    </w:p>
    <w:p>
      <w:pPr>
        <w:spacing w:after="0" w:line="186" w:lineRule="exact"/>
        <w:rPr>
          <w:rFonts w:ascii="Arial" w:cs="Arial" w:eastAsia="Arial" w:hAnsi="Arial"/>
          <w:sz w:val="14"/>
          <w:szCs w:val="14"/>
          <w:color w:val="auto"/>
        </w:rPr>
      </w:pPr>
    </w:p>
    <w:p>
      <w:pPr>
        <w:ind w:left="260" w:hanging="147"/>
        <w:spacing w:after="0"/>
        <w:tabs>
          <w:tab w:leader="none" w:pos="2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$37 million of income tax payments in 2011 compared to $73 million of income tax refunds in 2010; </w:t>
      </w:r>
      <w:r>
        <w:rPr>
          <w:rFonts w:ascii="Arial" w:cs="Arial" w:eastAsia="Arial" w:hAnsi="Arial"/>
          <w:sz w:val="14"/>
          <w:szCs w:val="14"/>
          <w:b w:val="1"/>
          <w:bCs w:val="1"/>
          <w:color w:val="auto"/>
        </w:rPr>
        <w:t>offset by</w:t>
      </w:r>
    </w:p>
    <w:p>
      <w:pPr>
        <w:spacing w:after="0" w:line="194" w:lineRule="exact"/>
        <w:rPr>
          <w:rFonts w:ascii="Arial" w:cs="Arial" w:eastAsia="Arial" w:hAnsi="Arial"/>
          <w:sz w:val="14"/>
          <w:szCs w:val="14"/>
          <w:color w:val="auto"/>
        </w:rPr>
      </w:pPr>
    </w:p>
    <w:p>
      <w:pPr>
        <w:ind w:left="260" w:hanging="147"/>
        <w:spacing w:after="0"/>
        <w:tabs>
          <w:tab w:leader="none" w:pos="2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$185 million higher net income, adjusted for noncash items, in 2011 compared to 2010.</w:t>
      </w:r>
    </w:p>
    <w:p>
      <w:pPr>
        <w:spacing w:after="0" w:line="190" w:lineRule="exact"/>
        <w:rPr>
          <w:sz w:val="20"/>
          <w:szCs w:val="20"/>
          <w:color w:val="auto"/>
        </w:rPr>
      </w:pPr>
    </w:p>
    <w:p>
      <w:pPr>
        <w:ind w:right="40"/>
        <w:spacing w:after="0" w:line="306" w:lineRule="auto"/>
        <w:rPr>
          <w:sz w:val="20"/>
          <w:szCs w:val="20"/>
          <w:color w:val="auto"/>
        </w:rPr>
      </w:pPr>
      <w:r>
        <w:rPr>
          <w:rFonts w:ascii="Arial" w:cs="Arial" w:eastAsia="Arial" w:hAnsi="Arial"/>
          <w:sz w:val="13"/>
          <w:szCs w:val="13"/>
          <w:color w:val="auto"/>
        </w:rPr>
        <w:t>Other working capital changes in 2011 compared to 2010 reflect $300 million of funds received from a wildfire litigation settlement, offset by a $229 million reduction in accrued liabilities for the payment in 2011 of wildfire settlement claims ($99 million) and the settlement paid related to energy crisis litigation ($130 million), as well as the accrual of the latter in the first quarter of 2010.</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SDG&amp;E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Cash provided by operating activities at SDG&amp;E increased in 2011 primarily due to:</w:t>
      </w:r>
    </w:p>
    <w:p>
      <w:pPr>
        <w:spacing w:after="0" w:line="170" w:lineRule="exact"/>
        <w:rPr>
          <w:sz w:val="20"/>
          <w:szCs w:val="20"/>
          <w:color w:val="auto"/>
        </w:rPr>
      </w:pPr>
    </w:p>
    <w:p>
      <w:pPr>
        <w:ind w:left="260" w:hanging="147"/>
        <w:spacing w:after="0"/>
        <w:tabs>
          <w:tab w:leader="none" w:pos="2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$300 million of funds received from a wildfire litigation settlement, which is offset by an increase in restricted cash in cash flows from investing activities; and</w:t>
      </w:r>
    </w:p>
    <w:p>
      <w:pPr>
        <w:spacing w:after="0" w:line="186" w:lineRule="exact"/>
        <w:rPr>
          <w:rFonts w:ascii="Arial" w:cs="Arial" w:eastAsia="Arial" w:hAnsi="Arial"/>
          <w:sz w:val="14"/>
          <w:szCs w:val="14"/>
          <w:color w:val="auto"/>
        </w:rPr>
      </w:pPr>
    </w:p>
    <w:p>
      <w:pPr>
        <w:ind w:left="260" w:hanging="147"/>
        <w:spacing w:after="0"/>
        <w:tabs>
          <w:tab w:leader="none" w:pos="2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 xml:space="preserve">$79 million higher net income, adjusted for noncash items, in 2011 compared to 2010; </w:t>
      </w:r>
      <w:r>
        <w:rPr>
          <w:rFonts w:ascii="Arial" w:cs="Arial" w:eastAsia="Arial" w:hAnsi="Arial"/>
          <w:sz w:val="14"/>
          <w:szCs w:val="14"/>
          <w:b w:val="1"/>
          <w:bCs w:val="1"/>
          <w:color w:val="auto"/>
        </w:rPr>
        <w:t>offset by</w:t>
      </w:r>
    </w:p>
    <w:p>
      <w:pPr>
        <w:spacing w:after="0" w:line="194" w:lineRule="exact"/>
        <w:rPr>
          <w:rFonts w:ascii="Arial" w:cs="Arial" w:eastAsia="Arial" w:hAnsi="Arial"/>
          <w:sz w:val="14"/>
          <w:szCs w:val="14"/>
          <w:color w:val="auto"/>
        </w:rPr>
      </w:pPr>
    </w:p>
    <w:p>
      <w:pPr>
        <w:ind w:left="260" w:hanging="147"/>
        <w:spacing w:after="0" w:line="267" w:lineRule="auto"/>
        <w:tabs>
          <w:tab w:leader="none" w:pos="2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$99 million in settlement payments of accrued liabilities for the 2007 wildfires from our restricted funds in 2011, compared to $9 million net receipts from our liability insurance carriers in 2010 related to the 2007 wildfire litigation.</w:t>
      </w: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PE and SoCalGas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Cash provided by operating activities at PE and SoCalGas decreased in 2011 primarily due to:</w:t>
      </w:r>
    </w:p>
    <w:p>
      <w:pPr>
        <w:spacing w:after="0" w:line="170" w:lineRule="exact"/>
        <w:rPr>
          <w:sz w:val="20"/>
          <w:szCs w:val="20"/>
          <w:color w:val="auto"/>
        </w:rPr>
      </w:pPr>
    </w:p>
    <w:p>
      <w:pPr>
        <w:ind w:left="260" w:hanging="147"/>
        <w:spacing w:after="0"/>
        <w:tabs>
          <w:tab w:leader="none" w:pos="2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 $89 million decrease in accounts receivable in 2010, primarily due to lower volumes and cost of natural gas billed; and</w:t>
      </w:r>
    </w:p>
    <w:p>
      <w:pPr>
        <w:spacing w:after="0" w:line="186" w:lineRule="exact"/>
        <w:rPr>
          <w:rFonts w:ascii="Arial" w:cs="Arial" w:eastAsia="Arial" w:hAnsi="Arial"/>
          <w:sz w:val="14"/>
          <w:szCs w:val="14"/>
          <w:color w:val="auto"/>
        </w:rPr>
      </w:pPr>
    </w:p>
    <w:p>
      <w:pPr>
        <w:ind w:left="260" w:hanging="147"/>
        <w:spacing w:after="0"/>
        <w:tabs>
          <w:tab w:leader="none" w:pos="2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 xml:space="preserve">a $75 million decrease in accounts payable in 2011, primarily due to lower volumes and prices of natural gas purchased; </w:t>
      </w:r>
      <w:r>
        <w:rPr>
          <w:rFonts w:ascii="Arial" w:cs="Arial" w:eastAsia="Arial" w:hAnsi="Arial"/>
          <w:sz w:val="14"/>
          <w:szCs w:val="14"/>
          <w:b w:val="1"/>
          <w:bCs w:val="1"/>
          <w:color w:val="auto"/>
        </w:rPr>
        <w:t>offset by</w:t>
      </w:r>
    </w:p>
    <w:p>
      <w:pPr>
        <w:spacing w:after="0" w:line="194" w:lineRule="exact"/>
        <w:rPr>
          <w:rFonts w:ascii="Arial" w:cs="Arial" w:eastAsia="Arial" w:hAnsi="Arial"/>
          <w:sz w:val="14"/>
          <w:szCs w:val="14"/>
          <w:color w:val="auto"/>
        </w:rPr>
      </w:pPr>
    </w:p>
    <w:p>
      <w:pPr>
        <w:ind w:left="260" w:hanging="147"/>
        <w:spacing w:after="0"/>
        <w:tabs>
          <w:tab w:leader="none" w:pos="2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$40 million higher net income, adjusted for noncash items, in 2011 compared to 2010.</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shows the contributions to pension and other postretirement benefit plans for the three months ended March 31, 2011.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98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80" w:type="dxa"/>
            <w:vAlign w:val="bottom"/>
          </w:tcPr>
          <w:p>
            <w:pPr>
              <w:jc w:val="center"/>
              <w:ind w:right="421"/>
              <w:spacing w:after="0"/>
              <w:rPr>
                <w:sz w:val="20"/>
                <w:szCs w:val="20"/>
                <w:color w:val="auto"/>
              </w:rPr>
            </w:pPr>
            <w:r>
              <w:rPr>
                <w:rFonts w:ascii="Arial" w:cs="Arial" w:eastAsia="Arial" w:hAnsi="Arial"/>
                <w:sz w:val="11"/>
                <w:szCs w:val="11"/>
                <w:color w:val="auto"/>
              </w:rPr>
              <w:t>Other</w:t>
            </w:r>
          </w:p>
        </w:tc>
        <w:tc>
          <w:tcPr>
            <w:tcW w:w="0" w:type="dxa"/>
            <w:vAlign w:val="bottom"/>
          </w:tcPr>
          <w:p>
            <w:pPr>
              <w:spacing w:after="0"/>
              <w:rPr>
                <w:sz w:val="1"/>
                <w:szCs w:val="1"/>
                <w:color w:val="auto"/>
              </w:rPr>
            </w:pPr>
          </w:p>
        </w:tc>
      </w:tr>
      <w:tr>
        <w:trPr>
          <w:trHeight w:val="127"/>
        </w:trPr>
        <w:tc>
          <w:tcPr>
            <w:tcW w:w="3980" w:type="dxa"/>
            <w:vAlign w:val="bottom"/>
            <w:vMerge w:val="restart"/>
          </w:tcPr>
          <w:p>
            <w:pPr>
              <w:spacing w:after="0"/>
              <w:rPr>
                <w:sz w:val="20"/>
                <w:szCs w:val="20"/>
                <w:color w:val="auto"/>
              </w:rPr>
            </w:pPr>
            <w:r>
              <w:rPr>
                <w:rFonts w:ascii="Arial" w:cs="Arial" w:eastAsia="Arial" w:hAnsi="Arial"/>
                <w:sz w:val="11"/>
                <w:szCs w:val="11"/>
                <w:i w:val="1"/>
                <w:iCs w:val="1"/>
                <w:color w:val="auto"/>
              </w:rPr>
              <w:t>(Dollars in millions)</w:t>
            </w:r>
          </w:p>
        </w:tc>
        <w:tc>
          <w:tcPr>
            <w:tcW w:w="4280" w:type="dxa"/>
            <w:vAlign w:val="bottom"/>
          </w:tcPr>
          <w:p>
            <w:pPr>
              <w:ind w:left="3420"/>
              <w:spacing w:after="0"/>
              <w:rPr>
                <w:sz w:val="20"/>
                <w:szCs w:val="20"/>
                <w:color w:val="auto"/>
              </w:rPr>
            </w:pPr>
            <w:r>
              <w:rPr>
                <w:rFonts w:ascii="Arial" w:cs="Arial" w:eastAsia="Arial" w:hAnsi="Arial"/>
                <w:sz w:val="11"/>
                <w:szCs w:val="11"/>
                <w:color w:val="auto"/>
              </w:rPr>
              <w:t>Pension</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80" w:type="dxa"/>
            <w:vAlign w:val="bottom"/>
          </w:tcPr>
          <w:p>
            <w:pPr>
              <w:jc w:val="center"/>
              <w:ind w:right="421"/>
              <w:spacing w:after="0"/>
              <w:rPr>
                <w:sz w:val="20"/>
                <w:szCs w:val="20"/>
                <w:color w:val="auto"/>
              </w:rPr>
            </w:pPr>
            <w:r>
              <w:rPr>
                <w:rFonts w:ascii="Arial" w:cs="Arial" w:eastAsia="Arial" w:hAnsi="Arial"/>
                <w:sz w:val="11"/>
                <w:szCs w:val="11"/>
                <w:color w:val="auto"/>
              </w:rPr>
              <w:t>Postretirement</w:t>
            </w:r>
          </w:p>
        </w:tc>
        <w:tc>
          <w:tcPr>
            <w:tcW w:w="0" w:type="dxa"/>
            <w:vAlign w:val="bottom"/>
          </w:tcPr>
          <w:p>
            <w:pPr>
              <w:spacing w:after="0"/>
              <w:rPr>
                <w:sz w:val="1"/>
                <w:szCs w:val="1"/>
                <w:color w:val="auto"/>
              </w:rPr>
            </w:pPr>
          </w:p>
        </w:tc>
      </w:tr>
      <w:tr>
        <w:trPr>
          <w:trHeight w:val="121"/>
        </w:trPr>
        <w:tc>
          <w:tcPr>
            <w:tcW w:w="3980" w:type="dxa"/>
            <w:vAlign w:val="bottom"/>
            <w:tcBorders>
              <w:bottom w:val="single" w:sz="8" w:color="auto"/>
            </w:tcBorders>
            <w:vMerge w:val="continue"/>
          </w:tcPr>
          <w:p>
            <w:pPr>
              <w:spacing w:after="0"/>
              <w:rPr>
                <w:sz w:val="10"/>
                <w:szCs w:val="10"/>
                <w:color w:val="auto"/>
              </w:rPr>
            </w:pPr>
          </w:p>
        </w:tc>
        <w:tc>
          <w:tcPr>
            <w:tcW w:w="4280" w:type="dxa"/>
            <w:vAlign w:val="bottom"/>
            <w:tcBorders>
              <w:bottom w:val="single" w:sz="8" w:color="auto"/>
            </w:tcBorders>
          </w:tcPr>
          <w:p>
            <w:pPr>
              <w:ind w:left="3420"/>
              <w:spacing w:after="0" w:line="121" w:lineRule="exact"/>
              <w:rPr>
                <w:sz w:val="20"/>
                <w:szCs w:val="20"/>
                <w:color w:val="auto"/>
              </w:rPr>
            </w:pPr>
            <w:r>
              <w:rPr>
                <w:rFonts w:ascii="Arial" w:cs="Arial" w:eastAsia="Arial" w:hAnsi="Arial"/>
                <w:sz w:val="11"/>
                <w:szCs w:val="11"/>
                <w:color w:val="auto"/>
              </w:rPr>
              <w:t>Benefits</w:t>
            </w:r>
          </w:p>
        </w:tc>
        <w:tc>
          <w:tcPr>
            <w:tcW w:w="6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jc w:val="center"/>
              <w:ind w:right="421"/>
              <w:spacing w:after="0" w:line="121" w:lineRule="exact"/>
              <w:rPr>
                <w:sz w:val="20"/>
                <w:szCs w:val="20"/>
                <w:color w:val="auto"/>
              </w:rPr>
            </w:pPr>
            <w:r>
              <w:rPr>
                <w:rFonts w:ascii="Arial" w:cs="Arial" w:eastAsia="Arial" w:hAnsi="Arial"/>
                <w:sz w:val="11"/>
                <w:szCs w:val="11"/>
                <w:color w:val="auto"/>
              </w:rPr>
              <w:t>Benefits</w:t>
            </w:r>
          </w:p>
        </w:tc>
        <w:tc>
          <w:tcPr>
            <w:tcW w:w="0" w:type="dxa"/>
            <w:vAlign w:val="bottom"/>
          </w:tcPr>
          <w:p>
            <w:pPr>
              <w:spacing w:after="0"/>
              <w:rPr>
                <w:sz w:val="1"/>
                <w:szCs w:val="1"/>
                <w:color w:val="auto"/>
              </w:rPr>
            </w:pPr>
          </w:p>
        </w:tc>
      </w:tr>
      <w:tr>
        <w:trPr>
          <w:trHeight w:val="125"/>
        </w:trPr>
        <w:tc>
          <w:tcPr>
            <w:tcW w:w="3980" w:type="dxa"/>
            <w:vAlign w:val="bottom"/>
          </w:tcPr>
          <w:p>
            <w:pPr>
              <w:spacing w:after="0" w:line="126" w:lineRule="exact"/>
              <w:rPr>
                <w:sz w:val="20"/>
                <w:szCs w:val="20"/>
                <w:color w:val="auto"/>
              </w:rPr>
            </w:pPr>
            <w:r>
              <w:rPr>
                <w:rFonts w:ascii="Arial" w:cs="Arial" w:eastAsia="Arial" w:hAnsi="Arial"/>
                <w:sz w:val="12"/>
                <w:szCs w:val="12"/>
                <w:color w:val="auto"/>
              </w:rPr>
              <w:t>Sempra Energy Consolidated</w:t>
            </w:r>
          </w:p>
        </w:tc>
        <w:tc>
          <w:tcPr>
            <w:tcW w:w="4280" w:type="dxa"/>
            <w:vAlign w:val="bottom"/>
          </w:tcPr>
          <w:p>
            <w:pPr>
              <w:jc w:val="right"/>
              <w:ind w:right="1823"/>
              <w:spacing w:after="0" w:line="126"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26" w:lineRule="exact"/>
              <w:rPr>
                <w:sz w:val="20"/>
                <w:szCs w:val="20"/>
                <w:color w:val="auto"/>
              </w:rPr>
            </w:pPr>
            <w:r>
              <w:rPr>
                <w:rFonts w:ascii="Arial" w:cs="Arial" w:eastAsia="Arial" w:hAnsi="Arial"/>
                <w:sz w:val="12"/>
                <w:szCs w:val="12"/>
                <w:color w:val="auto"/>
              </w:rPr>
              <w:t>11</w:t>
            </w:r>
          </w:p>
        </w:tc>
        <w:tc>
          <w:tcPr>
            <w:tcW w:w="520" w:type="dxa"/>
            <w:vAlign w:val="bottom"/>
          </w:tcPr>
          <w:p>
            <w:pPr>
              <w:jc w:val="right"/>
              <w:ind w:right="358"/>
              <w:spacing w:after="0" w:line="126" w:lineRule="exact"/>
              <w:rPr>
                <w:sz w:val="20"/>
                <w:szCs w:val="20"/>
                <w:color w:val="auto"/>
              </w:rPr>
            </w:pPr>
            <w:r>
              <w:rPr>
                <w:rFonts w:ascii="Arial" w:cs="Arial" w:eastAsia="Arial" w:hAnsi="Arial"/>
                <w:sz w:val="12"/>
                <w:szCs w:val="12"/>
                <w:color w:val="auto"/>
              </w:rPr>
              <w:t>$</w:t>
            </w:r>
          </w:p>
        </w:tc>
        <w:tc>
          <w:tcPr>
            <w:tcW w:w="2080" w:type="dxa"/>
            <w:vAlign w:val="bottom"/>
          </w:tcPr>
          <w:p>
            <w:pPr>
              <w:jc w:val="right"/>
              <w:spacing w:after="0" w:line="126" w:lineRule="exact"/>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34"/>
        </w:trPr>
        <w:tc>
          <w:tcPr>
            <w:tcW w:w="3980" w:type="dxa"/>
            <w:vAlign w:val="bottom"/>
          </w:tcPr>
          <w:p>
            <w:pPr>
              <w:spacing w:after="0" w:line="134" w:lineRule="exact"/>
              <w:rPr>
                <w:sz w:val="20"/>
                <w:szCs w:val="20"/>
                <w:color w:val="auto"/>
              </w:rPr>
            </w:pPr>
            <w:r>
              <w:rPr>
                <w:rFonts w:ascii="Arial" w:cs="Arial" w:eastAsia="Arial" w:hAnsi="Arial"/>
                <w:sz w:val="12"/>
                <w:szCs w:val="12"/>
                <w:color w:val="auto"/>
              </w:rPr>
              <w:t>SDG&amp;E</w:t>
            </w:r>
          </w:p>
        </w:tc>
        <w:tc>
          <w:tcPr>
            <w:tcW w:w="428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520" w:type="dxa"/>
            <w:vAlign w:val="bottom"/>
          </w:tcPr>
          <w:p>
            <w:pPr>
              <w:spacing w:after="0"/>
              <w:rPr>
                <w:sz w:val="11"/>
                <w:szCs w:val="11"/>
                <w:color w:val="auto"/>
              </w:rPr>
            </w:pPr>
          </w:p>
        </w:tc>
        <w:tc>
          <w:tcPr>
            <w:tcW w:w="2080" w:type="dxa"/>
            <w:vAlign w:val="bottom"/>
          </w:tcPr>
          <w:p>
            <w:pPr>
              <w:jc w:val="right"/>
              <w:spacing w:after="0" w:line="134"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4"/>
        </w:trPr>
        <w:tc>
          <w:tcPr>
            <w:tcW w:w="3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PE/SoCalGas</w:t>
            </w:r>
          </w:p>
        </w:tc>
        <w:tc>
          <w:tcPr>
            <w:tcW w:w="4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52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auto"/>
        </w:rPr>
        <w:t>CASH FLOWS FROM INVESTING ACTIVITIES</w:t>
      </w: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400" w:type="dxa"/>
            <w:vAlign w:val="bottom"/>
            <w:gridSpan w:val="2"/>
          </w:tcPr>
          <w:p>
            <w:pPr>
              <w:spacing w:after="0"/>
              <w:rPr>
                <w:sz w:val="20"/>
                <w:szCs w:val="20"/>
                <w:color w:val="auto"/>
              </w:rPr>
            </w:pPr>
            <w:r>
              <w:rPr>
                <w:rFonts w:ascii="Arial" w:cs="Arial" w:eastAsia="Arial" w:hAnsi="Arial"/>
                <w:sz w:val="11"/>
                <w:szCs w:val="11"/>
                <w:i w:val="1"/>
                <w:iCs w:val="1"/>
                <w:color w:val="auto"/>
              </w:rPr>
              <w:t>(Dollars in millions)</w:t>
            </w:r>
          </w:p>
        </w:tc>
        <w:tc>
          <w:tcPr>
            <w:tcW w:w="2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1"/>
        </w:trPr>
        <w:tc>
          <w:tcPr>
            <w:tcW w:w="20" w:type="dxa"/>
            <w:vAlign w:val="bottom"/>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jc w:val="right"/>
              <w:ind w:right="141"/>
              <w:spacing w:after="0" w:line="121" w:lineRule="exact"/>
              <w:rPr>
                <w:sz w:val="20"/>
                <w:szCs w:val="20"/>
                <w:color w:val="auto"/>
              </w:rPr>
            </w:pPr>
            <w:r>
              <w:rPr>
                <w:rFonts w:ascii="Arial" w:cs="Arial" w:eastAsia="Arial" w:hAnsi="Arial"/>
                <w:sz w:val="11"/>
                <w:szCs w:val="11"/>
                <w:color w:val="auto"/>
              </w:rPr>
              <w:t>2011</w:t>
            </w:r>
          </w:p>
        </w:tc>
        <w:tc>
          <w:tcPr>
            <w:tcW w:w="11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jc w:val="right"/>
              <w:ind w:right="259"/>
              <w:spacing w:after="0" w:line="121" w:lineRule="exact"/>
              <w:rPr>
                <w:sz w:val="20"/>
                <w:szCs w:val="20"/>
                <w:color w:val="auto"/>
              </w:rPr>
            </w:pPr>
            <w:r>
              <w:rPr>
                <w:rFonts w:ascii="Arial" w:cs="Arial" w:eastAsia="Arial" w:hAnsi="Arial"/>
                <w:sz w:val="11"/>
                <w:szCs w:val="11"/>
                <w:color w:val="auto"/>
              </w:rPr>
              <w:t>2011 Change</w:t>
            </w:r>
          </w:p>
        </w:tc>
        <w:tc>
          <w:tcPr>
            <w:tcW w:w="6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619"/>
              <w:spacing w:after="0" w:line="121" w:lineRule="exact"/>
              <w:rPr>
                <w:sz w:val="20"/>
                <w:szCs w:val="20"/>
                <w:color w:val="auto"/>
              </w:rPr>
            </w:pPr>
            <w:r>
              <w:rPr>
                <w:rFonts w:ascii="Arial" w:cs="Arial" w:eastAsia="Arial" w:hAnsi="Arial"/>
                <w:sz w:val="11"/>
                <w:szCs w:val="11"/>
                <w:color w:val="auto"/>
              </w:rPr>
              <w:t>2010</w:t>
            </w:r>
          </w:p>
        </w:tc>
        <w:tc>
          <w:tcPr>
            <w:tcW w:w="2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3380" w:type="dxa"/>
            <w:vAlign w:val="bottom"/>
          </w:tcPr>
          <w:p>
            <w:pPr>
              <w:spacing w:after="0" w:line="126" w:lineRule="exact"/>
              <w:rPr>
                <w:sz w:val="20"/>
                <w:szCs w:val="20"/>
                <w:color w:val="auto"/>
              </w:rPr>
            </w:pPr>
            <w:r>
              <w:rPr>
                <w:rFonts w:ascii="Arial" w:cs="Arial" w:eastAsia="Arial" w:hAnsi="Arial"/>
                <w:sz w:val="12"/>
                <w:szCs w:val="12"/>
                <w:color w:val="auto"/>
              </w:rPr>
              <w:t>Sempra Energy Consolidated</w:t>
            </w:r>
          </w:p>
        </w:tc>
        <w:tc>
          <w:tcPr>
            <w:tcW w:w="2860" w:type="dxa"/>
            <w:vAlign w:val="bottom"/>
          </w:tcPr>
          <w:p>
            <w:pPr>
              <w:jc w:val="right"/>
              <w:ind w:right="961"/>
              <w:spacing w:after="0" w:line="126" w:lineRule="exact"/>
              <w:rPr>
                <w:sz w:val="20"/>
                <w:szCs w:val="20"/>
                <w:color w:val="auto"/>
              </w:rPr>
            </w:pPr>
            <w:r>
              <w:rPr>
                <w:rFonts w:ascii="Arial" w:cs="Arial" w:eastAsia="Arial" w:hAnsi="Arial"/>
                <w:sz w:val="12"/>
                <w:szCs w:val="12"/>
                <w:color w:val="auto"/>
              </w:rPr>
              <w:t>$</w:t>
            </w:r>
          </w:p>
        </w:tc>
        <w:tc>
          <w:tcPr>
            <w:tcW w:w="1120" w:type="dxa"/>
            <w:vAlign w:val="bottom"/>
          </w:tcPr>
          <w:p>
            <w:pPr>
              <w:ind w:left="180"/>
              <w:spacing w:after="0" w:line="126" w:lineRule="exact"/>
              <w:rPr>
                <w:sz w:val="20"/>
                <w:szCs w:val="20"/>
                <w:color w:val="auto"/>
              </w:rPr>
            </w:pPr>
            <w:r>
              <w:rPr>
                <w:rFonts w:ascii="Arial" w:cs="Arial" w:eastAsia="Arial" w:hAnsi="Arial"/>
                <w:sz w:val="12"/>
                <w:szCs w:val="12"/>
                <w:color w:val="auto"/>
              </w:rPr>
              <w:t>(756)$</w:t>
            </w:r>
          </w:p>
        </w:tc>
        <w:tc>
          <w:tcPr>
            <w:tcW w:w="1580" w:type="dxa"/>
            <w:vAlign w:val="bottom"/>
          </w:tcPr>
          <w:p>
            <w:pPr>
              <w:jc w:val="right"/>
              <w:ind w:right="639"/>
              <w:spacing w:after="0" w:line="126" w:lineRule="exact"/>
              <w:rPr>
                <w:sz w:val="20"/>
                <w:szCs w:val="20"/>
                <w:color w:val="auto"/>
              </w:rPr>
            </w:pPr>
            <w:r>
              <w:rPr>
                <w:rFonts w:ascii="Arial" w:cs="Arial" w:eastAsia="Arial" w:hAnsi="Arial"/>
                <w:sz w:val="12"/>
                <w:szCs w:val="12"/>
                <w:color w:val="auto"/>
              </w:rPr>
              <w:t>260</w:t>
            </w:r>
          </w:p>
        </w:tc>
        <w:tc>
          <w:tcPr>
            <w:tcW w:w="620" w:type="dxa"/>
            <w:vAlign w:val="bottom"/>
          </w:tcPr>
          <w:p>
            <w:pPr>
              <w:jc w:val="right"/>
              <w:ind w:right="98"/>
              <w:spacing w:after="0" w:line="126" w:lineRule="exact"/>
              <w:rPr>
                <w:sz w:val="20"/>
                <w:szCs w:val="20"/>
                <w:color w:val="auto"/>
              </w:rPr>
            </w:pPr>
            <w:r>
              <w:rPr>
                <w:rFonts w:ascii="Arial" w:cs="Arial" w:eastAsia="Arial" w:hAnsi="Arial"/>
                <w:sz w:val="12"/>
                <w:szCs w:val="12"/>
                <w:color w:val="auto"/>
              </w:rPr>
              <w:t>52</w:t>
            </w:r>
          </w:p>
        </w:tc>
        <w:tc>
          <w:tcPr>
            <w:tcW w:w="660" w:type="dxa"/>
            <w:vAlign w:val="bottom"/>
          </w:tcPr>
          <w:p>
            <w:pPr>
              <w:jc w:val="right"/>
              <w:ind w:right="238"/>
              <w:spacing w:after="0" w:line="126" w:lineRule="exact"/>
              <w:rPr>
                <w:sz w:val="20"/>
                <w:szCs w:val="20"/>
                <w:color w:val="auto"/>
              </w:rPr>
            </w:pPr>
            <w:r>
              <w:rPr>
                <w:rFonts w:ascii="Arial" w:cs="Arial" w:eastAsia="Arial" w:hAnsi="Arial"/>
                <w:sz w:val="12"/>
                <w:szCs w:val="12"/>
                <w:color w:val="auto"/>
              </w:rPr>
              <w:t>%$</w:t>
            </w:r>
          </w:p>
        </w:tc>
        <w:tc>
          <w:tcPr>
            <w:tcW w:w="1220" w:type="dxa"/>
            <w:vAlign w:val="bottom"/>
          </w:tcPr>
          <w:p>
            <w:pPr>
              <w:jc w:val="right"/>
              <w:spacing w:after="0" w:line="126" w:lineRule="exact"/>
              <w:rPr>
                <w:sz w:val="20"/>
                <w:szCs w:val="20"/>
                <w:color w:val="auto"/>
              </w:rPr>
            </w:pPr>
            <w:r>
              <w:rPr>
                <w:rFonts w:ascii="Arial" w:cs="Arial" w:eastAsia="Arial" w:hAnsi="Arial"/>
                <w:sz w:val="12"/>
                <w:szCs w:val="12"/>
                <w:color w:val="auto"/>
              </w:rPr>
              <w:t>(496)</w:t>
            </w:r>
          </w:p>
        </w:tc>
        <w:tc>
          <w:tcPr>
            <w:tcW w:w="20" w:type="dxa"/>
            <w:vAlign w:val="bottom"/>
          </w:tcPr>
          <w:p>
            <w:pPr>
              <w:spacing w:after="0"/>
              <w:rPr>
                <w:sz w:val="10"/>
                <w:szCs w:val="10"/>
                <w:color w:val="auto"/>
              </w:rPr>
            </w:pPr>
          </w:p>
        </w:tc>
      </w:tr>
      <w:tr>
        <w:trPr>
          <w:trHeight w:val="134"/>
        </w:trPr>
        <w:tc>
          <w:tcPr>
            <w:tcW w:w="3400" w:type="dxa"/>
            <w:vAlign w:val="bottom"/>
            <w:gridSpan w:val="2"/>
          </w:tcPr>
          <w:p>
            <w:pPr>
              <w:spacing w:after="0" w:line="134" w:lineRule="exact"/>
              <w:rPr>
                <w:sz w:val="20"/>
                <w:szCs w:val="20"/>
                <w:color w:val="auto"/>
              </w:rPr>
            </w:pPr>
            <w:r>
              <w:rPr>
                <w:rFonts w:ascii="Arial" w:cs="Arial" w:eastAsia="Arial" w:hAnsi="Arial"/>
                <w:sz w:val="12"/>
                <w:szCs w:val="12"/>
                <w:color w:val="auto"/>
              </w:rPr>
              <w:t>SDG&amp;E</w:t>
            </w:r>
          </w:p>
        </w:tc>
        <w:tc>
          <w:tcPr>
            <w:tcW w:w="2860" w:type="dxa"/>
            <w:vAlign w:val="bottom"/>
          </w:tcPr>
          <w:p>
            <w:pPr>
              <w:spacing w:after="0"/>
              <w:rPr>
                <w:sz w:val="11"/>
                <w:szCs w:val="11"/>
                <w:color w:val="auto"/>
              </w:rPr>
            </w:pPr>
          </w:p>
        </w:tc>
        <w:tc>
          <w:tcPr>
            <w:tcW w:w="1120" w:type="dxa"/>
            <w:vAlign w:val="bottom"/>
          </w:tcPr>
          <w:p>
            <w:pPr>
              <w:ind w:left="180"/>
              <w:spacing w:after="0" w:line="134" w:lineRule="exact"/>
              <w:rPr>
                <w:sz w:val="20"/>
                <w:szCs w:val="20"/>
                <w:color w:val="auto"/>
              </w:rPr>
            </w:pPr>
            <w:r>
              <w:rPr>
                <w:rFonts w:ascii="Arial" w:cs="Arial" w:eastAsia="Arial" w:hAnsi="Arial"/>
                <w:sz w:val="12"/>
                <w:szCs w:val="12"/>
                <w:color w:val="auto"/>
              </w:rPr>
              <w:t>(552)</w:t>
            </w:r>
          </w:p>
        </w:tc>
        <w:tc>
          <w:tcPr>
            <w:tcW w:w="1580" w:type="dxa"/>
            <w:vAlign w:val="bottom"/>
          </w:tcPr>
          <w:p>
            <w:pPr>
              <w:jc w:val="right"/>
              <w:ind w:right="639"/>
              <w:spacing w:after="0" w:line="134" w:lineRule="exact"/>
              <w:rPr>
                <w:sz w:val="20"/>
                <w:szCs w:val="20"/>
                <w:color w:val="auto"/>
              </w:rPr>
            </w:pPr>
            <w:r>
              <w:rPr>
                <w:rFonts w:ascii="Arial" w:cs="Arial" w:eastAsia="Arial" w:hAnsi="Arial"/>
                <w:sz w:val="12"/>
                <w:szCs w:val="12"/>
                <w:color w:val="auto"/>
              </w:rPr>
              <w:t>252</w:t>
            </w:r>
          </w:p>
        </w:tc>
        <w:tc>
          <w:tcPr>
            <w:tcW w:w="620" w:type="dxa"/>
            <w:vAlign w:val="bottom"/>
          </w:tcPr>
          <w:p>
            <w:pPr>
              <w:jc w:val="right"/>
              <w:ind w:right="98"/>
              <w:spacing w:after="0" w:line="134" w:lineRule="exact"/>
              <w:rPr>
                <w:sz w:val="20"/>
                <w:szCs w:val="20"/>
                <w:color w:val="auto"/>
              </w:rPr>
            </w:pPr>
            <w:r>
              <w:rPr>
                <w:rFonts w:ascii="Arial" w:cs="Arial" w:eastAsia="Arial" w:hAnsi="Arial"/>
                <w:sz w:val="12"/>
                <w:szCs w:val="12"/>
                <w:color w:val="auto"/>
              </w:rPr>
              <w:t>84</w:t>
            </w:r>
          </w:p>
        </w:tc>
        <w:tc>
          <w:tcPr>
            <w:tcW w:w="660" w:type="dxa"/>
            <w:vAlign w:val="bottom"/>
          </w:tcPr>
          <w:p>
            <w:pPr>
              <w:spacing w:after="0"/>
              <w:rPr>
                <w:sz w:val="11"/>
                <w:szCs w:val="11"/>
                <w:color w:val="auto"/>
              </w:rPr>
            </w:pPr>
          </w:p>
        </w:tc>
        <w:tc>
          <w:tcPr>
            <w:tcW w:w="12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(300)</w:t>
            </w:r>
          </w:p>
        </w:tc>
      </w:tr>
      <w:tr>
        <w:trPr>
          <w:trHeight w:val="134"/>
        </w:trPr>
        <w:tc>
          <w:tcPr>
            <w:tcW w:w="3400" w:type="dxa"/>
            <w:vAlign w:val="bottom"/>
            <w:gridSpan w:val="2"/>
          </w:tcPr>
          <w:p>
            <w:pPr>
              <w:spacing w:after="0" w:line="134" w:lineRule="exact"/>
              <w:rPr>
                <w:sz w:val="20"/>
                <w:szCs w:val="20"/>
                <w:color w:val="auto"/>
              </w:rPr>
            </w:pPr>
            <w:r>
              <w:rPr>
                <w:rFonts w:ascii="Arial" w:cs="Arial" w:eastAsia="Arial" w:hAnsi="Arial"/>
                <w:sz w:val="12"/>
                <w:szCs w:val="12"/>
                <w:color w:val="auto"/>
              </w:rPr>
              <w:t>PE</w:t>
            </w:r>
          </w:p>
        </w:tc>
        <w:tc>
          <w:tcPr>
            <w:tcW w:w="2860" w:type="dxa"/>
            <w:vAlign w:val="bottom"/>
          </w:tcPr>
          <w:p>
            <w:pPr>
              <w:spacing w:after="0"/>
              <w:rPr>
                <w:sz w:val="11"/>
                <w:szCs w:val="11"/>
                <w:color w:val="auto"/>
              </w:rPr>
            </w:pPr>
          </w:p>
        </w:tc>
        <w:tc>
          <w:tcPr>
            <w:tcW w:w="1120" w:type="dxa"/>
            <w:vAlign w:val="bottom"/>
          </w:tcPr>
          <w:p>
            <w:pPr>
              <w:ind w:left="180"/>
              <w:spacing w:after="0" w:line="134" w:lineRule="exact"/>
              <w:rPr>
                <w:sz w:val="20"/>
                <w:szCs w:val="20"/>
                <w:color w:val="auto"/>
              </w:rPr>
            </w:pPr>
            <w:r>
              <w:rPr>
                <w:rFonts w:ascii="Arial" w:cs="Arial" w:eastAsia="Arial" w:hAnsi="Arial"/>
                <w:sz w:val="12"/>
                <w:szCs w:val="12"/>
                <w:color w:val="auto"/>
              </w:rPr>
              <w:t>(463)</w:t>
            </w:r>
          </w:p>
        </w:tc>
        <w:tc>
          <w:tcPr>
            <w:tcW w:w="1580" w:type="dxa"/>
            <w:vAlign w:val="bottom"/>
          </w:tcPr>
          <w:p>
            <w:pPr>
              <w:jc w:val="right"/>
              <w:ind w:right="639"/>
              <w:spacing w:after="0" w:line="134" w:lineRule="exact"/>
              <w:rPr>
                <w:sz w:val="20"/>
                <w:szCs w:val="20"/>
                <w:color w:val="auto"/>
              </w:rPr>
            </w:pPr>
            <w:r>
              <w:rPr>
                <w:rFonts w:ascii="Arial" w:cs="Arial" w:eastAsia="Arial" w:hAnsi="Arial"/>
                <w:sz w:val="12"/>
                <w:szCs w:val="12"/>
                <w:color w:val="auto"/>
              </w:rPr>
              <w:t>203</w:t>
            </w:r>
          </w:p>
        </w:tc>
        <w:tc>
          <w:tcPr>
            <w:tcW w:w="620" w:type="dxa"/>
            <w:vAlign w:val="bottom"/>
          </w:tcPr>
          <w:p>
            <w:pPr>
              <w:jc w:val="right"/>
              <w:ind w:right="98"/>
              <w:spacing w:after="0" w:line="134" w:lineRule="exact"/>
              <w:rPr>
                <w:sz w:val="20"/>
                <w:szCs w:val="20"/>
                <w:color w:val="auto"/>
              </w:rPr>
            </w:pPr>
            <w:r>
              <w:rPr>
                <w:rFonts w:ascii="Arial" w:cs="Arial" w:eastAsia="Arial" w:hAnsi="Arial"/>
                <w:sz w:val="12"/>
                <w:szCs w:val="12"/>
                <w:color w:val="auto"/>
              </w:rPr>
              <w:t>78</w:t>
            </w:r>
          </w:p>
        </w:tc>
        <w:tc>
          <w:tcPr>
            <w:tcW w:w="660" w:type="dxa"/>
            <w:vAlign w:val="bottom"/>
          </w:tcPr>
          <w:p>
            <w:pPr>
              <w:spacing w:after="0"/>
              <w:rPr>
                <w:sz w:val="11"/>
                <w:szCs w:val="11"/>
                <w:color w:val="auto"/>
              </w:rPr>
            </w:pPr>
          </w:p>
        </w:tc>
        <w:tc>
          <w:tcPr>
            <w:tcW w:w="12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(260)</w:t>
            </w:r>
          </w:p>
        </w:tc>
      </w:tr>
      <w:tr>
        <w:trPr>
          <w:trHeight w:val="144"/>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SoCalGas</w:t>
            </w:r>
          </w:p>
        </w:tc>
        <w:tc>
          <w:tcPr>
            <w:tcW w:w="28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(455)</w:t>
            </w:r>
          </w:p>
        </w:tc>
        <w:tc>
          <w:tcPr>
            <w:tcW w:w="158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color w:val="auto"/>
              </w:rPr>
              <w:t>185</w:t>
            </w:r>
          </w:p>
        </w:tc>
        <w:tc>
          <w:tcPr>
            <w:tcW w:w="6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69</w:t>
            </w:r>
          </w:p>
        </w:tc>
        <w:tc>
          <w:tcPr>
            <w:tcW w:w="6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(270)</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Energy Consolidated</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Cash used in investing activities at Sempra Energy increased in 2011 primarily due to:</w:t>
      </w:r>
    </w:p>
    <w:p>
      <w:pPr>
        <w:spacing w:after="0" w:line="170" w:lineRule="exact"/>
        <w:rPr>
          <w:sz w:val="20"/>
          <w:szCs w:val="20"/>
          <w:color w:val="auto"/>
        </w:rPr>
      </w:pPr>
    </w:p>
    <w:p>
      <w:pPr>
        <w:ind w:left="260" w:hanging="147"/>
        <w:spacing w:after="0"/>
        <w:tabs>
          <w:tab w:leader="none" w:pos="2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 $300 million increase in restricted cash due to funds received from a wildfire litigation settlement; and</w:t>
      </w:r>
    </w:p>
    <w:p>
      <w:pPr>
        <w:spacing w:after="0" w:line="186" w:lineRule="exact"/>
        <w:rPr>
          <w:rFonts w:ascii="Arial" w:cs="Arial" w:eastAsia="Arial" w:hAnsi="Arial"/>
          <w:sz w:val="14"/>
          <w:szCs w:val="14"/>
          <w:color w:val="auto"/>
        </w:rPr>
      </w:pPr>
    </w:p>
    <w:p>
      <w:pPr>
        <w:ind w:left="260" w:hanging="147"/>
        <w:spacing w:after="0"/>
        <w:tabs>
          <w:tab w:leader="none" w:pos="2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a $161 million increase in capital expenditures; </w:t>
      </w:r>
      <w:r>
        <w:rPr>
          <w:rFonts w:ascii="Arial" w:cs="Arial" w:eastAsia="Arial" w:hAnsi="Arial"/>
          <w:sz w:val="14"/>
          <w:szCs w:val="14"/>
          <w:b w:val="1"/>
          <w:bCs w:val="1"/>
          <w:color w:val="auto"/>
        </w:rPr>
        <w:t>offset by</w:t>
      </w:r>
    </w:p>
    <w:p>
      <w:pPr>
        <w:spacing w:after="0" w:line="194" w:lineRule="exact"/>
        <w:rPr>
          <w:rFonts w:ascii="Arial" w:cs="Arial" w:eastAsia="Arial" w:hAnsi="Arial"/>
          <w:sz w:val="14"/>
          <w:szCs w:val="14"/>
          <w:color w:val="auto"/>
        </w:rPr>
      </w:pPr>
    </w:p>
    <w:p>
      <w:pPr>
        <w:ind w:left="260" w:hanging="147"/>
        <w:spacing w:after="0"/>
        <w:tabs>
          <w:tab w:leader="none" w:pos="2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$99 million in payments for claims related to wildfire litigation using restricted funds received from a wildfire litigation settlement; and</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lower contributions to Rockies Express. The $65 million contribution in the first quarter of 2010 was the last required for the construction phase of the project.</w:t>
      </w: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SDG&amp;E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Cash used in investing activities at SDG&amp;E increased in 2011 primarily due to:</w:t>
      </w:r>
    </w:p>
    <w:p>
      <w:pPr>
        <w:spacing w:after="0" w:line="170" w:lineRule="exact"/>
        <w:rPr>
          <w:sz w:val="20"/>
          <w:szCs w:val="20"/>
          <w:color w:val="auto"/>
        </w:rPr>
      </w:pPr>
    </w:p>
    <w:p>
      <w:pPr>
        <w:ind w:left="260" w:hanging="147"/>
        <w:spacing w:after="0"/>
        <w:tabs>
          <w:tab w:leader="none" w:pos="2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 $300 million increase in restricted cash due to funds received from a wildfire litigation settlement; and</w:t>
      </w:r>
    </w:p>
    <w:p>
      <w:pPr>
        <w:spacing w:after="0" w:line="186" w:lineRule="exact"/>
        <w:rPr>
          <w:rFonts w:ascii="Arial" w:cs="Arial" w:eastAsia="Arial" w:hAnsi="Arial"/>
          <w:sz w:val="14"/>
          <w:szCs w:val="14"/>
          <w:color w:val="auto"/>
        </w:rPr>
      </w:pPr>
    </w:p>
    <w:p>
      <w:pPr>
        <w:ind w:left="260" w:hanging="147"/>
        <w:spacing w:after="0"/>
        <w:tabs>
          <w:tab w:leader="none" w:pos="2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a $58 million increase in capital expenditures; </w:t>
      </w:r>
      <w:r>
        <w:rPr>
          <w:rFonts w:ascii="Arial" w:cs="Arial" w:eastAsia="Arial" w:hAnsi="Arial"/>
          <w:sz w:val="14"/>
          <w:szCs w:val="14"/>
          <w:b w:val="1"/>
          <w:bCs w:val="1"/>
          <w:color w:val="auto"/>
        </w:rPr>
        <w:t>offset by</w:t>
      </w:r>
    </w:p>
    <w:p>
      <w:pPr>
        <w:spacing w:after="0" w:line="194" w:lineRule="exact"/>
        <w:rPr>
          <w:rFonts w:ascii="Arial" w:cs="Arial" w:eastAsia="Arial" w:hAnsi="Arial"/>
          <w:sz w:val="14"/>
          <w:szCs w:val="14"/>
          <w:color w:val="auto"/>
        </w:rPr>
      </w:pPr>
    </w:p>
    <w:p>
      <w:pPr>
        <w:ind w:left="260" w:hanging="147"/>
        <w:spacing w:after="0"/>
        <w:tabs>
          <w:tab w:leader="none" w:pos="2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$99 million in payments for claims related to wildfire litigation using restricted funds received from a wildfire litigation settlement.</w:t>
      </w: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PE and SoCalGas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Cash used in investing activities at PE and SoCalGas increased in 2011 primarily due to $131 million higher increase in advances from SoCalGas to Sempra Energy.</w:t>
      </w:r>
    </w:p>
    <w:p>
      <w:pPr>
        <w:sectPr>
          <w:pgSz w:w="11900" w:h="16838" w:orient="portrait"/>
          <w:cols w:equalWidth="0" w:num="1">
            <w:col w:w="11460"/>
          </w:cols>
          <w:pgMar w:left="220" w:top="488" w:right="219" w:bottom="56"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color w:val="auto"/>
        </w:rPr>
        <w:t>FUTURE CONSTRUCTION EXPENDITURES AND INVESTMENTS</w:t>
      </w:r>
    </w:p>
    <w:p>
      <w:pPr>
        <w:spacing w:after="0" w:line="177" w:lineRule="exact"/>
        <w:rPr>
          <w:sz w:val="20"/>
          <w:szCs w:val="20"/>
          <w:color w:val="auto"/>
        </w:rPr>
      </w:pPr>
    </w:p>
    <w:p>
      <w:pPr>
        <w:ind w:right="380"/>
        <w:spacing w:after="0" w:line="306" w:lineRule="auto"/>
        <w:rPr>
          <w:sz w:val="20"/>
          <w:szCs w:val="20"/>
          <w:color w:val="auto"/>
        </w:rPr>
      </w:pPr>
      <w:r>
        <w:rPr>
          <w:rFonts w:ascii="Arial" w:cs="Arial" w:eastAsia="Arial" w:hAnsi="Arial"/>
          <w:sz w:val="13"/>
          <w:szCs w:val="13"/>
          <w:color w:val="auto"/>
        </w:rPr>
        <w:t>The amounts and timing of capital expenditures are generally subject to approvals by the CPUC, the Federal Energy Regulatory Commission (FERC) and other regulatory bodies. However, in 2011, we expect to make capital expenditures and investments of approximately $3.8 billion, net of transferring Sempra Generation’s El Dorado facility to SDG&amp;E. These expenditures include:</w:t>
      </w:r>
    </w:p>
    <w:p>
      <w:pPr>
        <w:spacing w:after="0" w:line="115" w:lineRule="exact"/>
        <w:rPr>
          <w:sz w:val="20"/>
          <w:szCs w:val="20"/>
          <w:color w:val="auto"/>
        </w:rPr>
      </w:pPr>
    </w:p>
    <w:p>
      <w:pPr>
        <w:ind w:left="260" w:hanging="147"/>
        <w:spacing w:after="0"/>
        <w:tabs>
          <w:tab w:leader="none" w:pos="2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$2.6 billion at the Sempra Utilities for capital projects and plant improvements ($1.9 billion at SDG&amp;E and $720 million at SoCalGas)</w:t>
      </w:r>
    </w:p>
    <w:p>
      <w:pPr>
        <w:spacing w:after="0" w:line="190" w:lineRule="exact"/>
        <w:rPr>
          <w:rFonts w:ascii="Arial" w:cs="Arial" w:eastAsia="Arial" w:hAnsi="Arial"/>
          <w:sz w:val="14"/>
          <w:szCs w:val="14"/>
          <w:color w:val="auto"/>
        </w:rPr>
      </w:pPr>
    </w:p>
    <w:p>
      <w:pPr>
        <w:ind w:right="960" w:firstLine="113"/>
        <w:spacing w:after="0" w:line="508" w:lineRule="auto"/>
        <w:tabs>
          <w:tab w:leader="none" w:pos="248" w:val="left"/>
        </w:tabs>
        <w:numPr>
          <w:ilvl w:val="0"/>
          <w:numId w:val="53"/>
        </w:numPr>
        <w:rPr>
          <w:rFonts w:ascii="Arial" w:cs="Arial" w:eastAsia="Arial" w:hAnsi="Arial"/>
          <w:sz w:val="14"/>
          <w:szCs w:val="14"/>
          <w:color w:val="auto"/>
        </w:rPr>
      </w:pPr>
      <w:r>
        <w:rPr>
          <w:rFonts w:ascii="Arial" w:cs="Arial" w:eastAsia="Arial" w:hAnsi="Arial"/>
          <w:sz w:val="14"/>
          <w:szCs w:val="14"/>
          <w:color w:val="auto"/>
        </w:rPr>
        <w:t>$1.4 billion at our other subsidiaries for the acquisition of AEI’s interests in Chile and Peru, development of natural gas storage facilities and pipelines, and renewable generation projects The Sempra Utilities expect the $2.6 billion of capital expenditures to include:</w:t>
      </w:r>
    </w:p>
    <w:p>
      <w:pPr>
        <w:ind w:left="260" w:hanging="147"/>
        <w:spacing w:after="0"/>
        <w:tabs>
          <w:tab w:leader="none" w:pos="2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$780 million for additions to SDG&amp;E’s natural gas and electric distribution systems, advanced metering infrastructure, and electric generation plant and equipment</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$680 million at SDG&amp;E for the Sunrise Powerlink transmission line</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$220 million for improvements to SDG&amp;E’s electric transmission infrastructure</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$200 million for the transfer of Sempra Generation’s El Dorado facility to SDG&amp;E</w:t>
      </w:r>
    </w:p>
    <w:p>
      <w:pPr>
        <w:spacing w:after="0" w:line="190" w:lineRule="exact"/>
        <w:rPr>
          <w:rFonts w:ascii="Arial" w:cs="Arial" w:eastAsia="Arial" w:hAnsi="Arial"/>
          <w:sz w:val="14"/>
          <w:szCs w:val="14"/>
          <w:color w:val="auto"/>
        </w:rPr>
      </w:pPr>
    </w:p>
    <w:p>
      <w:pPr>
        <w:ind w:left="260" w:hanging="147"/>
        <w:spacing w:after="0"/>
        <w:tabs>
          <w:tab w:leader="none" w:pos="2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$720 million at SoCalGas for improvements to distribution and transmission systems, and for advanced metering infrastructure</w:t>
      </w:r>
    </w:p>
    <w:p>
      <w:pPr>
        <w:spacing w:after="0" w:line="190" w:lineRule="exact"/>
        <w:rPr>
          <w:sz w:val="20"/>
          <w:szCs w:val="20"/>
          <w:color w:val="auto"/>
        </w:rPr>
      </w:pPr>
    </w:p>
    <w:p>
      <w:pPr>
        <w:ind w:right="840"/>
        <w:spacing w:after="0" w:line="513" w:lineRule="auto"/>
        <w:rPr>
          <w:sz w:val="20"/>
          <w:szCs w:val="20"/>
          <w:color w:val="auto"/>
        </w:rPr>
      </w:pPr>
      <w:r>
        <w:rPr>
          <w:rFonts w:ascii="Arial" w:cs="Arial" w:eastAsia="Arial" w:hAnsi="Arial"/>
          <w:sz w:val="14"/>
          <w:szCs w:val="14"/>
          <w:color w:val="auto"/>
        </w:rPr>
        <w:t>The Sempra Utilities expect to finance these expenditures and investments with cash flows from operations, cash on hand, debt issuances and at SDG&amp;E, capital contributed by Sempra Energy. The expected capital expenditures of $1.4 billion at our other subsidiaries include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Sempra Pipelines &amp; Storage</w:t>
      </w:r>
    </w:p>
    <w:p>
      <w:pPr>
        <w:spacing w:after="0" w:line="170" w:lineRule="exact"/>
        <w:rPr>
          <w:sz w:val="20"/>
          <w:szCs w:val="20"/>
          <w:color w:val="auto"/>
        </w:rPr>
      </w:pPr>
    </w:p>
    <w:p>
      <w:pPr>
        <w:ind w:left="500" w:hanging="139"/>
        <w:spacing w:after="0"/>
        <w:tabs>
          <w:tab w:leader="none" w:pos="5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approximately $875 million to acquire AEI’s interests in Chile and Peru</w:t>
      </w:r>
    </w:p>
    <w:p>
      <w:pPr>
        <w:spacing w:after="0" w:line="190" w:lineRule="exact"/>
        <w:rPr>
          <w:rFonts w:ascii="Arial" w:cs="Arial" w:eastAsia="Arial" w:hAnsi="Arial"/>
          <w:sz w:val="14"/>
          <w:szCs w:val="14"/>
          <w:color w:val="auto"/>
        </w:rPr>
      </w:pPr>
    </w:p>
    <w:p>
      <w:pPr>
        <w:ind w:left="500" w:hanging="139"/>
        <w:spacing w:after="0"/>
        <w:tabs>
          <w:tab w:leader="none" w:pos="5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approximately $100 million to $150 million for capital projects in South America in the second half of 2011</w:t>
      </w:r>
    </w:p>
    <w:p>
      <w:pPr>
        <w:spacing w:after="0" w:line="190" w:lineRule="exact"/>
        <w:rPr>
          <w:rFonts w:ascii="Arial" w:cs="Arial" w:eastAsia="Arial" w:hAnsi="Arial"/>
          <w:sz w:val="14"/>
          <w:szCs w:val="14"/>
          <w:color w:val="auto"/>
        </w:rPr>
      </w:pPr>
    </w:p>
    <w:p>
      <w:pPr>
        <w:ind w:left="500" w:hanging="139"/>
        <w:spacing w:after="0"/>
        <w:tabs>
          <w:tab w:leader="none" w:pos="5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approximately $100 million to $150 million for development of natural gas storage projects at Bay Gas and Mississippi Hub</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Sempra Generation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approximately $100 million for investment in the first phase (150 megawatts (MW)) of Mesquite Solar, a solar project at our Mesquite Power plant near Arlington, Arizona</w:t>
      </w:r>
    </w:p>
    <w:p>
      <w:pPr>
        <w:spacing w:after="0" w:line="190" w:lineRule="exact"/>
        <w:rPr>
          <w:sz w:val="20"/>
          <w:szCs w:val="20"/>
          <w:color w:val="auto"/>
        </w:rPr>
      </w:pPr>
    </w:p>
    <w:p>
      <w:pPr>
        <w:ind w:right="420"/>
        <w:spacing w:after="0" w:line="306" w:lineRule="auto"/>
        <w:rPr>
          <w:sz w:val="20"/>
          <w:szCs w:val="20"/>
          <w:color w:val="auto"/>
        </w:rPr>
      </w:pPr>
      <w:r>
        <w:rPr>
          <w:rFonts w:ascii="Arial" w:cs="Arial" w:eastAsia="Arial" w:hAnsi="Arial"/>
          <w:sz w:val="13"/>
          <w:szCs w:val="13"/>
          <w:color w:val="auto"/>
        </w:rPr>
        <w:t>Our level of capital expenditures and investments in the next few years may vary substantially and will depend on the cost and availability of financing, regulatory approvals and business opportunities providing desirable rates of return. We intend to finance our capital expenditures in a manner that will maintain our strong investment-grade ratings and capital structure.</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auto"/>
        </w:rPr>
        <w:t>CASH FLOWS FROM FINANCING ACTIVITIES</w:t>
      </w: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9005" cy="1708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9005" cy="17081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400" w:type="dxa"/>
            <w:vAlign w:val="bottom"/>
            <w:gridSpan w:val="2"/>
          </w:tcPr>
          <w:p>
            <w:pPr>
              <w:spacing w:after="0"/>
              <w:rPr>
                <w:sz w:val="20"/>
                <w:szCs w:val="20"/>
                <w:color w:val="auto"/>
              </w:rPr>
            </w:pPr>
            <w:r>
              <w:rPr>
                <w:rFonts w:ascii="Arial" w:cs="Arial" w:eastAsia="Arial" w:hAnsi="Arial"/>
                <w:sz w:val="11"/>
                <w:szCs w:val="11"/>
                <w:i w:val="1"/>
                <w:iCs w:val="1"/>
                <w:color w:val="auto"/>
              </w:rPr>
              <w:t>(Dollars in millions)</w:t>
            </w:r>
          </w:p>
        </w:tc>
        <w:tc>
          <w:tcPr>
            <w:tcW w:w="2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1"/>
        </w:trPr>
        <w:tc>
          <w:tcPr>
            <w:tcW w:w="20" w:type="dxa"/>
            <w:vAlign w:val="bottom"/>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jc w:val="right"/>
              <w:ind w:right="141"/>
              <w:spacing w:after="0" w:line="121" w:lineRule="exact"/>
              <w:rPr>
                <w:sz w:val="20"/>
                <w:szCs w:val="20"/>
                <w:color w:val="auto"/>
              </w:rPr>
            </w:pPr>
            <w:r>
              <w:rPr>
                <w:rFonts w:ascii="Arial" w:cs="Arial" w:eastAsia="Arial" w:hAnsi="Arial"/>
                <w:sz w:val="11"/>
                <w:szCs w:val="11"/>
                <w:color w:val="auto"/>
              </w:rPr>
              <w:t>2011</w:t>
            </w:r>
          </w:p>
        </w:tc>
        <w:tc>
          <w:tcPr>
            <w:tcW w:w="4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jc w:val="right"/>
              <w:ind w:right="199"/>
              <w:spacing w:after="0" w:line="121" w:lineRule="exact"/>
              <w:rPr>
                <w:sz w:val="20"/>
                <w:szCs w:val="20"/>
                <w:color w:val="auto"/>
              </w:rPr>
            </w:pPr>
            <w:r>
              <w:rPr>
                <w:rFonts w:ascii="Arial" w:cs="Arial" w:eastAsia="Arial" w:hAnsi="Arial"/>
                <w:sz w:val="11"/>
                <w:szCs w:val="11"/>
                <w:color w:val="auto"/>
              </w:rPr>
              <w:t>2011 Change</w:t>
            </w:r>
          </w:p>
        </w:tc>
        <w:tc>
          <w:tcPr>
            <w:tcW w:w="7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619"/>
              <w:spacing w:after="0" w:line="121" w:lineRule="exact"/>
              <w:rPr>
                <w:sz w:val="20"/>
                <w:szCs w:val="20"/>
                <w:color w:val="auto"/>
              </w:rPr>
            </w:pPr>
            <w:r>
              <w:rPr>
                <w:rFonts w:ascii="Arial" w:cs="Arial" w:eastAsia="Arial" w:hAnsi="Arial"/>
                <w:sz w:val="11"/>
                <w:szCs w:val="11"/>
                <w:color w:val="auto"/>
              </w:rPr>
              <w:t>2010</w:t>
            </w:r>
          </w:p>
        </w:tc>
        <w:tc>
          <w:tcPr>
            <w:tcW w:w="2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3380" w:type="dxa"/>
            <w:vAlign w:val="bottom"/>
          </w:tcPr>
          <w:p>
            <w:pPr>
              <w:spacing w:after="0" w:line="126" w:lineRule="exact"/>
              <w:rPr>
                <w:sz w:val="20"/>
                <w:szCs w:val="20"/>
                <w:color w:val="auto"/>
              </w:rPr>
            </w:pPr>
            <w:r>
              <w:rPr>
                <w:rFonts w:ascii="Arial" w:cs="Arial" w:eastAsia="Arial" w:hAnsi="Arial"/>
                <w:sz w:val="12"/>
                <w:szCs w:val="12"/>
                <w:color w:val="auto"/>
              </w:rPr>
              <w:t>Sempra Energy Consolidated</w:t>
            </w:r>
          </w:p>
        </w:tc>
        <w:tc>
          <w:tcPr>
            <w:tcW w:w="2860" w:type="dxa"/>
            <w:vAlign w:val="bottom"/>
          </w:tcPr>
          <w:p>
            <w:pPr>
              <w:jc w:val="right"/>
              <w:ind w:right="961"/>
              <w:spacing w:after="0" w:line="126"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26" w:lineRule="exact"/>
              <w:rPr>
                <w:sz w:val="20"/>
                <w:szCs w:val="20"/>
                <w:color w:val="auto"/>
              </w:rPr>
            </w:pPr>
            <w:r>
              <w:rPr>
                <w:rFonts w:ascii="Arial" w:cs="Arial" w:eastAsia="Arial" w:hAnsi="Arial"/>
                <w:sz w:val="12"/>
                <w:szCs w:val="12"/>
                <w:color w:val="auto"/>
              </w:rPr>
              <w:t>258</w:t>
            </w:r>
          </w:p>
        </w:tc>
        <w:tc>
          <w:tcPr>
            <w:tcW w:w="640" w:type="dxa"/>
            <w:vAlign w:val="bottom"/>
          </w:tcPr>
          <w:p>
            <w:pPr>
              <w:jc w:val="right"/>
              <w:ind w:right="528"/>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ind w:right="579"/>
              <w:spacing w:after="0" w:line="126" w:lineRule="exact"/>
              <w:rPr>
                <w:sz w:val="20"/>
                <w:szCs w:val="20"/>
                <w:color w:val="auto"/>
              </w:rPr>
            </w:pPr>
            <w:r>
              <w:rPr>
                <w:rFonts w:ascii="Arial" w:cs="Arial" w:eastAsia="Arial" w:hAnsi="Arial"/>
                <w:sz w:val="12"/>
                <w:szCs w:val="12"/>
                <w:color w:val="auto"/>
              </w:rPr>
              <w:t>538</w:t>
            </w:r>
          </w:p>
        </w:tc>
        <w:tc>
          <w:tcPr>
            <w:tcW w:w="700" w:type="dxa"/>
            <w:vAlign w:val="bottom"/>
          </w:tcPr>
          <w:p>
            <w:pPr>
              <w:jc w:val="right"/>
              <w:ind w:right="118"/>
              <w:spacing w:after="0" w:line="126" w:lineRule="exact"/>
              <w:rPr>
                <w:sz w:val="20"/>
                <w:szCs w:val="20"/>
                <w:color w:val="auto"/>
              </w:rPr>
            </w:pPr>
            <w:r>
              <w:rPr>
                <w:rFonts w:ascii="Arial" w:cs="Arial" w:eastAsia="Arial" w:hAnsi="Arial"/>
                <w:sz w:val="12"/>
                <w:szCs w:val="12"/>
                <w:color w:val="auto"/>
              </w:rPr>
              <w:t>192</w:t>
            </w:r>
          </w:p>
        </w:tc>
        <w:tc>
          <w:tcPr>
            <w:tcW w:w="640" w:type="dxa"/>
            <w:vAlign w:val="bottom"/>
          </w:tcPr>
          <w:p>
            <w:pPr>
              <w:jc w:val="right"/>
              <w:ind w:right="238"/>
              <w:spacing w:after="0" w:line="126" w:lineRule="exact"/>
              <w:rPr>
                <w:sz w:val="20"/>
                <w:szCs w:val="20"/>
                <w:color w:val="auto"/>
              </w:rPr>
            </w:pPr>
            <w:r>
              <w:rPr>
                <w:rFonts w:ascii="Arial" w:cs="Arial" w:eastAsia="Arial" w:hAnsi="Arial"/>
                <w:sz w:val="12"/>
                <w:szCs w:val="12"/>
                <w:color w:val="auto"/>
              </w:rPr>
              <w:t>%$</w:t>
            </w:r>
          </w:p>
        </w:tc>
        <w:tc>
          <w:tcPr>
            <w:tcW w:w="1220" w:type="dxa"/>
            <w:vAlign w:val="bottom"/>
          </w:tcPr>
          <w:p>
            <w:pPr>
              <w:jc w:val="right"/>
              <w:spacing w:after="0" w:line="126" w:lineRule="exact"/>
              <w:rPr>
                <w:sz w:val="20"/>
                <w:szCs w:val="20"/>
                <w:color w:val="auto"/>
              </w:rPr>
            </w:pPr>
            <w:r>
              <w:rPr>
                <w:rFonts w:ascii="Arial" w:cs="Arial" w:eastAsia="Arial" w:hAnsi="Arial"/>
                <w:sz w:val="12"/>
                <w:szCs w:val="12"/>
                <w:color w:val="auto"/>
              </w:rPr>
              <w:t>(280)</w:t>
            </w:r>
          </w:p>
        </w:tc>
        <w:tc>
          <w:tcPr>
            <w:tcW w:w="20" w:type="dxa"/>
            <w:vAlign w:val="bottom"/>
          </w:tcPr>
          <w:p>
            <w:pPr>
              <w:spacing w:after="0"/>
              <w:rPr>
                <w:sz w:val="10"/>
                <w:szCs w:val="10"/>
                <w:color w:val="auto"/>
              </w:rPr>
            </w:pPr>
          </w:p>
        </w:tc>
      </w:tr>
      <w:tr>
        <w:trPr>
          <w:trHeight w:val="134"/>
        </w:trPr>
        <w:tc>
          <w:tcPr>
            <w:tcW w:w="3400" w:type="dxa"/>
            <w:vAlign w:val="bottom"/>
            <w:gridSpan w:val="2"/>
          </w:tcPr>
          <w:p>
            <w:pPr>
              <w:spacing w:after="0" w:line="134" w:lineRule="exact"/>
              <w:rPr>
                <w:sz w:val="20"/>
                <w:szCs w:val="20"/>
                <w:color w:val="auto"/>
              </w:rPr>
            </w:pPr>
            <w:r>
              <w:rPr>
                <w:rFonts w:ascii="Arial" w:cs="Arial" w:eastAsia="Arial" w:hAnsi="Arial"/>
                <w:sz w:val="12"/>
                <w:szCs w:val="12"/>
                <w:color w:val="auto"/>
              </w:rPr>
              <w:t>SDG&amp;E</w:t>
            </w:r>
          </w:p>
        </w:tc>
        <w:tc>
          <w:tcPr>
            <w:tcW w:w="2860" w:type="dxa"/>
            <w:vAlign w:val="bottom"/>
          </w:tcPr>
          <w:p>
            <w:pPr>
              <w:spacing w:after="0"/>
              <w:rPr>
                <w:sz w:val="11"/>
                <w:szCs w:val="11"/>
                <w:color w:val="auto"/>
              </w:rPr>
            </w:pPr>
          </w:p>
        </w:tc>
        <w:tc>
          <w:tcPr>
            <w:tcW w:w="480" w:type="dxa"/>
            <w:vAlign w:val="bottom"/>
          </w:tcPr>
          <w:p>
            <w:pPr>
              <w:jc w:val="right"/>
              <w:spacing w:after="0" w:line="134" w:lineRule="exact"/>
              <w:rPr>
                <w:sz w:val="20"/>
                <w:szCs w:val="20"/>
                <w:color w:val="auto"/>
              </w:rPr>
            </w:pPr>
            <w:r>
              <w:rPr>
                <w:rFonts w:ascii="Arial" w:cs="Arial" w:eastAsia="Arial" w:hAnsi="Arial"/>
                <w:sz w:val="12"/>
                <w:szCs w:val="12"/>
                <w:color w:val="auto"/>
              </w:rPr>
              <w:t>196</w:t>
            </w:r>
          </w:p>
        </w:tc>
        <w:tc>
          <w:tcPr>
            <w:tcW w:w="640" w:type="dxa"/>
            <w:vAlign w:val="bottom"/>
          </w:tcPr>
          <w:p>
            <w:pPr>
              <w:spacing w:after="0"/>
              <w:rPr>
                <w:sz w:val="11"/>
                <w:szCs w:val="11"/>
                <w:color w:val="auto"/>
              </w:rPr>
            </w:pPr>
          </w:p>
        </w:tc>
        <w:tc>
          <w:tcPr>
            <w:tcW w:w="1520" w:type="dxa"/>
            <w:vAlign w:val="bottom"/>
          </w:tcPr>
          <w:p>
            <w:pPr>
              <w:jc w:val="right"/>
              <w:ind w:right="579"/>
              <w:spacing w:after="0" w:line="134" w:lineRule="exact"/>
              <w:rPr>
                <w:sz w:val="20"/>
                <w:szCs w:val="20"/>
                <w:color w:val="auto"/>
              </w:rPr>
            </w:pPr>
            <w:r>
              <w:rPr>
                <w:rFonts w:ascii="Arial" w:cs="Arial" w:eastAsia="Arial" w:hAnsi="Arial"/>
                <w:sz w:val="12"/>
                <w:szCs w:val="12"/>
                <w:color w:val="auto"/>
              </w:rPr>
              <w:t>170</w:t>
            </w:r>
          </w:p>
        </w:tc>
        <w:tc>
          <w:tcPr>
            <w:tcW w:w="7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654</w:t>
            </w:r>
          </w:p>
        </w:tc>
        <w:tc>
          <w:tcPr>
            <w:tcW w:w="640" w:type="dxa"/>
            <w:vAlign w:val="bottom"/>
          </w:tcPr>
          <w:p>
            <w:pPr>
              <w:spacing w:after="0"/>
              <w:rPr>
                <w:sz w:val="11"/>
                <w:szCs w:val="11"/>
                <w:color w:val="auto"/>
              </w:rPr>
            </w:pPr>
          </w:p>
        </w:tc>
        <w:tc>
          <w:tcPr>
            <w:tcW w:w="1220" w:type="dxa"/>
            <w:vAlign w:val="bottom"/>
          </w:tcPr>
          <w:p>
            <w:pPr>
              <w:jc w:val="right"/>
              <w:spacing w:after="0" w:line="134" w:lineRule="exact"/>
              <w:rPr>
                <w:sz w:val="20"/>
                <w:szCs w:val="20"/>
                <w:color w:val="auto"/>
              </w:rPr>
            </w:pPr>
            <w:r>
              <w:rPr>
                <w:rFonts w:ascii="Arial" w:cs="Arial" w:eastAsia="Arial" w:hAnsi="Arial"/>
                <w:sz w:val="12"/>
                <w:szCs w:val="12"/>
                <w:color w:val="auto"/>
              </w:rPr>
              <w:t>26</w:t>
            </w:r>
          </w:p>
        </w:tc>
        <w:tc>
          <w:tcPr>
            <w:tcW w:w="20" w:type="dxa"/>
            <w:vAlign w:val="bottom"/>
          </w:tcPr>
          <w:p>
            <w:pPr>
              <w:spacing w:after="0"/>
              <w:rPr>
                <w:sz w:val="11"/>
                <w:szCs w:val="11"/>
                <w:color w:val="auto"/>
              </w:rPr>
            </w:pPr>
          </w:p>
        </w:tc>
      </w:tr>
      <w:tr>
        <w:trPr>
          <w:trHeight w:val="134"/>
        </w:trPr>
        <w:tc>
          <w:tcPr>
            <w:tcW w:w="3400" w:type="dxa"/>
            <w:vAlign w:val="bottom"/>
            <w:gridSpan w:val="2"/>
          </w:tcPr>
          <w:p>
            <w:pPr>
              <w:spacing w:after="0" w:line="134" w:lineRule="exact"/>
              <w:rPr>
                <w:sz w:val="20"/>
                <w:szCs w:val="20"/>
                <w:color w:val="auto"/>
              </w:rPr>
            </w:pPr>
            <w:r>
              <w:rPr>
                <w:rFonts w:ascii="Arial" w:cs="Arial" w:eastAsia="Arial" w:hAnsi="Arial"/>
                <w:sz w:val="12"/>
                <w:szCs w:val="12"/>
                <w:color w:val="auto"/>
              </w:rPr>
              <w:t>PE</w:t>
            </w:r>
          </w:p>
        </w:tc>
        <w:tc>
          <w:tcPr>
            <w:tcW w:w="2860" w:type="dxa"/>
            <w:vAlign w:val="bottom"/>
          </w:tcPr>
          <w:p>
            <w:pPr>
              <w:spacing w:after="0"/>
              <w:rPr>
                <w:sz w:val="11"/>
                <w:szCs w:val="11"/>
                <w:color w:val="auto"/>
              </w:rPr>
            </w:pPr>
          </w:p>
        </w:tc>
        <w:tc>
          <w:tcPr>
            <w:tcW w:w="480" w:type="dxa"/>
            <w:vAlign w:val="bottom"/>
          </w:tcPr>
          <w:p>
            <w:pPr>
              <w:jc w:val="right"/>
              <w:spacing w:after="0" w:line="134" w:lineRule="exact"/>
              <w:rPr>
                <w:sz w:val="20"/>
                <w:szCs w:val="20"/>
                <w:color w:val="auto"/>
              </w:rPr>
            </w:pPr>
            <w:r>
              <w:rPr>
                <w:rFonts w:ascii="Arial" w:cs="Arial" w:eastAsia="Arial" w:hAnsi="Arial"/>
                <w:sz w:val="12"/>
                <w:szCs w:val="12"/>
                <w:color w:val="auto"/>
              </w:rPr>
              <w:t>(301)</w:t>
            </w:r>
          </w:p>
        </w:tc>
        <w:tc>
          <w:tcPr>
            <w:tcW w:w="640" w:type="dxa"/>
            <w:vAlign w:val="bottom"/>
          </w:tcPr>
          <w:p>
            <w:pPr>
              <w:spacing w:after="0"/>
              <w:rPr>
                <w:sz w:val="11"/>
                <w:szCs w:val="11"/>
                <w:color w:val="auto"/>
              </w:rPr>
            </w:pPr>
          </w:p>
        </w:tc>
        <w:tc>
          <w:tcPr>
            <w:tcW w:w="1520" w:type="dxa"/>
            <w:vAlign w:val="bottom"/>
          </w:tcPr>
          <w:p>
            <w:pPr>
              <w:jc w:val="right"/>
              <w:ind w:right="539"/>
              <w:spacing w:after="0" w:line="134" w:lineRule="exact"/>
              <w:rPr>
                <w:sz w:val="20"/>
                <w:szCs w:val="20"/>
                <w:color w:val="auto"/>
              </w:rPr>
            </w:pPr>
            <w:r>
              <w:rPr>
                <w:rFonts w:ascii="Arial" w:cs="Arial" w:eastAsia="Arial" w:hAnsi="Arial"/>
                <w:sz w:val="12"/>
                <w:szCs w:val="12"/>
                <w:color w:val="auto"/>
              </w:rPr>
              <w:t>(200)</w:t>
            </w:r>
          </w:p>
        </w:tc>
        <w:tc>
          <w:tcPr>
            <w:tcW w:w="700" w:type="dxa"/>
            <w:vAlign w:val="bottom"/>
          </w:tcPr>
          <w:p>
            <w:pPr>
              <w:jc w:val="right"/>
              <w:ind w:right="98"/>
              <w:spacing w:after="0" w:line="134" w:lineRule="exact"/>
              <w:rPr>
                <w:sz w:val="20"/>
                <w:szCs w:val="20"/>
                <w:color w:val="auto"/>
              </w:rPr>
            </w:pPr>
            <w:r>
              <w:rPr>
                <w:rFonts w:ascii="Arial" w:cs="Arial" w:eastAsia="Arial" w:hAnsi="Arial"/>
                <w:sz w:val="12"/>
                <w:szCs w:val="12"/>
                <w:color w:val="auto"/>
              </w:rPr>
              <w:t>(198)</w:t>
            </w:r>
          </w:p>
        </w:tc>
        <w:tc>
          <w:tcPr>
            <w:tcW w:w="640" w:type="dxa"/>
            <w:vAlign w:val="bottom"/>
          </w:tcPr>
          <w:p>
            <w:pPr>
              <w:spacing w:after="0"/>
              <w:rPr>
                <w:sz w:val="11"/>
                <w:szCs w:val="11"/>
                <w:color w:val="auto"/>
              </w:rPr>
            </w:pPr>
          </w:p>
        </w:tc>
        <w:tc>
          <w:tcPr>
            <w:tcW w:w="12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(101)</w:t>
            </w:r>
          </w:p>
        </w:tc>
      </w:tr>
      <w:tr>
        <w:trPr>
          <w:trHeight w:val="144"/>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SoCalGas</w:t>
            </w:r>
          </w:p>
        </w:tc>
        <w:tc>
          <w:tcPr>
            <w:tcW w:w="28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w:t>
            </w:r>
          </w:p>
        </w:tc>
        <w:tc>
          <w:tcPr>
            <w:tcW w:w="6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color w:val="auto"/>
              </w:rPr>
              <w:t>(200)</w:t>
            </w:r>
          </w:p>
        </w:tc>
        <w:tc>
          <w:tcPr>
            <w:tcW w:w="7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(200)</w:t>
            </w:r>
          </w:p>
        </w:tc>
        <w:tc>
          <w:tcPr>
            <w:tcW w:w="6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(100)</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Energy Consolidated</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Cash provided by financing activities at Sempra Energy increased in 2011 primarily due to:</w:t>
      </w:r>
    </w:p>
    <w:p>
      <w:pPr>
        <w:spacing w:after="0" w:line="170" w:lineRule="exact"/>
        <w:rPr>
          <w:sz w:val="20"/>
          <w:szCs w:val="20"/>
          <w:color w:val="auto"/>
        </w:rPr>
      </w:pPr>
    </w:p>
    <w:p>
      <w:pPr>
        <w:ind w:left="260" w:hanging="147"/>
        <w:spacing w:after="0"/>
        <w:tabs>
          <w:tab w:leader="none" w:pos="2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$791 million higher issuances of long-term debt; and</w:t>
      </w:r>
    </w:p>
    <w:p>
      <w:pPr>
        <w:spacing w:after="0" w:line="186" w:lineRule="exact"/>
        <w:rPr>
          <w:rFonts w:ascii="Arial" w:cs="Arial" w:eastAsia="Arial" w:hAnsi="Arial"/>
          <w:sz w:val="14"/>
          <w:szCs w:val="14"/>
          <w:color w:val="auto"/>
        </w:rPr>
      </w:pPr>
    </w:p>
    <w:p>
      <w:pPr>
        <w:ind w:left="260" w:hanging="147"/>
        <w:spacing w:after="0"/>
        <w:tabs>
          <w:tab w:leader="none" w:pos="2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 xml:space="preserve">$247 million lower debt payments; </w:t>
      </w:r>
      <w:r>
        <w:rPr>
          <w:rFonts w:ascii="Arial" w:cs="Arial" w:eastAsia="Arial" w:hAnsi="Arial"/>
          <w:sz w:val="14"/>
          <w:szCs w:val="14"/>
          <w:b w:val="1"/>
          <w:bCs w:val="1"/>
          <w:color w:val="auto"/>
        </w:rPr>
        <w:t>offset by</w:t>
      </w:r>
    </w:p>
    <w:p>
      <w:pPr>
        <w:spacing w:after="0" w:line="194" w:lineRule="exact"/>
        <w:rPr>
          <w:rFonts w:ascii="Arial" w:cs="Arial" w:eastAsia="Arial" w:hAnsi="Arial"/>
          <w:sz w:val="14"/>
          <w:szCs w:val="14"/>
          <w:color w:val="auto"/>
        </w:rPr>
      </w:pPr>
    </w:p>
    <w:p>
      <w:pPr>
        <w:ind w:left="260" w:hanging="147"/>
        <w:spacing w:after="0"/>
        <w:tabs>
          <w:tab w:leader="none" w:pos="2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 $192 million decrease in short-term debt in 2011 compared to a $294 million increase in 2010.</w:t>
      </w: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SDG&amp;E</w:t>
      </w:r>
    </w:p>
    <w:p>
      <w:pPr>
        <w:spacing w:after="0" w:line="160" w:lineRule="exact"/>
        <w:rPr>
          <w:sz w:val="20"/>
          <w:szCs w:val="20"/>
          <w:color w:val="auto"/>
        </w:rPr>
      </w:pPr>
    </w:p>
    <w:p>
      <w:pPr>
        <w:ind w:right="280"/>
        <w:spacing w:after="0" w:line="267" w:lineRule="auto"/>
        <w:rPr>
          <w:sz w:val="20"/>
          <w:szCs w:val="20"/>
          <w:color w:val="auto"/>
        </w:rPr>
      </w:pPr>
      <w:r>
        <w:rPr>
          <w:rFonts w:ascii="Arial" w:cs="Arial" w:eastAsia="Arial" w:hAnsi="Arial"/>
          <w:sz w:val="14"/>
          <w:szCs w:val="14"/>
          <w:color w:val="auto"/>
        </w:rPr>
        <w:t>Cash provided by financing activities at SDG&amp;E increased in 2011 primarily due to a $200 million capital contribution from Sempra Energy in 2011; offset by a $27 million increase in short-term debt in 2010.</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PE and SoCalGas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Cash used in financing activities at PE and SoCalGas increased in 2011 primarily due to:</w:t>
      </w:r>
    </w:p>
    <w:p>
      <w:pPr>
        <w:spacing w:after="0" w:line="149" w:lineRule="exact"/>
        <w:rPr>
          <w:sz w:val="20"/>
          <w:szCs w:val="20"/>
          <w:color w:val="auto"/>
        </w:rPr>
      </w:pPr>
    </w:p>
    <w:p>
      <w:pPr>
        <w:ind w:left="260" w:hanging="147"/>
        <w:spacing w:after="0"/>
        <w:tabs>
          <w:tab w:leader="none" w:pos="2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 $250 million long-term debt payment at SoCalGas in 2011; and</w:t>
      </w:r>
    </w:p>
    <w:p>
      <w:pPr>
        <w:spacing w:after="0" w:line="186" w:lineRule="exact"/>
        <w:rPr>
          <w:rFonts w:ascii="Arial" w:cs="Arial" w:eastAsia="Arial" w:hAnsi="Arial"/>
          <w:sz w:val="14"/>
          <w:szCs w:val="14"/>
          <w:color w:val="auto"/>
        </w:rPr>
      </w:pPr>
    </w:p>
    <w:p>
      <w:pPr>
        <w:ind w:left="260" w:hanging="147"/>
        <w:spacing w:after="0"/>
        <w:tabs>
          <w:tab w:leader="none" w:pos="2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 xml:space="preserve">$50 million in common dividends paid in 2011; </w:t>
      </w:r>
      <w:r>
        <w:rPr>
          <w:rFonts w:ascii="Arial" w:cs="Arial" w:eastAsia="Arial" w:hAnsi="Arial"/>
          <w:sz w:val="14"/>
          <w:szCs w:val="14"/>
          <w:b w:val="1"/>
          <w:bCs w:val="1"/>
          <w:color w:val="auto"/>
        </w:rPr>
        <w:t>offset by</w:t>
      </w:r>
    </w:p>
    <w:p>
      <w:pPr>
        <w:spacing w:after="0" w:line="194" w:lineRule="exact"/>
        <w:rPr>
          <w:rFonts w:ascii="Arial" w:cs="Arial" w:eastAsia="Arial" w:hAnsi="Arial"/>
          <w:sz w:val="14"/>
          <w:szCs w:val="14"/>
          <w:color w:val="auto"/>
        </w:rPr>
      </w:pPr>
    </w:p>
    <w:p>
      <w:pPr>
        <w:ind w:left="260" w:hanging="147"/>
        <w:spacing w:after="0"/>
        <w:tabs>
          <w:tab w:leader="none" w:pos="2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$100 million in common dividends paid in 2010.</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COMMITMENTS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We discuss significant changes to contractual commitments at Sempra Energy, SDG&amp;E, PE and SoCalGas in Note 10 of the Notes to Condensed Consolidated Financial Statements herein.</w:t>
      </w: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CREDIT RATINGS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The credit ratings of Sempra Energy and its principal subsidiaries remained at investment grade levels during the first quarter of 2011.</w:t>
      </w:r>
    </w:p>
    <w:p>
      <w:pPr>
        <w:spacing w:after="0" w:line="170"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We provide additional information about our credit ratings at Sempra Energy, SDG&amp;E, PE and SoCalGas in “Management’s Discussion and Analysis of Financial Condition and Results of Operations”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252095</wp:posOffset>
            </wp:positionV>
            <wp:extent cx="729170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1705" cy="635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FACTORS INFLUENCING FUTURE PERFORMANCE</w:t>
      </w:r>
    </w:p>
    <w:p>
      <w:pPr>
        <w:sectPr>
          <w:pgSz w:w="11900" w:h="16838" w:orient="portrait"/>
          <w:cols w:equalWidth="0" w:num="1">
            <w:col w:w="11460"/>
          </w:cols>
          <w:pgMar w:left="220" w:top="122" w:right="219" w:bottom="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color w:val="auto"/>
        </w:rPr>
        <w:t>SEMPRA ENERGY OVERVIEW</w:t>
      </w:r>
    </w:p>
    <w:p>
      <w:pPr>
        <w:spacing w:after="0" w:line="177" w:lineRule="exact"/>
        <w:rPr>
          <w:sz w:val="20"/>
          <w:szCs w:val="20"/>
          <w:color w:val="auto"/>
        </w:rPr>
      </w:pPr>
    </w:p>
    <w:p>
      <w:pPr>
        <w:ind w:right="220"/>
        <w:spacing w:after="0" w:line="267" w:lineRule="auto"/>
        <w:rPr>
          <w:sz w:val="20"/>
          <w:szCs w:val="20"/>
          <w:color w:val="auto"/>
        </w:rPr>
      </w:pPr>
      <w:r>
        <w:rPr>
          <w:rFonts w:ascii="Arial" w:cs="Arial" w:eastAsia="Arial" w:hAnsi="Arial"/>
          <w:sz w:val="14"/>
          <w:szCs w:val="14"/>
          <w:color w:val="auto"/>
        </w:rPr>
        <w:t>The Sempra Utilities' operations generally provide relatively stable earnings and liquidity. However, for the next few years, SDG&amp;E and SoCalGas intend to limit their common stock dividends to reinvest their earnings in significant capital projects.</w:t>
      </w:r>
    </w:p>
    <w:p>
      <w:pPr>
        <w:spacing w:after="0" w:line="138" w:lineRule="exact"/>
        <w:rPr>
          <w:sz w:val="20"/>
          <w:szCs w:val="20"/>
          <w:color w:val="auto"/>
        </w:rPr>
      </w:pPr>
    </w:p>
    <w:p>
      <w:pPr>
        <w:jc w:val="both"/>
        <w:ind w:right="60"/>
        <w:spacing w:after="0" w:line="344" w:lineRule="auto"/>
        <w:rPr>
          <w:sz w:val="20"/>
          <w:szCs w:val="20"/>
          <w:color w:val="auto"/>
        </w:rPr>
      </w:pPr>
      <w:r>
        <w:rPr>
          <w:rFonts w:ascii="Arial" w:cs="Arial" w:eastAsia="Arial" w:hAnsi="Arial"/>
          <w:sz w:val="11"/>
          <w:szCs w:val="11"/>
          <w:color w:val="auto"/>
        </w:rPr>
        <w:t>Long-term contracts at Sempra Global's businesses generally provide relatively stable earnings and liquidity, but are subject to variability due to fluctuations in commodity prices. Also, Sempra Generation's contract with the DWR, which provides a significant portion of Sempra Generation's revenues, ends in September 2011, and Sempra Generation will sell its El Dorado natural gas generation plant to SDG&amp;E on October 1, 2011. Based on current market prices for electricity, contracts it enters into to replace the DWR contract, if obtained, or merchant (daily) sales will provide substantially lower earnings. Sempra Generation is also undertaking and investing in several projects for the construction of renewable generation facilities, with planned in-service dates ranging from mid-2011 to 2013.</w:t>
      </w:r>
    </w:p>
    <w:p>
      <w:pPr>
        <w:spacing w:after="0" w:line="102"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On April 6, 2011, Sempra Pipelines &amp; Storage increased its investment in two utilities in South America. We expect the acquisition to be accretive to our earnings per share. We discuss the acquisition in Note 12 of the Notes to Condensed Consolidated Financial Statements herein. Sempra Pipelines &amp; Storage is also expected to provide earnings from construction projects when completed and other investments, but will require substantial funding for these investments.</w:t>
      </w:r>
    </w:p>
    <w:p>
      <w:pPr>
        <w:spacing w:after="0" w:line="146" w:lineRule="exact"/>
        <w:rPr>
          <w:sz w:val="20"/>
          <w:szCs w:val="20"/>
          <w:color w:val="auto"/>
        </w:rPr>
      </w:pPr>
    </w:p>
    <w:p>
      <w:pPr>
        <w:ind w:right="300"/>
        <w:spacing w:after="0" w:line="267" w:lineRule="auto"/>
        <w:rPr>
          <w:sz w:val="20"/>
          <w:szCs w:val="20"/>
          <w:color w:val="auto"/>
        </w:rPr>
      </w:pPr>
      <w:r>
        <w:rPr>
          <w:rFonts w:ascii="Arial" w:cs="Arial" w:eastAsia="Arial" w:hAnsi="Arial"/>
          <w:sz w:val="14"/>
          <w:szCs w:val="14"/>
          <w:color w:val="auto"/>
        </w:rPr>
        <w:t>At Sempra LNG, until there are firm LNG supply or capacity services contracts from third parties that would subscribe to 100 percent of the capacity of Sempra LNG's Cameron receipt terminal, Sempra LNG will seek to purchase short-term LNG supplies and sell short-term capacity, which may result in greater variability in revenues and earnings.</w:t>
      </w:r>
    </w:p>
    <w:p>
      <w:pPr>
        <w:spacing w:after="0" w:line="138" w:lineRule="exact"/>
        <w:rPr>
          <w:sz w:val="20"/>
          <w:szCs w:val="20"/>
          <w:color w:val="auto"/>
        </w:rPr>
      </w:pPr>
    </w:p>
    <w:p>
      <w:pPr>
        <w:ind w:right="60"/>
        <w:spacing w:after="0" w:line="249" w:lineRule="auto"/>
        <w:rPr>
          <w:sz w:val="20"/>
          <w:szCs w:val="20"/>
          <w:color w:val="auto"/>
        </w:rPr>
      </w:pPr>
      <w:r>
        <w:rPr>
          <w:rFonts w:ascii="Arial" w:cs="Arial" w:eastAsia="Arial" w:hAnsi="Arial"/>
          <w:sz w:val="14"/>
          <w:szCs w:val="14"/>
          <w:color w:val="auto"/>
        </w:rPr>
        <w:t>The Sempra Utilities' performance will depend primarily on the ratemaking and regulatory process, environmental regulations, economic conditions, actions by the California legislature to address the state budget crisis and the changing energy marketplace. Their performance will also depend on the successful completion of capital projects that we discuss in various sections of this report. In the third quarter of 2009, SDG&amp;E's liability insurance premiums increased significantly, by approximately $40 million (pretax) annually, due to the increased costs of wildfire liability coverage as compared to the previous policy year. In the third quarter of 2010, SDG&amp;E secured additional insurance coverage of approximately $560 million, providing SDG&amp;E with maximum loss recovery due to a wildfire incident from insurance carriers of approximately $960 million, with the remainder of Sempra Energy's business units' maximum coverage for a wildfire incident remaining at $400 million, the same as in the previous policy year. As a result of the increase in SDG&amp;E's wildfire liability insurance coverage in the third quarter of 2010, SDG&amp;E's insurance premiums increased by approximately $30 million (pretax) annually for the increased coverage.</w:t>
      </w:r>
    </w:p>
    <w:p>
      <w:pPr>
        <w:spacing w:after="0" w:line="154" w:lineRule="exact"/>
        <w:rPr>
          <w:sz w:val="20"/>
          <w:szCs w:val="20"/>
          <w:color w:val="auto"/>
        </w:rPr>
      </w:pPr>
    </w:p>
    <w:p>
      <w:pPr>
        <w:ind w:right="100"/>
        <w:spacing w:after="0" w:line="249" w:lineRule="auto"/>
        <w:rPr>
          <w:sz w:val="20"/>
          <w:szCs w:val="20"/>
          <w:color w:val="auto"/>
        </w:rPr>
      </w:pPr>
      <w:r>
        <w:rPr>
          <w:rFonts w:ascii="Arial" w:cs="Arial" w:eastAsia="Arial" w:hAnsi="Arial"/>
          <w:sz w:val="14"/>
          <w:szCs w:val="14"/>
          <w:color w:val="auto"/>
        </w:rPr>
        <w:t>In regard to the 2007 wildfire litigation, SDG&amp;E's settlement of claims and the estimate of outstanding claims and legal fees is approximately $1.9 billion, which is in excess of the $1.1 billion of liability insurance coverage and the $444 million of proceeds received as a result of the settlement with Cox Communications. However, SDG&amp;E has concluded that it is probable that it will be permitted to recover from its utility customers substantially all reasonably incurred costs of resolving wildfire claims in excess of its liability insurance coverage and amounts recovered from other potentially responsible parties. Consequently, Sempra Energy and SDG&amp;E expect no significant earnings impact from the resolution of the remaining wildfire claims. However, SDG&amp;E’s cash flow may be adversely affected by timing differences between the resolution of claims and recoveries from other potentially responsible parties and utility customers, which may extend over a number of years. In addition, recovery from customers will require future regulatory actions, and a failure to obtain recovery, or any negative assessment of the likelihood of recovery, would likely have a material adverse effect on Sempra Energy's and SDG&amp;E's cash flows and results of operations.</w:t>
      </w:r>
    </w:p>
    <w:p>
      <w:pPr>
        <w:spacing w:after="0" w:line="154" w:lineRule="exact"/>
        <w:rPr>
          <w:sz w:val="20"/>
          <w:szCs w:val="20"/>
          <w:color w:val="auto"/>
        </w:rPr>
      </w:pPr>
    </w:p>
    <w:p>
      <w:pPr>
        <w:ind w:right="120"/>
        <w:spacing w:after="0" w:line="359" w:lineRule="auto"/>
        <w:rPr>
          <w:sz w:val="20"/>
          <w:szCs w:val="20"/>
          <w:color w:val="auto"/>
        </w:rPr>
      </w:pPr>
      <w:r>
        <w:rPr>
          <w:rFonts w:ascii="Arial" w:cs="Arial" w:eastAsia="Arial" w:hAnsi="Arial"/>
          <w:sz w:val="11"/>
          <w:szCs w:val="11"/>
          <w:color w:val="auto"/>
        </w:rPr>
        <w:t>SDG&amp;E will continue to gather information to evaluate and assess the remaining wildfire claims and the likelihood, amount and timing of related recoveries from other potentially responsible parties and utility customers and will make appropriate adjustments to wildfire reserves and the related regulatory asset as additional information becomes available. We provide additional information concerning these matters in Notes 9 and 10 of the Notes to Condensed Consolidated Financial Statements herein and in Notes 14, 15 and 16 of the Notes to Consolidated Financial Statements in the Annual Report.</w:t>
      </w:r>
    </w:p>
    <w:p>
      <w:pPr>
        <w:spacing w:after="0" w:line="94" w:lineRule="exact"/>
        <w:rPr>
          <w:sz w:val="20"/>
          <w:szCs w:val="20"/>
          <w:color w:val="auto"/>
        </w:rPr>
      </w:pPr>
    </w:p>
    <w:p>
      <w:pPr>
        <w:ind w:right="60"/>
        <w:spacing w:after="0" w:line="332" w:lineRule="auto"/>
        <w:rPr>
          <w:sz w:val="20"/>
          <w:szCs w:val="20"/>
          <w:color w:val="auto"/>
        </w:rPr>
      </w:pPr>
      <w:r>
        <w:rPr>
          <w:rFonts w:ascii="Arial" w:cs="Arial" w:eastAsia="Arial" w:hAnsi="Arial"/>
          <w:sz w:val="11"/>
          <w:szCs w:val="11"/>
          <w:color w:val="auto"/>
        </w:rPr>
        <w:t>SDG&amp;E has a 20-percent ownership interest in San Onofre Nuclear Generating Station (SONGS), a 2,150-MW nuclear generating facility near San Clemente, California. SONGS is operated by Southern California Edison (SCE) and is subject to the jurisdiction of the Nuclear Regulatory Commission (NRC). SCE is currently addressing a number of regulatory and performance issues at SONGS, and the NRC has required SCE to take actions to provide greater assurance of compliance by SONGS personnel. SCE continues to implement plans and address the identified issues, however a number of these issues remain outstanding. To the extent that these issues persist, the likelihood of further required action by SCE persists, which may result in increased SONGS operating costs and/or adversely impacted operations. Currently, SDG&amp;E is allowed to fully offset its share of SONGS operating costs in revenue. If further action is required, it may result in an increase in SDG&amp;E’s Operation and Maintenance Expense, with any increase being fully offset in Operating Revenues – Electric or, if electric generation is adversely impacted, require SDG&amp;E to procure additional electricity supply from other sources.</w:t>
      </w:r>
    </w:p>
    <w:p>
      <w:pPr>
        <w:spacing w:after="0" w:line="108"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color w:val="auto"/>
        </w:rPr>
        <w:t>In light of the aftermath and the significant safety events at the Fukushima Daiichi nuclear plant in Japan resulting from the recent earthquake and tsunami, the NRC plans to perform additional operation and safety reviews of nuclear facilities in the United States. The lessons learned from the events in Japan and the results of the NRC reviews may impact future operations and capital requirements at nuclear facilities in the United States, including the operations and capital requirements at SONGS. We provide more information about SONGS in Note 10 of the Notes to Condensed Consolidated Financial Statements herein and in Notes 6, 14 and 16 of the Notes to Consolidated Financial Statements in the Annual Report.</w:t>
      </w:r>
    </w:p>
    <w:p>
      <w:pPr>
        <w:spacing w:after="0" w:line="148" w:lineRule="exact"/>
        <w:rPr>
          <w:sz w:val="20"/>
          <w:szCs w:val="20"/>
          <w:color w:val="auto"/>
        </w:rPr>
      </w:pPr>
    </w:p>
    <w:p>
      <w:pPr>
        <w:ind w:right="80"/>
        <w:spacing w:after="0" w:line="251" w:lineRule="auto"/>
        <w:rPr>
          <w:sz w:val="20"/>
          <w:szCs w:val="20"/>
          <w:color w:val="auto"/>
        </w:rPr>
      </w:pPr>
      <w:r>
        <w:rPr>
          <w:rFonts w:ascii="Arial" w:cs="Arial" w:eastAsia="Arial" w:hAnsi="Arial"/>
          <w:sz w:val="14"/>
          <w:szCs w:val="14"/>
          <w:color w:val="auto"/>
        </w:rPr>
        <w:t>Pending the outcome of the various regulatory agency evaluations of natural gas pipeline safety regulations, practices and procedures, Sempra Energy, including the Sempra Utilities, may incur incremental expense and capital investment associated with its natural gas pipeline operations and investments. If incremental expense and capital investment is required by either SDG&amp;E or SoCalGas, we would expect to file a request with the CPUC to recover any incremental expenses incurred from our customers in rates and to request any capital investment required above what is approved and authorized in our 2012 GRC application as incremental rate base. We provide more information in “Natural Gas Pipeline Operations Safety Assessments” in Note 9 of the Notes to Condensed Consolidated Financial Statements herein.</w:t>
      </w:r>
    </w:p>
    <w:p>
      <w:pPr>
        <w:spacing w:after="0" w:line="150" w:lineRule="exact"/>
        <w:rPr>
          <w:sz w:val="20"/>
          <w:szCs w:val="20"/>
          <w:color w:val="auto"/>
        </w:rPr>
      </w:pPr>
    </w:p>
    <w:p>
      <w:pPr>
        <w:ind w:right="40"/>
        <w:spacing w:after="0" w:line="271" w:lineRule="auto"/>
        <w:rPr>
          <w:sz w:val="20"/>
          <w:szCs w:val="20"/>
          <w:color w:val="auto"/>
        </w:rPr>
      </w:pPr>
      <w:r>
        <w:rPr>
          <w:rFonts w:ascii="Arial" w:cs="Arial" w:eastAsia="Arial" w:hAnsi="Arial"/>
          <w:sz w:val="13"/>
          <w:szCs w:val="13"/>
          <w:color w:val="auto"/>
        </w:rPr>
        <w:t>Both SDG&amp;E and SoCalGas have filed their 2012 GRC applications with the CPUC to establish their authorized revenue requirements for the 2012 Test Year and the ratemaking mechanisms to update the authorized revenue on an annual basis over the subsequent three-year (2013-2015) period. Since these applications were filed, Congress passed the 2010 Tax Act which, among other things, included provisions for companies to elect bonus depreciation on certain investments made after September 8, 2010 through December 31, 2012 for federal income tax purposes. The use of bonus depreciation, while reducing cash tax obligations in the near term, results in incremental deferred tax liabilities which reduce both SDG&amp;E's and SoCalGas' rate base upon which authorized revenue requirements are determined. In March 2011, the Internal Revenue Service issued technical guidance on the application of the bonus depreciation provisions of the 2010 Tax Act. SDG&amp;E and SoCalGas are currently analyzing how this guidance will impact the federal income tax depreciation deductions the companies expect to claim for 2011, as well as quantifying the incremental deferred federal income tax liabilities generated. After applying the incremental deferred tax liabilities to each company’s rate base, assuming all other factors in the 2012 GRC application remain the same, it will result in revenue requirements that are less than what the companies have requested in their 2012 GRC applications.</w:t>
      </w:r>
    </w:p>
    <w:p>
      <w:pPr>
        <w:spacing w:after="0" w:line="138"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The scoping memo issued by the CPUC in March 2011 set a final decision on the GRC to be issued around the month of March 2012, with retroactive application to allow recovery of SDG&amp;E's and SoCalGas' authorized 2012 revenue requirements to January 1, 2012. If the CPUC's final decision grants a significantly lower authorized revenue requirement, it could result in an adverse effect to the Sempra Utilities' cash flows and results of operations starting in 2012. We provide more information about the GRC in Note 9 of the Notes to Condensed Consolidated Financial Statements herein and in Note 15 of the Notes to Consolidated Financial Statements in the Annual Report.</w:t>
      </w:r>
    </w:p>
    <w:p>
      <w:pPr>
        <w:spacing w:after="0" w:line="148" w:lineRule="exact"/>
        <w:rPr>
          <w:sz w:val="20"/>
          <w:szCs w:val="20"/>
          <w:color w:val="auto"/>
        </w:rPr>
      </w:pPr>
    </w:p>
    <w:p>
      <w:pPr>
        <w:ind w:right="20"/>
        <w:spacing w:after="0" w:line="271" w:lineRule="auto"/>
        <w:rPr>
          <w:sz w:val="20"/>
          <w:szCs w:val="20"/>
          <w:color w:val="auto"/>
        </w:rPr>
      </w:pPr>
      <w:r>
        <w:rPr>
          <w:rFonts w:ascii="Arial" w:cs="Arial" w:eastAsia="Arial" w:hAnsi="Arial"/>
          <w:sz w:val="13"/>
          <w:szCs w:val="13"/>
          <w:color w:val="auto"/>
        </w:rPr>
        <w:t>SDG&amp;E's next CPUC cost of capital proceeding is scheduled to be filed in April 2012 for a 2013 test year. SoCalGas has also requested to file its next CPUC cost of capital proceeding on the same schedule as SDG&amp;E. A cost of capital proceeding determines the authorized capital structure, authorized rate of return and authorized rate for recovery of debt service costs on SDG&amp;E's electric distribution and generation assets and on both companies' natural gas transmission and distribution assets. SDG&amp;E's and SoCalGas' current CPUC authorized return on equity (ROE) is 11.10 percent and 10.82 percent, respectively, with authorized common equity capital structures of 49.00 percent and 48.00 percent, respectively. If the proceedings result in either a reduction in the authorized ROE or in the authorized common equity capital structure, it would have an adverse effect on the respective company's cash flows and results of operations starting in 2013. Also, to the extent that either company's authorized rate for recovery of debt service costs is higher than their actual rate of debt service costs at the time of the cost of capital proceeding, the authorized rate for recovery of debt service costs will be reduced to the actual rate of debt service costs, which would adversely affect the respective company's cash flows and results of operations starting in 2013. We provide more information about the cost of capital proceedings in Note 15 of the Notes to Consolidated Financial Statements in the Annual Report.</w:t>
      </w:r>
    </w:p>
    <w:p>
      <w:pPr>
        <w:spacing w:after="0" w:line="138" w:lineRule="exact"/>
        <w:rPr>
          <w:sz w:val="20"/>
          <w:szCs w:val="20"/>
          <w:color w:val="auto"/>
        </w:rPr>
      </w:pPr>
    </w:p>
    <w:p>
      <w:pPr>
        <w:jc w:val="both"/>
        <w:ind w:right="160"/>
        <w:spacing w:after="0" w:line="253" w:lineRule="auto"/>
        <w:rPr>
          <w:sz w:val="20"/>
          <w:szCs w:val="20"/>
          <w:color w:val="auto"/>
        </w:rPr>
      </w:pPr>
      <w:r>
        <w:rPr>
          <w:rFonts w:ascii="Arial" w:cs="Arial" w:eastAsia="Arial" w:hAnsi="Arial"/>
          <w:sz w:val="14"/>
          <w:szCs w:val="14"/>
          <w:color w:val="auto"/>
        </w:rPr>
        <w:t>The current FERC formulaic rate methodology for SDG&amp;E's electric transmission assets will be up for review in 2013, with the new rates effective in September 2013. This proceeding will assess the rate-making methodology to be employed for SDG&amp;E's FERC-regulated operations, including a determination of SDG&amp;E's FERC-authorized ROE and recovery of operations and maintenance expenses. If this proceeding results in a reduction from SDG&amp;E's current authorized ROE of 11.35 percent or in an adverse determination for the recovery of operations and maintenance expenses, it would adversely affect SDG&amp;E's cash flows and results of operations.</w:t>
      </w:r>
    </w:p>
    <w:p>
      <w:pPr>
        <w:spacing w:after="0" w:line="148" w:lineRule="exact"/>
        <w:rPr>
          <w:sz w:val="20"/>
          <w:szCs w:val="20"/>
          <w:color w:val="auto"/>
        </w:rPr>
      </w:pPr>
    </w:p>
    <w:p>
      <w:pPr>
        <w:ind w:right="440"/>
        <w:spacing w:after="0" w:line="267" w:lineRule="auto"/>
        <w:rPr>
          <w:sz w:val="20"/>
          <w:szCs w:val="20"/>
          <w:color w:val="auto"/>
        </w:rPr>
      </w:pPr>
      <w:r>
        <w:rPr>
          <w:rFonts w:ascii="Arial" w:cs="Arial" w:eastAsia="Arial" w:hAnsi="Arial"/>
          <w:sz w:val="14"/>
          <w:szCs w:val="14"/>
          <w:color w:val="auto"/>
        </w:rPr>
        <w:t>We discuss additional potential and expected impacts of the 2010 Tax Act on our income tax expense, earnings and cash flows in "Results of Operations – Changes in Revenues, Costs and Earnings – Income Taxes" above.</w:t>
      </w:r>
    </w:p>
    <w:p>
      <w:pPr>
        <w:spacing w:after="0" w:line="138"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In three separate transactions in 2010 and one in early 2011, we and RBS sold substantially all of the businesses and assets of our commodities-marketing partnership. We expect our share of the remaining proceeds from the sales of all of the joint venture's businesses and related cash distributions to approximate $779 million, of which $329 million was received in April 2011. We provide additional information in Notes 4 and 6 of the Notes to Condensed Consolidated Financial Statements herein.</w:t>
      </w:r>
    </w:p>
    <w:p>
      <w:pPr>
        <w:spacing w:after="0" w:line="146" w:lineRule="exact"/>
        <w:rPr>
          <w:sz w:val="20"/>
          <w:szCs w:val="20"/>
          <w:color w:val="auto"/>
        </w:rPr>
      </w:pPr>
    </w:p>
    <w:p>
      <w:pPr>
        <w:ind w:right="160"/>
        <w:spacing w:after="0" w:line="256" w:lineRule="auto"/>
        <w:rPr>
          <w:sz w:val="20"/>
          <w:szCs w:val="20"/>
          <w:color w:val="auto"/>
        </w:rPr>
      </w:pPr>
      <w:r>
        <w:rPr>
          <w:rFonts w:ascii="Arial" w:cs="Arial" w:eastAsia="Arial" w:hAnsi="Arial"/>
          <w:sz w:val="14"/>
          <w:szCs w:val="14"/>
          <w:color w:val="auto"/>
        </w:rPr>
        <w:t>We may be further impacted by depressed and rapidly changing economic conditions. Moreover, the dollar has fluctuated significantly compared to some foreign currencies, especially in Mexico and South America where we have significant operations. North American natural gas prices, which affect profitability at Sempra Generation and Sempra LNG, are currently significantly below Asian and European prices. These factors could, if they remain unchanged, adversely affect profitability.</w:t>
      </w:r>
    </w:p>
    <w:p>
      <w:pPr>
        <w:spacing w:after="0" w:line="146" w:lineRule="exact"/>
        <w:rPr>
          <w:sz w:val="20"/>
          <w:szCs w:val="20"/>
          <w:color w:val="auto"/>
        </w:rPr>
      </w:pPr>
    </w:p>
    <w:p>
      <w:pPr>
        <w:ind w:right="380"/>
        <w:spacing w:after="0" w:line="267" w:lineRule="auto"/>
        <w:rPr>
          <w:sz w:val="20"/>
          <w:szCs w:val="20"/>
          <w:color w:val="auto"/>
        </w:rPr>
      </w:pPr>
      <w:r>
        <w:rPr>
          <w:rFonts w:ascii="Arial" w:cs="Arial" w:eastAsia="Arial" w:hAnsi="Arial"/>
          <w:sz w:val="14"/>
          <w:szCs w:val="14"/>
          <w:color w:val="auto"/>
        </w:rPr>
        <w:t>We discuss additional matters that could affect our future performance in Notes 9 and 10 of the Notes to Condensed Consolidated Financial Statements herein and in Notes 14, 15 and 16 of the Notes to Consolidated Financial Statements in the Annual Report.</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DERIVATIVES REFORMS</w:t>
      </w:r>
    </w:p>
    <w:p>
      <w:pPr>
        <w:sectPr>
          <w:pgSz w:w="11900" w:h="16838" w:orient="portrait"/>
          <w:cols w:equalWidth="0" w:num="1">
            <w:col w:w="11460"/>
          </w:cols>
          <w:pgMar w:left="220" w:top="122" w:right="219" w:bottom="0" w:gutter="0" w:footer="0" w:header="0"/>
        </w:sectPr>
      </w:pPr>
    </w:p>
    <w:bookmarkStart w:id="54" w:name="page55"/>
    <w:bookmarkEnd w:id="54"/>
    <w:p>
      <w:pPr>
        <w:ind w:right="80"/>
        <w:spacing w:after="0" w:line="273" w:lineRule="auto"/>
        <w:rPr>
          <w:sz w:val="20"/>
          <w:szCs w:val="20"/>
          <w:color w:val="auto"/>
        </w:rPr>
      </w:pPr>
      <w:r>
        <w:rPr>
          <w:rFonts w:ascii="Arial" w:cs="Arial" w:eastAsia="Arial" w:hAnsi="Arial"/>
          <w:sz w:val="13"/>
          <w:szCs w:val="13"/>
          <w:color w:val="auto"/>
        </w:rPr>
        <w:t>In July 2010, federal legislation to reform financial markets was enacted that significantly alters how over-the-counter (OTC) derivatives are regulated, which may impact all of our businesses. The law increased regulatory oversight of OTC energy derivatives, including (1) requiring standardized OTC derivatives to be traded on registered exchanges regulated by the U.S. Commodity Futures Trading Commission (CFTC), (2) imposing new and potentially higher capital and margin requirements and (3) authorizing the establishment of overall volume and position limits. The law gives the CFTC authority to exempt end users of energy commodities which could reduce, but not eliminate, the applicability of these measures to us and other end users. These requirements could cause our OTC transactions to be more costly and have an adverse effect on our liquidity due to additional capital requirements. In addition, as these reforms aim to standardize OTC products, they could limit the effectiveness of our hedging programs, because we would have less ability to tailor OTC derivatives to match the precise risk we are seeking to mitigate.</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LITIGATION</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We describe legal proceedings which could adversely affect our future performance in Note 10 of the Notes to Condensed Consolidated Financial Statements herein.</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SEMPRA UTILITIES – INDUSTRY DEVELOPMENTS AND CAPITAL PROJECTS</w:t>
      </w:r>
    </w:p>
    <w:p>
      <w:pPr>
        <w:spacing w:after="0" w:line="176" w:lineRule="exact"/>
        <w:rPr>
          <w:sz w:val="20"/>
          <w:szCs w:val="20"/>
          <w:color w:val="auto"/>
        </w:rPr>
      </w:pPr>
    </w:p>
    <w:p>
      <w:pPr>
        <w:ind w:right="540"/>
        <w:spacing w:after="0" w:line="267" w:lineRule="auto"/>
        <w:rPr>
          <w:sz w:val="20"/>
          <w:szCs w:val="20"/>
          <w:color w:val="auto"/>
        </w:rPr>
      </w:pPr>
      <w:r>
        <w:rPr>
          <w:rFonts w:ascii="Arial" w:cs="Arial" w:eastAsia="Arial" w:hAnsi="Arial"/>
          <w:sz w:val="14"/>
          <w:szCs w:val="14"/>
          <w:color w:val="auto"/>
        </w:rPr>
        <w:t>We describe capital projects, electric and natural gas regulation and rates, and other pending proceedings and investigations that affect our business in Note 9 of the Notes to Condensed Consolidated Financial Statements herein and in Notes 14 and 15 of the Notes to Consolidated Financial Statements in the Annual Report.</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SEMPRA GLOBAL INVESTMENTS</w:t>
      </w:r>
    </w:p>
    <w:p>
      <w:pPr>
        <w:spacing w:after="0" w:line="176" w:lineRule="exact"/>
        <w:rPr>
          <w:sz w:val="20"/>
          <w:szCs w:val="20"/>
          <w:color w:val="auto"/>
        </w:rPr>
      </w:pPr>
    </w:p>
    <w:p>
      <w:pPr>
        <w:ind w:right="640"/>
        <w:spacing w:after="0" w:line="306" w:lineRule="auto"/>
        <w:rPr>
          <w:sz w:val="20"/>
          <w:szCs w:val="20"/>
          <w:color w:val="auto"/>
        </w:rPr>
      </w:pPr>
      <w:r>
        <w:rPr>
          <w:rFonts w:ascii="Arial" w:cs="Arial" w:eastAsia="Arial" w:hAnsi="Arial"/>
          <w:sz w:val="13"/>
          <w:szCs w:val="13"/>
          <w:color w:val="auto"/>
        </w:rPr>
        <w:t>As we discuss in "Cash Flows From Investing Activities," our investments will significantly impact our future performance. In addition to the discussion below, we provide information about these investments in "Capital Resources and Liquidity" herein and “Capital Resources and Liquidity” and “Factors Influencing Future Performance” in the Annual Report.</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Generation</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Mesquite Solar</w:t>
      </w:r>
    </w:p>
    <w:p>
      <w:pPr>
        <w:spacing w:after="0" w:line="160" w:lineRule="exact"/>
        <w:rPr>
          <w:sz w:val="20"/>
          <w:szCs w:val="20"/>
          <w:color w:val="auto"/>
        </w:rPr>
      </w:pPr>
    </w:p>
    <w:p>
      <w:pPr>
        <w:ind w:right="240"/>
        <w:spacing w:after="0" w:line="306" w:lineRule="auto"/>
        <w:rPr>
          <w:sz w:val="20"/>
          <w:szCs w:val="20"/>
          <w:color w:val="auto"/>
        </w:rPr>
      </w:pPr>
      <w:r>
        <w:rPr>
          <w:rFonts w:ascii="Arial" w:cs="Arial" w:eastAsia="Arial" w:hAnsi="Arial"/>
          <w:sz w:val="13"/>
          <w:szCs w:val="13"/>
          <w:color w:val="auto"/>
        </w:rPr>
        <w:t>Mesquite Solar is a photovoltaic generation facility under development by Sempra Generation in Maricopa County, Arizona. When fully developed, the project will be capable of producing approximately 400 MW to 700 MW of solar power. Mesquite Solar will connect to the 500-kilovolt Hassayampa switchyard via our existing Mesquite Power natural gas generation plant.</w:t>
      </w:r>
    </w:p>
    <w:p>
      <w:pPr>
        <w:spacing w:after="0" w:line="115" w:lineRule="exact"/>
        <w:rPr>
          <w:sz w:val="20"/>
          <w:szCs w:val="20"/>
          <w:color w:val="auto"/>
        </w:rPr>
      </w:pPr>
    </w:p>
    <w:p>
      <w:pPr>
        <w:ind w:right="280"/>
        <w:spacing w:after="0" w:line="267" w:lineRule="auto"/>
        <w:rPr>
          <w:sz w:val="20"/>
          <w:szCs w:val="20"/>
          <w:color w:val="auto"/>
        </w:rPr>
      </w:pPr>
      <w:r>
        <w:rPr>
          <w:rFonts w:ascii="Arial" w:cs="Arial" w:eastAsia="Arial" w:hAnsi="Arial"/>
          <w:sz w:val="14"/>
          <w:szCs w:val="14"/>
          <w:color w:val="auto"/>
        </w:rPr>
        <w:t>Construction of the first phase (Mesquite Solar 1) of 150 MW is expected to begin in June 2011 and be completed in early 2013. PG&amp;E has contracted for all of the solar power at Mesquite Solar 1 for 20 years, which contract was approved by the CPUC in April 2011.</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Auwahi Wind</w:t>
      </w:r>
    </w:p>
    <w:p>
      <w:pPr>
        <w:spacing w:after="0" w:line="160" w:lineRule="exact"/>
        <w:rPr>
          <w:sz w:val="20"/>
          <w:szCs w:val="20"/>
          <w:color w:val="auto"/>
        </w:rPr>
      </w:pPr>
    </w:p>
    <w:p>
      <w:pPr>
        <w:ind w:right="360"/>
        <w:spacing w:after="0" w:line="289" w:lineRule="auto"/>
        <w:rPr>
          <w:sz w:val="20"/>
          <w:szCs w:val="20"/>
          <w:color w:val="auto"/>
        </w:rPr>
      </w:pPr>
      <w:r>
        <w:rPr>
          <w:rFonts w:ascii="Arial" w:cs="Arial" w:eastAsia="Arial" w:hAnsi="Arial"/>
          <w:sz w:val="13"/>
          <w:szCs w:val="13"/>
          <w:color w:val="auto"/>
        </w:rPr>
        <w:t>In April 2011, Sempra Generation entered into a 20-year contract with Maui Electric Company to provide 21 MW of wind energy from the Auwahi Wind project in the southeastern region of Maui. The contract is subject to approval by the Hawaii Public Utilities Commission. We expect construction on the project to begin in early 2012, and the project to be fully operational in late 2012.</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Energía Sierra Juárez</w:t>
      </w:r>
    </w:p>
    <w:p>
      <w:pPr>
        <w:spacing w:after="0" w:line="160" w:lineRule="exact"/>
        <w:rPr>
          <w:sz w:val="20"/>
          <w:szCs w:val="20"/>
          <w:color w:val="auto"/>
        </w:rPr>
      </w:pPr>
    </w:p>
    <w:p>
      <w:pPr>
        <w:ind w:right="460"/>
        <w:spacing w:after="0" w:line="289" w:lineRule="auto"/>
        <w:rPr>
          <w:sz w:val="20"/>
          <w:szCs w:val="20"/>
          <w:color w:val="auto"/>
        </w:rPr>
      </w:pPr>
      <w:r>
        <w:rPr>
          <w:rFonts w:ascii="Arial" w:cs="Arial" w:eastAsia="Arial" w:hAnsi="Arial"/>
          <w:sz w:val="13"/>
          <w:szCs w:val="13"/>
          <w:color w:val="auto"/>
        </w:rPr>
        <w:t>In April 2011, San Diego Gas &amp; Electric entered into a 20-year contract for renewable power supplied from the 156-MW first phase of Sempra Generation’s Energía Sierra Juárez wind project in Baja California, Mexico. The contract is subject to approval by the CPUC and FERC. We expect construction on the project to begin in 2012, and the project to be fully operational in 2013.</w:t>
      </w:r>
    </w:p>
    <w:p>
      <w:pPr>
        <w:spacing w:after="0" w:line="105"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Sempra Generation intends to develop the project within the framework of a joint venture, and is working on a joint development agreement for the sale of a 50-percent partnership interest in the current phase of the project to BP Wind Energy.</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Pipelines &amp; Storage</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Natural Gas Storage Projects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Currently, Sempra Pipelines &amp; Storage has 23 billion cubic feet (Bcf) of operational working natural gas storage capacity. We plan to develop as much as 75 Bcf of total storage capacity by 2015.</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Sempra Pipelines &amp; Storage’s natural gas storage facilities and projects include</w:t>
      </w:r>
    </w:p>
    <w:p>
      <w:pPr>
        <w:spacing w:after="0" w:line="170" w:lineRule="exact"/>
        <w:rPr>
          <w:sz w:val="20"/>
          <w:szCs w:val="20"/>
          <w:color w:val="auto"/>
        </w:rPr>
      </w:pPr>
    </w:p>
    <w:p>
      <w:pPr>
        <w:ind w:left="260" w:hanging="147"/>
        <w:spacing w:after="0" w:line="306" w:lineRule="auto"/>
        <w:tabs>
          <w:tab w:leader="none" w:pos="2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Bay Gas Storage Company, a facility located 40 miles north of Mobile, Alabama, that provides underground storage and delivery of natural gas. Sempra Pipelines &amp; Storage owns 91 percent of the project. It is the easternmost salt dome storage facility on the Gulf Coast, with direct service to the Florida market and markets across the Southeast, Mid-Atlantic and Northeast regions.</w:t>
      </w:r>
    </w:p>
    <w:p>
      <w:pPr>
        <w:spacing w:after="0" w:line="135" w:lineRule="exact"/>
        <w:rPr>
          <w:rFonts w:ascii="Arial" w:cs="Arial" w:eastAsia="Arial" w:hAnsi="Arial"/>
          <w:sz w:val="13"/>
          <w:szCs w:val="13"/>
          <w:color w:val="auto"/>
        </w:rPr>
      </w:pPr>
    </w:p>
    <w:p>
      <w:pPr>
        <w:ind w:left="260" w:hanging="147"/>
        <w:spacing w:after="0" w:line="267" w:lineRule="auto"/>
        <w:tabs>
          <w:tab w:leader="none" w:pos="2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Mississippi Hub storage facility, located 45 miles southeast of Jackson, Mississippi, an underground salt dome natural gas storage project with access to shale basins of East Texas and Louisiana, traditional gulf supplies and LNG, with multiple interconnections to serve the Southeast and Northeast regions.</w:t>
      </w:r>
    </w:p>
    <w:p>
      <w:pPr>
        <w:spacing w:after="0" w:line="158" w:lineRule="exact"/>
        <w:rPr>
          <w:rFonts w:ascii="Arial" w:cs="Arial" w:eastAsia="Arial" w:hAnsi="Arial"/>
          <w:sz w:val="14"/>
          <w:szCs w:val="14"/>
          <w:color w:val="auto"/>
        </w:rPr>
      </w:pPr>
    </w:p>
    <w:p>
      <w:pPr>
        <w:ind w:left="260" w:hanging="147"/>
        <w:spacing w:after="0" w:line="267" w:lineRule="auto"/>
        <w:tabs>
          <w:tab w:leader="none" w:pos="2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Liberty Gas Storage Expansion, a salt cavern development project in Cameron Parish, Louisiana. Sempra Pipelines &amp; Storage owns 75 percent of the project and ProLiance Transportation LLC owns the remaining 25 percent. The project’s location provides access to several LNG facilities in the area.</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South American Utilities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We discuss the increase in Sempra Pipelines &amp; Storage’s investments in Chile and Peru in April 2011 in Note 12 of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259080</wp:posOffset>
            </wp:positionV>
            <wp:extent cx="729170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1705" cy="63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color w:val="auto"/>
        </w:rPr>
        <w:t>CRITICAL ACCOUNTING POLICIES AND ESTIMATES</w:t>
      </w:r>
    </w:p>
    <w:p>
      <w:pPr>
        <w:spacing w:after="0" w:line="150" w:lineRule="exact"/>
        <w:rPr>
          <w:sz w:val="20"/>
          <w:szCs w:val="20"/>
          <w:color w:val="auto"/>
        </w:rPr>
      </w:pPr>
    </w:p>
    <w:p>
      <w:pPr>
        <w:ind w:right="80"/>
        <w:spacing w:after="0" w:line="405" w:lineRule="auto"/>
        <w:rPr>
          <w:sz w:val="20"/>
          <w:szCs w:val="20"/>
          <w:color w:val="auto"/>
        </w:rPr>
      </w:pPr>
      <w:r>
        <w:rPr>
          <w:rFonts w:ascii="Arial" w:cs="Arial" w:eastAsia="Arial" w:hAnsi="Arial"/>
          <w:sz w:val="11"/>
          <w:szCs w:val="11"/>
          <w:color w:val="auto"/>
        </w:rPr>
        <w:t>We view certain accounting policies as critical because their application is the most relevant, judgmental and/or material to our financial position and results of operations, and/or because they require the use of material judgments and estimates. We discuss these accounting policies in "Management's Discussion and Analysis of Financial Condition and Results of Operations" in the Annual Report.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We describe our significant accounting policies in Note 1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272415</wp:posOffset>
            </wp:positionV>
            <wp:extent cx="729170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1705" cy="635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auto"/>
        </w:rPr>
        <w:t>ITEM 3. QUANTITATIVE AND QUALITATIVE DISCLOSURES ABOUT MARKET RISK</w:t>
      </w:r>
    </w:p>
    <w:p>
      <w:pPr>
        <w:spacing w:after="0" w:line="150" w:lineRule="exact"/>
        <w:rPr>
          <w:sz w:val="20"/>
          <w:szCs w:val="20"/>
          <w:color w:val="auto"/>
        </w:rPr>
      </w:pPr>
    </w:p>
    <w:p>
      <w:pPr>
        <w:ind w:right="260"/>
        <w:spacing w:after="0" w:line="267" w:lineRule="auto"/>
        <w:rPr>
          <w:sz w:val="20"/>
          <w:szCs w:val="20"/>
          <w:color w:val="auto"/>
        </w:rPr>
      </w:pPr>
      <w:r>
        <w:rPr>
          <w:rFonts w:ascii="Arial" w:cs="Arial" w:eastAsia="Arial" w:hAnsi="Arial"/>
          <w:sz w:val="14"/>
          <w:szCs w:val="14"/>
          <w:color w:val="auto"/>
        </w:rPr>
        <w:t>We provide disclosure regarding derivative activity in Note 7 of the Notes to Condensed Consolidated Financial Statements herein. We discuss our market risk and risk policies in detail in "Management's Discussion and Analysis of Financial Condition and Results of Operations" in the Annual Report.</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RISK</w:t>
      </w:r>
    </w:p>
    <w:p>
      <w:pPr>
        <w:spacing w:after="0" w:line="176"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The table below shows the nominal amount and the one-year VaR for long-term debt, excluding commercial paper classified as long-term debt and capital lease obligations, at March 31, 2011 and December 31, 2010:</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00" w:type="dxa"/>
            <w:vAlign w:val="bottom"/>
            <w:gridSpan w:val="2"/>
          </w:tcPr>
          <w:p>
            <w:pPr>
              <w:jc w:val="center"/>
              <w:ind w:right="483"/>
              <w:spacing w:after="0"/>
              <w:rPr>
                <w:sz w:val="20"/>
                <w:szCs w:val="20"/>
                <w:color w:val="auto"/>
              </w:rPr>
            </w:pPr>
            <w:r>
              <w:rPr>
                <w:rFonts w:ascii="Arial" w:cs="Arial" w:eastAsia="Arial" w:hAnsi="Arial"/>
                <w:sz w:val="11"/>
                <w:szCs w:val="11"/>
                <w:color w:val="auto"/>
                <w:w w:val="99"/>
              </w:rPr>
              <w:t>Sempra Energy</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2"/>
          </w:tcPr>
          <w:p>
            <w:pPr>
              <w:jc w:val="center"/>
              <w:ind w:right="483"/>
              <w:spacing w:after="0" w:line="121" w:lineRule="exact"/>
              <w:rPr>
                <w:sz w:val="20"/>
                <w:szCs w:val="20"/>
                <w:color w:val="auto"/>
              </w:rPr>
            </w:pPr>
            <w:r>
              <w:rPr>
                <w:rFonts w:ascii="Arial" w:cs="Arial" w:eastAsia="Arial" w:hAnsi="Arial"/>
                <w:sz w:val="11"/>
                <w:szCs w:val="11"/>
                <w:color w:val="auto"/>
                <w:w w:val="99"/>
              </w:rPr>
              <w:t>Consolidated</w:t>
            </w:r>
          </w:p>
        </w:tc>
        <w:tc>
          <w:tcPr>
            <w:tcW w:w="2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2"/>
          </w:tcPr>
          <w:p>
            <w:pPr>
              <w:jc w:val="right"/>
              <w:ind w:right="18"/>
              <w:spacing w:after="0" w:line="121" w:lineRule="exact"/>
              <w:rPr>
                <w:sz w:val="20"/>
                <w:szCs w:val="20"/>
                <w:color w:val="auto"/>
              </w:rPr>
            </w:pPr>
            <w:r>
              <w:rPr>
                <w:rFonts w:ascii="Arial" w:cs="Arial" w:eastAsia="Arial" w:hAnsi="Arial"/>
                <w:sz w:val="11"/>
                <w:szCs w:val="11"/>
                <w:color w:val="auto"/>
              </w:rPr>
              <w:t>SDG&amp;E</w:t>
            </w:r>
          </w:p>
        </w:tc>
        <w:tc>
          <w:tcPr>
            <w:tcW w:w="9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2"/>
          </w:tcPr>
          <w:p>
            <w:pPr>
              <w:jc w:val="right"/>
              <w:spacing w:after="0" w:line="121" w:lineRule="exact"/>
              <w:rPr>
                <w:sz w:val="20"/>
                <w:szCs w:val="20"/>
                <w:color w:val="auto"/>
              </w:rPr>
            </w:pPr>
            <w:r>
              <w:rPr>
                <w:rFonts w:ascii="Arial" w:cs="Arial" w:eastAsia="Arial" w:hAnsi="Arial"/>
                <w:sz w:val="11"/>
                <w:szCs w:val="11"/>
                <w:color w:val="auto"/>
              </w:rPr>
              <w:t>PE/SoCalGas</w:t>
            </w:r>
          </w:p>
        </w:tc>
        <w:tc>
          <w:tcPr>
            <w:tcW w:w="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160" w:type="dxa"/>
            <w:vAlign w:val="bottom"/>
            <w:vMerge w:val="restart"/>
          </w:tcPr>
          <w:p>
            <w:pPr>
              <w:spacing w:after="0"/>
              <w:rPr>
                <w:sz w:val="20"/>
                <w:szCs w:val="20"/>
                <w:color w:val="auto"/>
              </w:rPr>
            </w:pPr>
            <w:r>
              <w:rPr>
                <w:rFonts w:ascii="Arial" w:cs="Arial" w:eastAsia="Arial" w:hAnsi="Arial"/>
                <w:sz w:val="11"/>
                <w:szCs w:val="11"/>
                <w:i w:val="1"/>
                <w:iCs w:val="1"/>
                <w:color w:val="auto"/>
              </w:rPr>
              <w:t>(Dollars in millions)</w:t>
            </w:r>
          </w:p>
        </w:tc>
        <w:tc>
          <w:tcPr>
            <w:tcW w:w="940" w:type="dxa"/>
            <w:vAlign w:val="bottom"/>
          </w:tcPr>
          <w:p>
            <w:pPr>
              <w:spacing w:after="0"/>
              <w:rPr>
                <w:sz w:val="12"/>
                <w:szCs w:val="12"/>
                <w:color w:val="auto"/>
              </w:rPr>
            </w:pPr>
          </w:p>
        </w:tc>
        <w:tc>
          <w:tcPr>
            <w:tcW w:w="840" w:type="dxa"/>
            <w:vAlign w:val="bottom"/>
          </w:tcPr>
          <w:p>
            <w:pPr>
              <w:jc w:val="center"/>
              <w:ind w:left="345"/>
              <w:spacing w:after="0"/>
              <w:rPr>
                <w:sz w:val="20"/>
                <w:szCs w:val="20"/>
                <w:color w:val="auto"/>
              </w:rPr>
            </w:pPr>
            <w:r>
              <w:rPr>
                <w:rFonts w:ascii="Arial" w:cs="Arial" w:eastAsia="Arial" w:hAnsi="Arial"/>
                <w:sz w:val="11"/>
                <w:szCs w:val="11"/>
                <w:color w:val="auto"/>
                <w:w w:val="99"/>
              </w:rPr>
              <w:t>Nominal</w:t>
            </w:r>
          </w:p>
        </w:tc>
        <w:tc>
          <w:tcPr>
            <w:tcW w:w="360" w:type="dxa"/>
            <w:vAlign w:val="bottom"/>
          </w:tcPr>
          <w:p>
            <w:pPr>
              <w:spacing w:after="0"/>
              <w:rPr>
                <w:sz w:val="12"/>
                <w:szCs w:val="12"/>
                <w:color w:val="auto"/>
              </w:rPr>
            </w:pPr>
          </w:p>
        </w:tc>
        <w:tc>
          <w:tcPr>
            <w:tcW w:w="940" w:type="dxa"/>
            <w:vAlign w:val="bottom"/>
          </w:tcPr>
          <w:p>
            <w:pPr>
              <w:jc w:val="center"/>
              <w:ind w:left="263"/>
              <w:spacing w:after="0"/>
              <w:rPr>
                <w:sz w:val="20"/>
                <w:szCs w:val="20"/>
                <w:color w:val="auto"/>
              </w:rPr>
            </w:pPr>
            <w:r>
              <w:rPr>
                <w:rFonts w:ascii="Arial" w:cs="Arial" w:eastAsia="Arial" w:hAnsi="Arial"/>
                <w:sz w:val="11"/>
                <w:szCs w:val="11"/>
                <w:color w:val="auto"/>
                <w:w w:val="96"/>
              </w:rPr>
              <w:t>One-Year</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321"/>
              <w:spacing w:after="0"/>
              <w:rPr>
                <w:sz w:val="20"/>
                <w:szCs w:val="20"/>
                <w:color w:val="auto"/>
              </w:rPr>
            </w:pPr>
            <w:r>
              <w:rPr>
                <w:rFonts w:ascii="Arial" w:cs="Arial" w:eastAsia="Arial" w:hAnsi="Arial"/>
                <w:sz w:val="11"/>
                <w:szCs w:val="11"/>
                <w:color w:val="auto"/>
              </w:rPr>
              <w:t>Nominal</w:t>
            </w:r>
          </w:p>
        </w:tc>
        <w:tc>
          <w:tcPr>
            <w:tcW w:w="300" w:type="dxa"/>
            <w:vAlign w:val="bottom"/>
          </w:tcPr>
          <w:p>
            <w:pPr>
              <w:spacing w:after="0"/>
              <w:rPr>
                <w:sz w:val="12"/>
                <w:szCs w:val="12"/>
                <w:color w:val="auto"/>
              </w:rPr>
            </w:pPr>
          </w:p>
        </w:tc>
        <w:tc>
          <w:tcPr>
            <w:tcW w:w="920" w:type="dxa"/>
            <w:vAlign w:val="bottom"/>
          </w:tcPr>
          <w:p>
            <w:pPr>
              <w:jc w:val="right"/>
              <w:ind w:right="301"/>
              <w:spacing w:after="0"/>
              <w:rPr>
                <w:sz w:val="20"/>
                <w:szCs w:val="20"/>
                <w:color w:val="auto"/>
              </w:rPr>
            </w:pPr>
            <w:r>
              <w:rPr>
                <w:rFonts w:ascii="Arial" w:cs="Arial" w:eastAsia="Arial" w:hAnsi="Arial"/>
                <w:sz w:val="11"/>
                <w:szCs w:val="11"/>
                <w:color w:val="auto"/>
              </w:rPr>
              <w:t>One-Year</w:t>
            </w:r>
          </w:p>
        </w:tc>
        <w:tc>
          <w:tcPr>
            <w:tcW w:w="260" w:type="dxa"/>
            <w:vAlign w:val="bottom"/>
          </w:tcPr>
          <w:p>
            <w:pPr>
              <w:spacing w:after="0"/>
              <w:rPr>
                <w:sz w:val="12"/>
                <w:szCs w:val="12"/>
                <w:color w:val="auto"/>
              </w:rPr>
            </w:pPr>
          </w:p>
        </w:tc>
        <w:tc>
          <w:tcPr>
            <w:tcW w:w="980" w:type="dxa"/>
            <w:vAlign w:val="bottom"/>
          </w:tcPr>
          <w:p>
            <w:pPr>
              <w:jc w:val="right"/>
              <w:ind w:right="341"/>
              <w:spacing w:after="0"/>
              <w:rPr>
                <w:sz w:val="20"/>
                <w:szCs w:val="20"/>
                <w:color w:val="auto"/>
              </w:rPr>
            </w:pPr>
            <w:r>
              <w:rPr>
                <w:rFonts w:ascii="Arial" w:cs="Arial" w:eastAsia="Arial" w:hAnsi="Arial"/>
                <w:sz w:val="11"/>
                <w:szCs w:val="11"/>
                <w:color w:val="auto"/>
              </w:rPr>
              <w:t>Nominal</w:t>
            </w:r>
          </w:p>
        </w:tc>
        <w:tc>
          <w:tcPr>
            <w:tcW w:w="380" w:type="dxa"/>
            <w:vAlign w:val="bottom"/>
          </w:tcPr>
          <w:p>
            <w:pPr>
              <w:spacing w:after="0"/>
              <w:rPr>
                <w:sz w:val="12"/>
                <w:szCs w:val="12"/>
                <w:color w:val="auto"/>
              </w:rPr>
            </w:pPr>
          </w:p>
        </w:tc>
        <w:tc>
          <w:tcPr>
            <w:tcW w:w="880" w:type="dxa"/>
            <w:vAlign w:val="bottom"/>
          </w:tcPr>
          <w:p>
            <w:pPr>
              <w:jc w:val="right"/>
              <w:ind w:right="321"/>
              <w:spacing w:after="0"/>
              <w:rPr>
                <w:sz w:val="20"/>
                <w:szCs w:val="20"/>
                <w:color w:val="auto"/>
              </w:rPr>
            </w:pPr>
            <w:r>
              <w:rPr>
                <w:rFonts w:ascii="Arial" w:cs="Arial" w:eastAsia="Arial" w:hAnsi="Arial"/>
                <w:sz w:val="11"/>
                <w:szCs w:val="11"/>
                <w:color w:val="auto"/>
              </w:rPr>
              <w:t>One-Year</w:t>
            </w:r>
          </w:p>
        </w:tc>
        <w:tc>
          <w:tcPr>
            <w:tcW w:w="0" w:type="dxa"/>
            <w:vAlign w:val="bottom"/>
          </w:tcPr>
          <w:p>
            <w:pPr>
              <w:spacing w:after="0"/>
              <w:rPr>
                <w:sz w:val="1"/>
                <w:szCs w:val="1"/>
                <w:color w:val="auto"/>
              </w:rPr>
            </w:pPr>
          </w:p>
        </w:tc>
      </w:tr>
      <w:tr>
        <w:trPr>
          <w:trHeight w:val="121"/>
        </w:trPr>
        <w:tc>
          <w:tcPr>
            <w:tcW w:w="3160" w:type="dxa"/>
            <w:vAlign w:val="bottom"/>
            <w:tcBorders>
              <w:bottom w:val="single" w:sz="8" w:color="auto"/>
            </w:tcBorders>
            <w:vMerge w:val="continue"/>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left="345"/>
              <w:spacing w:after="0" w:line="121" w:lineRule="exact"/>
              <w:rPr>
                <w:sz w:val="20"/>
                <w:szCs w:val="20"/>
                <w:color w:val="auto"/>
              </w:rPr>
            </w:pPr>
            <w:r>
              <w:rPr>
                <w:rFonts w:ascii="Arial" w:cs="Arial" w:eastAsia="Arial" w:hAnsi="Arial"/>
                <w:sz w:val="11"/>
                <w:szCs w:val="11"/>
                <w:color w:val="auto"/>
              </w:rPr>
              <w:t>Debt</w:t>
            </w:r>
          </w:p>
        </w:tc>
        <w:tc>
          <w:tcPr>
            <w:tcW w:w="3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left="263"/>
              <w:spacing w:after="0" w:line="121" w:lineRule="exact"/>
              <w:rPr>
                <w:sz w:val="20"/>
                <w:szCs w:val="20"/>
                <w:color w:val="auto"/>
              </w:rPr>
            </w:pPr>
            <w:r>
              <w:rPr>
                <w:rFonts w:ascii="Arial" w:cs="Arial" w:eastAsia="Arial" w:hAnsi="Arial"/>
                <w:sz w:val="11"/>
                <w:szCs w:val="11"/>
                <w:color w:val="auto"/>
                <w:w w:val="97"/>
              </w:rPr>
              <w:t>VaR(1)</w:t>
            </w:r>
          </w:p>
        </w:tc>
        <w:tc>
          <w:tcPr>
            <w:tcW w:w="2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01"/>
              <w:spacing w:after="0" w:line="121" w:lineRule="exact"/>
              <w:rPr>
                <w:sz w:val="20"/>
                <w:szCs w:val="20"/>
                <w:color w:val="auto"/>
              </w:rPr>
            </w:pPr>
            <w:r>
              <w:rPr>
                <w:rFonts w:ascii="Arial" w:cs="Arial" w:eastAsia="Arial" w:hAnsi="Arial"/>
                <w:sz w:val="11"/>
                <w:szCs w:val="11"/>
                <w:color w:val="auto"/>
              </w:rPr>
              <w:t>Debt</w:t>
            </w:r>
          </w:p>
        </w:tc>
        <w:tc>
          <w:tcPr>
            <w:tcW w:w="3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61"/>
              <w:spacing w:after="0" w:line="121" w:lineRule="exact"/>
              <w:rPr>
                <w:sz w:val="20"/>
                <w:szCs w:val="20"/>
                <w:color w:val="auto"/>
              </w:rPr>
            </w:pPr>
            <w:r>
              <w:rPr>
                <w:rFonts w:ascii="Arial" w:cs="Arial" w:eastAsia="Arial" w:hAnsi="Arial"/>
                <w:sz w:val="11"/>
                <w:szCs w:val="11"/>
                <w:color w:val="auto"/>
              </w:rPr>
              <w:t>VaR(1)</w:t>
            </w: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21"/>
              <w:spacing w:after="0" w:line="121" w:lineRule="exact"/>
              <w:rPr>
                <w:sz w:val="20"/>
                <w:szCs w:val="20"/>
                <w:color w:val="auto"/>
              </w:rPr>
            </w:pPr>
            <w:r>
              <w:rPr>
                <w:rFonts w:ascii="Arial" w:cs="Arial" w:eastAsia="Arial" w:hAnsi="Arial"/>
                <w:sz w:val="11"/>
                <w:szCs w:val="11"/>
                <w:color w:val="auto"/>
              </w:rPr>
              <w:t>Debt</w:t>
            </w:r>
          </w:p>
        </w:tc>
        <w:tc>
          <w:tcPr>
            <w:tcW w:w="3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81"/>
              <w:spacing w:after="0" w:line="121" w:lineRule="exact"/>
              <w:rPr>
                <w:sz w:val="20"/>
                <w:szCs w:val="20"/>
                <w:color w:val="auto"/>
              </w:rPr>
            </w:pPr>
            <w:r>
              <w:rPr>
                <w:rFonts w:ascii="Arial" w:cs="Arial" w:eastAsia="Arial" w:hAnsi="Arial"/>
                <w:sz w:val="11"/>
                <w:szCs w:val="11"/>
                <w:color w:val="auto"/>
              </w:rPr>
              <w:t>VaR(1)</w:t>
            </w:r>
          </w:p>
        </w:tc>
        <w:tc>
          <w:tcPr>
            <w:tcW w:w="0" w:type="dxa"/>
            <w:vAlign w:val="bottom"/>
          </w:tcPr>
          <w:p>
            <w:pPr>
              <w:spacing w:after="0"/>
              <w:rPr>
                <w:sz w:val="1"/>
                <w:szCs w:val="1"/>
                <w:color w:val="auto"/>
              </w:rPr>
            </w:pPr>
          </w:p>
        </w:tc>
      </w:tr>
      <w:tr>
        <w:trPr>
          <w:trHeight w:val="125"/>
        </w:trPr>
        <w:tc>
          <w:tcPr>
            <w:tcW w:w="3160" w:type="dxa"/>
            <w:vAlign w:val="bottom"/>
          </w:tcPr>
          <w:p>
            <w:pPr>
              <w:spacing w:after="0" w:line="126" w:lineRule="exact"/>
              <w:rPr>
                <w:sz w:val="20"/>
                <w:szCs w:val="20"/>
                <w:color w:val="auto"/>
              </w:rPr>
            </w:pPr>
            <w:r>
              <w:rPr>
                <w:rFonts w:ascii="Arial" w:cs="Arial" w:eastAsia="Arial" w:hAnsi="Arial"/>
                <w:sz w:val="12"/>
                <w:szCs w:val="12"/>
                <w:color w:val="auto"/>
              </w:rPr>
              <w:t>At March 31, 2011:</w:t>
            </w:r>
          </w:p>
        </w:tc>
        <w:tc>
          <w:tcPr>
            <w:tcW w:w="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160" w:type="dxa"/>
            <w:vAlign w:val="bottom"/>
          </w:tcPr>
          <w:p>
            <w:pPr>
              <w:ind w:left="140"/>
              <w:spacing w:after="0" w:line="134" w:lineRule="exact"/>
              <w:rPr>
                <w:sz w:val="20"/>
                <w:szCs w:val="20"/>
                <w:color w:val="auto"/>
              </w:rPr>
            </w:pPr>
            <w:r>
              <w:rPr>
                <w:rFonts w:ascii="Arial" w:cs="Arial" w:eastAsia="Arial" w:hAnsi="Arial"/>
                <w:sz w:val="12"/>
                <w:szCs w:val="12"/>
                <w:color w:val="auto"/>
              </w:rPr>
              <w:t>Utility fixed-rate</w:t>
            </w:r>
          </w:p>
        </w:tc>
        <w:tc>
          <w:tcPr>
            <w:tcW w:w="1780" w:type="dxa"/>
            <w:vAlign w:val="bottom"/>
            <w:gridSpan w:val="2"/>
          </w:tcPr>
          <w:p>
            <w:pPr>
              <w:jc w:val="right"/>
              <w:ind w:right="705"/>
              <w:spacing w:after="0" w:line="134" w:lineRule="exact"/>
              <w:rPr>
                <w:sz w:val="20"/>
                <w:szCs w:val="20"/>
                <w:color w:val="auto"/>
              </w:rPr>
            </w:pPr>
            <w:r>
              <w:rPr>
                <w:rFonts w:ascii="Arial" w:cs="Arial" w:eastAsia="Arial" w:hAnsi="Arial"/>
                <w:sz w:val="12"/>
                <w:szCs w:val="12"/>
                <w:color w:val="auto"/>
              </w:rPr>
              <w:t>$</w:t>
            </w:r>
          </w:p>
        </w:tc>
        <w:tc>
          <w:tcPr>
            <w:tcW w:w="360" w:type="dxa"/>
            <w:vAlign w:val="bottom"/>
          </w:tcPr>
          <w:p>
            <w:pPr>
              <w:jc w:val="right"/>
              <w:spacing w:after="0" w:line="134" w:lineRule="exact"/>
              <w:rPr>
                <w:sz w:val="20"/>
                <w:szCs w:val="20"/>
                <w:color w:val="auto"/>
              </w:rPr>
            </w:pPr>
            <w:r>
              <w:rPr>
                <w:rFonts w:ascii="Arial" w:cs="Arial" w:eastAsia="Arial" w:hAnsi="Arial"/>
                <w:sz w:val="12"/>
                <w:szCs w:val="12"/>
                <w:color w:val="auto"/>
              </w:rPr>
              <w:t>4,017</w:t>
            </w:r>
          </w:p>
        </w:tc>
        <w:tc>
          <w:tcPr>
            <w:tcW w:w="940" w:type="dxa"/>
            <w:vAlign w:val="bottom"/>
          </w:tcPr>
          <w:p>
            <w:pPr>
              <w:jc w:val="right"/>
              <w:ind w:right="783"/>
              <w:spacing w:after="0" w:line="134" w:lineRule="exact"/>
              <w:rPr>
                <w:sz w:val="20"/>
                <w:szCs w:val="20"/>
                <w:color w:val="auto"/>
              </w:rPr>
            </w:pPr>
            <w:r>
              <w:rPr>
                <w:rFonts w:ascii="Arial" w:cs="Arial" w:eastAsia="Arial" w:hAnsi="Arial"/>
                <w:sz w:val="12"/>
                <w:szCs w:val="12"/>
                <w:color w:val="auto"/>
              </w:rPr>
              <w:t>$</w:t>
            </w:r>
          </w:p>
        </w:tc>
        <w:tc>
          <w:tcPr>
            <w:tcW w:w="280" w:type="dxa"/>
            <w:vAlign w:val="bottom"/>
          </w:tcPr>
          <w:p>
            <w:pPr>
              <w:jc w:val="right"/>
              <w:spacing w:after="0" w:line="134" w:lineRule="exact"/>
              <w:rPr>
                <w:sz w:val="20"/>
                <w:szCs w:val="20"/>
                <w:color w:val="auto"/>
              </w:rPr>
            </w:pPr>
            <w:r>
              <w:rPr>
                <w:rFonts w:ascii="Arial" w:cs="Arial" w:eastAsia="Arial" w:hAnsi="Arial"/>
                <w:sz w:val="12"/>
                <w:szCs w:val="12"/>
                <w:color w:val="auto"/>
              </w:rPr>
              <w:t>478</w:t>
            </w:r>
          </w:p>
        </w:tc>
        <w:tc>
          <w:tcPr>
            <w:tcW w:w="260" w:type="dxa"/>
            <w:vAlign w:val="bottom"/>
          </w:tcPr>
          <w:p>
            <w:pPr>
              <w:jc w:val="right"/>
              <w:ind w:right="98"/>
              <w:spacing w:after="0" w:line="134"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4" w:lineRule="exact"/>
              <w:rPr>
                <w:sz w:val="20"/>
                <w:szCs w:val="20"/>
                <w:color w:val="auto"/>
              </w:rPr>
            </w:pPr>
            <w:r>
              <w:rPr>
                <w:rFonts w:ascii="Arial" w:cs="Arial" w:eastAsia="Arial" w:hAnsi="Arial"/>
                <w:sz w:val="12"/>
                <w:szCs w:val="12"/>
                <w:color w:val="auto"/>
              </w:rPr>
              <w:t>2,705</w:t>
            </w:r>
          </w:p>
        </w:tc>
        <w:tc>
          <w:tcPr>
            <w:tcW w:w="30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4" w:lineRule="exact"/>
              <w:rPr>
                <w:sz w:val="20"/>
                <w:szCs w:val="20"/>
                <w:color w:val="auto"/>
              </w:rPr>
            </w:pPr>
            <w:r>
              <w:rPr>
                <w:rFonts w:ascii="Arial" w:cs="Arial" w:eastAsia="Arial" w:hAnsi="Arial"/>
                <w:sz w:val="12"/>
                <w:szCs w:val="12"/>
                <w:color w:val="auto"/>
              </w:rPr>
              <w:t>358</w:t>
            </w:r>
          </w:p>
        </w:tc>
        <w:tc>
          <w:tcPr>
            <w:tcW w:w="260" w:type="dxa"/>
            <w:vAlign w:val="bottom"/>
          </w:tcPr>
          <w:p>
            <w:pPr>
              <w:jc w:val="right"/>
              <w:ind w:right="98"/>
              <w:spacing w:after="0" w:line="134" w:lineRule="exact"/>
              <w:rPr>
                <w:sz w:val="20"/>
                <w:szCs w:val="20"/>
                <w:color w:val="auto"/>
              </w:rPr>
            </w:pPr>
            <w:r>
              <w:rPr>
                <w:rFonts w:ascii="Arial" w:cs="Arial" w:eastAsia="Arial" w:hAnsi="Arial"/>
                <w:sz w:val="12"/>
                <w:szCs w:val="12"/>
                <w:color w:val="auto"/>
              </w:rPr>
              <w:t>$</w:t>
            </w:r>
          </w:p>
        </w:tc>
        <w:tc>
          <w:tcPr>
            <w:tcW w:w="980" w:type="dxa"/>
            <w:vAlign w:val="bottom"/>
          </w:tcPr>
          <w:p>
            <w:pPr>
              <w:jc w:val="right"/>
              <w:spacing w:after="0" w:line="134" w:lineRule="exact"/>
              <w:rPr>
                <w:sz w:val="20"/>
                <w:szCs w:val="20"/>
                <w:color w:val="auto"/>
              </w:rPr>
            </w:pPr>
            <w:r>
              <w:rPr>
                <w:rFonts w:ascii="Arial" w:cs="Arial" w:eastAsia="Arial" w:hAnsi="Arial"/>
                <w:sz w:val="12"/>
                <w:szCs w:val="12"/>
                <w:color w:val="auto"/>
              </w:rPr>
              <w:t>1,312</w:t>
            </w:r>
          </w:p>
        </w:tc>
        <w:tc>
          <w:tcPr>
            <w:tcW w:w="380" w:type="dxa"/>
            <w:vAlign w:val="bottom"/>
          </w:tcPr>
          <w:p>
            <w:pPr>
              <w:jc w:val="right"/>
              <w:ind w:right="238"/>
              <w:spacing w:after="0" w:line="134" w:lineRule="exact"/>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r>
        <w:trPr>
          <w:trHeight w:val="134"/>
        </w:trPr>
        <w:tc>
          <w:tcPr>
            <w:tcW w:w="3160" w:type="dxa"/>
            <w:vAlign w:val="bottom"/>
          </w:tcPr>
          <w:p>
            <w:pPr>
              <w:ind w:left="140"/>
              <w:spacing w:after="0" w:line="134" w:lineRule="exact"/>
              <w:rPr>
                <w:sz w:val="20"/>
                <w:szCs w:val="20"/>
                <w:color w:val="auto"/>
              </w:rPr>
            </w:pPr>
            <w:r>
              <w:rPr>
                <w:rFonts w:ascii="Arial" w:cs="Arial" w:eastAsia="Arial" w:hAnsi="Arial"/>
                <w:sz w:val="12"/>
                <w:szCs w:val="12"/>
                <w:color w:val="auto"/>
              </w:rPr>
              <w:t>Utility variable-rate</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jc w:val="right"/>
              <w:spacing w:after="0" w:line="134" w:lineRule="exact"/>
              <w:rPr>
                <w:sz w:val="20"/>
                <w:szCs w:val="20"/>
                <w:color w:val="auto"/>
              </w:rPr>
            </w:pPr>
            <w:r>
              <w:rPr>
                <w:rFonts w:ascii="Arial" w:cs="Arial" w:eastAsia="Arial" w:hAnsi="Arial"/>
                <w:sz w:val="12"/>
                <w:szCs w:val="12"/>
                <w:color w:val="auto"/>
              </w:rPr>
              <w:t>598</w:t>
            </w:r>
          </w:p>
        </w:tc>
        <w:tc>
          <w:tcPr>
            <w:tcW w:w="940" w:type="dxa"/>
            <w:vAlign w:val="bottom"/>
          </w:tcPr>
          <w:p>
            <w:pPr>
              <w:spacing w:after="0"/>
              <w:rPr>
                <w:sz w:val="11"/>
                <w:szCs w:val="11"/>
                <w:color w:val="auto"/>
              </w:rPr>
            </w:pPr>
          </w:p>
        </w:tc>
        <w:tc>
          <w:tcPr>
            <w:tcW w:w="280" w:type="dxa"/>
            <w:vAlign w:val="bottom"/>
          </w:tcPr>
          <w:p>
            <w:pPr>
              <w:jc w:val="right"/>
              <w:spacing w:after="0" w:line="134" w:lineRule="exact"/>
              <w:rPr>
                <w:sz w:val="20"/>
                <w:szCs w:val="20"/>
                <w:color w:val="auto"/>
              </w:rPr>
            </w:pPr>
            <w:r>
              <w:rPr>
                <w:rFonts w:ascii="Arial" w:cs="Arial" w:eastAsia="Arial" w:hAnsi="Arial"/>
                <w:sz w:val="12"/>
                <w:szCs w:val="12"/>
                <w:color w:val="auto"/>
              </w:rPr>
              <w:t>34</w:t>
            </w:r>
          </w:p>
        </w:tc>
        <w:tc>
          <w:tcPr>
            <w:tcW w:w="26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2"/>
                <w:szCs w:val="12"/>
                <w:color w:val="auto"/>
              </w:rPr>
              <w:t>598</w:t>
            </w:r>
          </w:p>
        </w:tc>
        <w:tc>
          <w:tcPr>
            <w:tcW w:w="300" w:type="dxa"/>
            <w:vAlign w:val="bottom"/>
          </w:tcPr>
          <w:p>
            <w:pPr>
              <w:spacing w:after="0"/>
              <w:rPr>
                <w:sz w:val="11"/>
                <w:szCs w:val="11"/>
                <w:color w:val="auto"/>
              </w:rPr>
            </w:pPr>
          </w:p>
        </w:tc>
        <w:tc>
          <w:tcPr>
            <w:tcW w:w="920" w:type="dxa"/>
            <w:vAlign w:val="bottom"/>
          </w:tcPr>
          <w:p>
            <w:pPr>
              <w:jc w:val="right"/>
              <w:spacing w:after="0" w:line="134" w:lineRule="exact"/>
              <w:rPr>
                <w:sz w:val="20"/>
                <w:szCs w:val="20"/>
                <w:color w:val="auto"/>
              </w:rPr>
            </w:pPr>
            <w:r>
              <w:rPr>
                <w:rFonts w:ascii="Arial" w:cs="Arial" w:eastAsia="Arial" w:hAnsi="Arial"/>
                <w:sz w:val="12"/>
                <w:szCs w:val="12"/>
                <w:color w:val="auto"/>
              </w:rPr>
              <w:t>34</w:t>
            </w:r>
          </w:p>
        </w:tc>
        <w:tc>
          <w:tcPr>
            <w:tcW w:w="26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38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160" w:type="dxa"/>
            <w:vAlign w:val="bottom"/>
          </w:tcPr>
          <w:p>
            <w:pPr>
              <w:ind w:left="140"/>
              <w:spacing w:after="0"/>
              <w:rPr>
                <w:sz w:val="20"/>
                <w:szCs w:val="20"/>
                <w:color w:val="auto"/>
              </w:rPr>
            </w:pPr>
            <w:r>
              <w:rPr>
                <w:rFonts w:ascii="Arial" w:cs="Arial" w:eastAsia="Arial" w:hAnsi="Arial"/>
                <w:sz w:val="12"/>
                <w:szCs w:val="12"/>
                <w:color w:val="auto"/>
              </w:rPr>
              <w:t>Non-utility, fixed-rate and variable-rate</w:t>
            </w: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4,255</w:t>
            </w:r>
          </w:p>
        </w:tc>
        <w:tc>
          <w:tcPr>
            <w:tcW w:w="9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304</w:t>
            </w: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ectPr>
          <w:pgSz w:w="11900" w:h="16838" w:orient="portrait"/>
          <w:cols w:equalWidth="0" w:num="1">
            <w:col w:w="11460"/>
          </w:cols>
          <w:pgMar w:left="220" w:top="129" w:right="219" w:bottom="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60" w:type="dxa"/>
            <w:vAlign w:val="bottom"/>
          </w:tcPr>
          <w:p>
            <w:pPr>
              <w:spacing w:after="0"/>
              <w:rPr>
                <w:sz w:val="20"/>
                <w:szCs w:val="20"/>
                <w:color w:val="auto"/>
              </w:rPr>
            </w:pPr>
            <w:r>
              <w:rPr>
                <w:rFonts w:ascii="Arial" w:cs="Arial" w:eastAsia="Arial" w:hAnsi="Arial"/>
                <w:sz w:val="12"/>
                <w:szCs w:val="12"/>
                <w:color w:val="auto"/>
              </w:rPr>
              <w:t>At December 31, 2010:</w:t>
            </w:r>
          </w:p>
        </w:tc>
        <w:tc>
          <w:tcPr>
            <w:tcW w:w="1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4"/>
        </w:trPr>
        <w:tc>
          <w:tcPr>
            <w:tcW w:w="3160" w:type="dxa"/>
            <w:vAlign w:val="bottom"/>
          </w:tcPr>
          <w:p>
            <w:pPr>
              <w:ind w:left="140"/>
              <w:spacing w:after="0" w:line="134" w:lineRule="exact"/>
              <w:rPr>
                <w:sz w:val="20"/>
                <w:szCs w:val="20"/>
                <w:color w:val="auto"/>
              </w:rPr>
            </w:pPr>
            <w:r>
              <w:rPr>
                <w:rFonts w:ascii="Arial" w:cs="Arial" w:eastAsia="Arial" w:hAnsi="Arial"/>
                <w:sz w:val="12"/>
                <w:szCs w:val="12"/>
                <w:color w:val="auto"/>
              </w:rPr>
              <w:t>Utility fixed-rate</w:t>
            </w:r>
          </w:p>
        </w:tc>
        <w:tc>
          <w:tcPr>
            <w:tcW w:w="1420" w:type="dxa"/>
            <w:vAlign w:val="bottom"/>
          </w:tcPr>
          <w:p>
            <w:pPr>
              <w:jc w:val="right"/>
              <w:ind w:right="338"/>
              <w:spacing w:after="0" w:line="134"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4" w:lineRule="exact"/>
              <w:rPr>
                <w:sz w:val="20"/>
                <w:szCs w:val="20"/>
                <w:color w:val="auto"/>
              </w:rPr>
            </w:pPr>
            <w:r>
              <w:rPr>
                <w:rFonts w:ascii="Arial" w:cs="Arial" w:eastAsia="Arial" w:hAnsi="Arial"/>
                <w:sz w:val="12"/>
                <w:szCs w:val="12"/>
                <w:color w:val="auto"/>
              </w:rPr>
              <w:t>4,117</w:t>
            </w:r>
          </w:p>
        </w:tc>
        <w:tc>
          <w:tcPr>
            <w:tcW w:w="540" w:type="dxa"/>
            <w:vAlign w:val="bottom"/>
          </w:tcPr>
          <w:p>
            <w:pPr>
              <w:jc w:val="right"/>
              <w:ind w:right="378"/>
              <w:spacing w:after="0" w:line="134"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787</w:t>
            </w:r>
          </w:p>
        </w:tc>
        <w:tc>
          <w:tcPr>
            <w:tcW w:w="500" w:type="dxa"/>
            <w:vAlign w:val="bottom"/>
          </w:tcPr>
          <w:p>
            <w:pPr>
              <w:jc w:val="right"/>
              <w:ind w:right="338"/>
              <w:spacing w:after="0" w:line="134"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4" w:lineRule="exact"/>
              <w:rPr>
                <w:sz w:val="20"/>
                <w:szCs w:val="20"/>
                <w:color w:val="auto"/>
              </w:rPr>
            </w:pPr>
            <w:r>
              <w:rPr>
                <w:rFonts w:ascii="Arial" w:cs="Arial" w:eastAsia="Arial" w:hAnsi="Arial"/>
                <w:sz w:val="12"/>
                <w:szCs w:val="12"/>
                <w:color w:val="auto"/>
              </w:rPr>
              <w:t>2,704</w:t>
            </w:r>
          </w:p>
        </w:tc>
        <w:tc>
          <w:tcPr>
            <w:tcW w:w="540" w:type="dxa"/>
            <w:vAlign w:val="bottom"/>
          </w:tcPr>
          <w:p>
            <w:pPr>
              <w:jc w:val="right"/>
              <w:ind w:right="378"/>
              <w:spacing w:after="0" w:line="134"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587</w:t>
            </w:r>
          </w:p>
        </w:tc>
        <w:tc>
          <w:tcPr>
            <w:tcW w:w="500" w:type="dxa"/>
            <w:vAlign w:val="bottom"/>
          </w:tcPr>
          <w:p>
            <w:pPr>
              <w:jc w:val="right"/>
              <w:ind w:right="338"/>
              <w:spacing w:after="0" w:line="134"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4" w:lineRule="exact"/>
              <w:rPr>
                <w:sz w:val="20"/>
                <w:szCs w:val="20"/>
                <w:color w:val="auto"/>
              </w:rPr>
            </w:pPr>
            <w:r>
              <w:rPr>
                <w:rFonts w:ascii="Arial" w:cs="Arial" w:eastAsia="Arial" w:hAnsi="Arial"/>
                <w:sz w:val="12"/>
                <w:szCs w:val="12"/>
                <w:color w:val="auto"/>
              </w:rPr>
              <w:t>1,413</w:t>
            </w:r>
          </w:p>
        </w:tc>
        <w:tc>
          <w:tcPr>
            <w:tcW w:w="560" w:type="dxa"/>
            <w:vAlign w:val="bottom"/>
          </w:tcPr>
          <w:p>
            <w:pPr>
              <w:jc w:val="right"/>
              <w:ind w:right="418"/>
              <w:spacing w:after="0" w:line="134" w:lineRule="exact"/>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200</w:t>
            </w:r>
          </w:p>
        </w:tc>
      </w:tr>
      <w:tr>
        <w:trPr>
          <w:trHeight w:val="134"/>
        </w:trPr>
        <w:tc>
          <w:tcPr>
            <w:tcW w:w="3160" w:type="dxa"/>
            <w:vAlign w:val="bottom"/>
          </w:tcPr>
          <w:p>
            <w:pPr>
              <w:ind w:left="140"/>
              <w:spacing w:after="0" w:line="134" w:lineRule="exact"/>
              <w:rPr>
                <w:sz w:val="20"/>
                <w:szCs w:val="20"/>
                <w:color w:val="auto"/>
              </w:rPr>
            </w:pPr>
            <w:r>
              <w:rPr>
                <w:rFonts w:ascii="Arial" w:cs="Arial" w:eastAsia="Arial" w:hAnsi="Arial"/>
                <w:sz w:val="12"/>
                <w:szCs w:val="12"/>
                <w:color w:val="auto"/>
              </w:rPr>
              <w:t>Utility variable-rate</w:t>
            </w:r>
          </w:p>
        </w:tc>
        <w:tc>
          <w:tcPr>
            <w:tcW w:w="1420" w:type="dxa"/>
            <w:vAlign w:val="bottom"/>
          </w:tcPr>
          <w:p>
            <w:pPr>
              <w:spacing w:after="0"/>
              <w:rPr>
                <w:sz w:val="11"/>
                <w:szCs w:val="11"/>
                <w:color w:val="auto"/>
              </w:rPr>
            </w:pPr>
          </w:p>
        </w:tc>
        <w:tc>
          <w:tcPr>
            <w:tcW w:w="720" w:type="dxa"/>
            <w:vAlign w:val="bottom"/>
          </w:tcPr>
          <w:p>
            <w:pPr>
              <w:jc w:val="right"/>
              <w:spacing w:after="0" w:line="134" w:lineRule="exact"/>
              <w:rPr>
                <w:sz w:val="20"/>
                <w:szCs w:val="20"/>
                <w:color w:val="auto"/>
              </w:rPr>
            </w:pPr>
            <w:r>
              <w:rPr>
                <w:rFonts w:ascii="Arial" w:cs="Arial" w:eastAsia="Arial" w:hAnsi="Arial"/>
                <w:sz w:val="12"/>
                <w:szCs w:val="12"/>
                <w:color w:val="auto"/>
              </w:rPr>
              <w:t>751</w:t>
            </w:r>
          </w:p>
        </w:tc>
        <w:tc>
          <w:tcPr>
            <w:tcW w:w="54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59</w:t>
            </w:r>
          </w:p>
        </w:tc>
        <w:tc>
          <w:tcPr>
            <w:tcW w:w="500" w:type="dxa"/>
            <w:vAlign w:val="bottom"/>
          </w:tcPr>
          <w:p>
            <w:pPr>
              <w:spacing w:after="0"/>
              <w:rPr>
                <w:sz w:val="11"/>
                <w:szCs w:val="11"/>
                <w:color w:val="auto"/>
              </w:rPr>
            </w:pPr>
          </w:p>
        </w:tc>
        <w:tc>
          <w:tcPr>
            <w:tcW w:w="720" w:type="dxa"/>
            <w:vAlign w:val="bottom"/>
          </w:tcPr>
          <w:p>
            <w:pPr>
              <w:jc w:val="right"/>
              <w:spacing w:after="0" w:line="134" w:lineRule="exact"/>
              <w:rPr>
                <w:sz w:val="20"/>
                <w:szCs w:val="20"/>
                <w:color w:val="auto"/>
              </w:rPr>
            </w:pPr>
            <w:r>
              <w:rPr>
                <w:rFonts w:ascii="Arial" w:cs="Arial" w:eastAsia="Arial" w:hAnsi="Arial"/>
                <w:sz w:val="12"/>
                <w:szCs w:val="12"/>
                <w:color w:val="auto"/>
              </w:rPr>
              <w:t>601</w:t>
            </w:r>
          </w:p>
        </w:tc>
        <w:tc>
          <w:tcPr>
            <w:tcW w:w="54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59</w:t>
            </w:r>
          </w:p>
        </w:tc>
        <w:tc>
          <w:tcPr>
            <w:tcW w:w="50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2"/>
                <w:szCs w:val="12"/>
                <w:color w:val="auto"/>
              </w:rPr>
              <w:t>150</w:t>
            </w:r>
          </w:p>
        </w:tc>
        <w:tc>
          <w:tcPr>
            <w:tcW w:w="56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r>
      <w:tr>
        <w:trPr>
          <w:trHeight w:val="148"/>
        </w:trPr>
        <w:tc>
          <w:tcPr>
            <w:tcW w:w="3160" w:type="dxa"/>
            <w:vAlign w:val="bottom"/>
          </w:tcPr>
          <w:p>
            <w:pPr>
              <w:ind w:left="140"/>
              <w:spacing w:after="0"/>
              <w:rPr>
                <w:sz w:val="20"/>
                <w:szCs w:val="20"/>
                <w:color w:val="auto"/>
              </w:rPr>
            </w:pPr>
            <w:r>
              <w:rPr>
                <w:rFonts w:ascii="Arial" w:cs="Arial" w:eastAsia="Arial" w:hAnsi="Arial"/>
                <w:sz w:val="12"/>
                <w:szCs w:val="12"/>
                <w:color w:val="auto"/>
              </w:rPr>
              <w:t>Non-utility, fixed-rate and variable-rate</w:t>
            </w:r>
          </w:p>
        </w:tc>
        <w:tc>
          <w:tcPr>
            <w:tcW w:w="14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3,459</w:t>
            </w:r>
          </w:p>
        </w:tc>
        <w:tc>
          <w:tcPr>
            <w:tcW w:w="5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509</w:t>
            </w:r>
          </w:p>
        </w:tc>
        <w:tc>
          <w:tcPr>
            <w:tcW w:w="5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279005" cy="133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(1) After the effects of interest rate swaps.</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At March 31, 2011, the net notional amount of interest rate swap transactions ranged from $15 million to $305 million at Sempra Energy (ranges relate to amortizing notional amounts). We provide additional information about interest rate swap transactions in Note 7 of the Notes to Condensed Consolidated Financial Statements herein.</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RATE RISK</w:t>
      </w:r>
    </w:p>
    <w:p>
      <w:pPr>
        <w:spacing w:after="0" w:line="176" w:lineRule="exact"/>
        <w:rPr>
          <w:sz w:val="20"/>
          <w:szCs w:val="20"/>
          <w:color w:val="auto"/>
        </w:rPr>
      </w:pPr>
    </w:p>
    <w:p>
      <w:pPr>
        <w:ind w:right="380"/>
        <w:spacing w:after="0" w:line="251" w:lineRule="auto"/>
        <w:rPr>
          <w:sz w:val="20"/>
          <w:szCs w:val="20"/>
          <w:color w:val="auto"/>
        </w:rPr>
      </w:pPr>
      <w:r>
        <w:rPr>
          <w:rFonts w:ascii="Arial" w:cs="Arial" w:eastAsia="Arial" w:hAnsi="Arial"/>
          <w:sz w:val="14"/>
          <w:szCs w:val="14"/>
          <w:color w:val="auto"/>
        </w:rPr>
        <w:t>We discuss our foreign currency rate risk in detail in "Management's Discussion and Analysis of Financial Condition and Results of Operations" in the Annual Report. At March 31, 2011, there were no significant changes to our exposure to foreign currency rate risk since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252730</wp:posOffset>
            </wp:positionV>
            <wp:extent cx="729170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1705" cy="635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auto"/>
        </w:rPr>
        <w:t>ITEM 4. CONTROLS AND PROCEDURES</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76" w:lineRule="exact"/>
        <w:rPr>
          <w:sz w:val="20"/>
          <w:szCs w:val="20"/>
          <w:color w:val="auto"/>
        </w:rPr>
      </w:pPr>
    </w:p>
    <w:p>
      <w:pPr>
        <w:ind w:right="200"/>
        <w:spacing w:after="0" w:line="336" w:lineRule="auto"/>
        <w:rPr>
          <w:sz w:val="20"/>
          <w:szCs w:val="20"/>
          <w:color w:val="auto"/>
        </w:rPr>
      </w:pPr>
      <w:r>
        <w:rPr>
          <w:rFonts w:ascii="Arial" w:cs="Arial" w:eastAsia="Arial" w:hAnsi="Arial"/>
          <w:sz w:val="11"/>
          <w:szCs w:val="11"/>
          <w:color w:val="auto"/>
        </w:rPr>
        <w:t>Sempra Energy, SDG&amp;E, PE and SoCalGas have designed and maintain disclosure controls and procedures to ensure that information required to be disclosed in their respective reports is recorded, processed, summarized and reported within the time periods specified in the rules and forms of the Securities and Exchange Commission and is accumulated and communicated to the management of each company, including each respective Chief Executive Officer and Chief Financial Officer, to allow timely decisions regarding required disclosure. In designing and evaluating these controls and procedures, the management of each company recognizes that any system of controls and procedures, no matter how well designed and operated, can provide only reasonable assurance of achieving the desired control objectives; therefore, the management of each company applies judgment in evaluating the cost-benefit relationship of other possible controls and procedures.</w:t>
      </w:r>
    </w:p>
    <w:p>
      <w:pPr>
        <w:spacing w:after="0" w:line="107"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color w:val="auto"/>
        </w:rPr>
        <w:t>Under the supervision and with the participation of management, including the Chief Executive Officers and Chief Financial Officers of Sempra Energy, SDG&amp;E, PE and SoCalGas, each company evaluated the effectiveness of the design and operation of its disclosure controls and procedures as of March 31, 2011, the end of the period covered by this report. Based on these evaluations, the Chief Executive Officers and Chief Financial Officers of Sempra Energy, SDG&amp;E, PE and SoCalGas concluded that their respective company's disclosure controls and procedures were effective at the reasonable assurance level.</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INTERNAL CONTROL OVER FINANCIAL REPORTING</w:t>
      </w:r>
    </w:p>
    <w:p>
      <w:pPr>
        <w:spacing w:after="0" w:line="176" w:lineRule="exact"/>
        <w:rPr>
          <w:sz w:val="20"/>
          <w:szCs w:val="20"/>
          <w:color w:val="auto"/>
        </w:rPr>
      </w:pPr>
    </w:p>
    <w:p>
      <w:pPr>
        <w:ind w:right="380"/>
        <w:spacing w:after="0" w:line="267" w:lineRule="auto"/>
        <w:rPr>
          <w:sz w:val="20"/>
          <w:szCs w:val="20"/>
          <w:color w:val="auto"/>
        </w:rPr>
      </w:pPr>
      <w:r>
        <w:rPr>
          <w:rFonts w:ascii="Arial" w:cs="Arial" w:eastAsia="Arial" w:hAnsi="Arial"/>
          <w:sz w:val="14"/>
          <w:szCs w:val="14"/>
          <w:color w:val="auto"/>
        </w:rPr>
        <w:t>There have been no changes in the companies' internal control over financial reporting during the most recent fiscal quarter that have materially affected, or are reasonably likely to materially affect, the companies'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286385</wp:posOffset>
            </wp:positionV>
            <wp:extent cx="729170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1705" cy="635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color w:val="auto"/>
        </w:rPr>
        <w:t>ITEM 1. LEGAL PROCEEDINGS</w:t>
      </w:r>
    </w:p>
    <w:p>
      <w:pPr>
        <w:spacing w:after="0" w:line="150" w:lineRule="exact"/>
        <w:rPr>
          <w:sz w:val="20"/>
          <w:szCs w:val="20"/>
          <w:color w:val="auto"/>
        </w:rPr>
      </w:pPr>
    </w:p>
    <w:p>
      <w:pPr>
        <w:jc w:val="both"/>
        <w:ind w:right="300"/>
        <w:spacing w:after="0" w:line="256" w:lineRule="auto"/>
        <w:rPr>
          <w:sz w:val="20"/>
          <w:szCs w:val="20"/>
          <w:color w:val="auto"/>
        </w:rPr>
      </w:pPr>
      <w:r>
        <w:rPr>
          <w:rFonts w:ascii="Arial" w:cs="Arial" w:eastAsia="Arial" w:hAnsi="Arial"/>
          <w:sz w:val="14"/>
          <w:szCs w:val="14"/>
          <w:color w:val="auto"/>
        </w:rPr>
        <w:t>We are not party to, and our property is not the subject of, any material pending legal proceedings (other than ordinary routine litigation incidental to our businesses) except for the matters 1) described in Notes 9 and 10 of the Notes to Condensed Consolidated Financial Statements herein and Notes 14, 15 and 16 of the Notes to Consolidated Financial Statements in the Annual Report, or 2) referred to in "Management's Discussion and Analysis of Financial Condition and Results of Operations" herein and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257175</wp:posOffset>
            </wp:positionV>
            <wp:extent cx="729170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1705" cy="63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color w:val="auto"/>
        </w:rPr>
        <w:t>ITEM 1A. RISK FACTORS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There have not been any material changes from the risk factors previously disclosed in our Annual Report on Form 10-K for the year ended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272415</wp:posOffset>
            </wp:positionV>
            <wp:extent cx="729170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1705" cy="635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auto"/>
        </w:rPr>
        <w:t>ITEM 2. UNREGISTERED SALES OF EQUITY SECURITIES AND USE OF PROCEEDS</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PURCHASES OF EQUITY SECURITIES BY THE ISSUER AND AFFILIATED PURCHASERS</w:t>
      </w:r>
    </w:p>
    <w:p>
      <w:pPr>
        <w:spacing w:after="0" w:line="176" w:lineRule="exact"/>
        <w:rPr>
          <w:sz w:val="20"/>
          <w:szCs w:val="20"/>
          <w:color w:val="auto"/>
        </w:rPr>
      </w:pPr>
    </w:p>
    <w:p>
      <w:pPr>
        <w:ind w:right="200"/>
        <w:spacing w:after="0" w:line="405" w:lineRule="auto"/>
        <w:rPr>
          <w:sz w:val="20"/>
          <w:szCs w:val="20"/>
          <w:color w:val="auto"/>
        </w:rPr>
      </w:pPr>
      <w:r>
        <w:rPr>
          <w:rFonts w:ascii="Arial" w:cs="Arial" w:eastAsia="Arial" w:hAnsi="Arial"/>
          <w:sz w:val="11"/>
          <w:szCs w:val="11"/>
          <w:color w:val="auto"/>
        </w:rPr>
        <w:t>On September 21, 2010, we entered into a Collared Accelerated Share Acquisition Program with JPMorgan Chase Bank, National Association under which we prepaid $500 million to repurchase shares of our common stock, as we discuss in Note 13 of the Notes to Consolidated Financial Statements in the Annual Report and in Note 5 of the Notes to Condensed Consolidated Financial Statements herein.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information concerning purchases made by us, from the program authorized above, of our common stock during the first quarter of 2011: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8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740" w:type="dxa"/>
            <w:vAlign w:val="bottom"/>
          </w:tcPr>
          <w:p>
            <w:pPr>
              <w:jc w:val="center"/>
              <w:ind w:right="344"/>
              <w:spacing w:after="0"/>
              <w:rPr>
                <w:sz w:val="20"/>
                <w:szCs w:val="20"/>
                <w:color w:val="auto"/>
              </w:rPr>
            </w:pPr>
            <w:r>
              <w:rPr>
                <w:rFonts w:ascii="Arial" w:cs="Arial" w:eastAsia="Arial" w:hAnsi="Arial"/>
                <w:sz w:val="11"/>
                <w:szCs w:val="11"/>
                <w:color w:val="auto"/>
                <w:w w:val="96"/>
              </w:rPr>
              <w:t>Maximum</w:t>
            </w:r>
          </w:p>
        </w:tc>
      </w:tr>
      <w:tr>
        <w:trPr>
          <w:trHeight w:val="134"/>
        </w:trPr>
        <w:tc>
          <w:tcPr>
            <w:tcW w:w="28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160" w:type="dxa"/>
            <w:vAlign w:val="bottom"/>
          </w:tcPr>
          <w:p>
            <w:pPr>
              <w:jc w:val="center"/>
              <w:ind w:left="984"/>
              <w:spacing w:after="0"/>
              <w:rPr>
                <w:sz w:val="20"/>
                <w:szCs w:val="20"/>
                <w:color w:val="auto"/>
              </w:rPr>
            </w:pPr>
            <w:r>
              <w:rPr>
                <w:rFonts w:ascii="Arial" w:cs="Arial" w:eastAsia="Arial" w:hAnsi="Arial"/>
                <w:sz w:val="11"/>
                <w:szCs w:val="11"/>
                <w:color w:val="auto"/>
                <w:w w:val="96"/>
              </w:rPr>
              <w:t>Total Number of</w:t>
            </w:r>
          </w:p>
        </w:tc>
        <w:tc>
          <w:tcPr>
            <w:tcW w:w="1040" w:type="dxa"/>
            <w:vAlign w:val="bottom"/>
          </w:tcPr>
          <w:p>
            <w:pPr>
              <w:spacing w:after="0"/>
              <w:rPr>
                <w:sz w:val="11"/>
                <w:szCs w:val="11"/>
                <w:color w:val="auto"/>
              </w:rPr>
            </w:pPr>
          </w:p>
        </w:tc>
        <w:tc>
          <w:tcPr>
            <w:tcW w:w="2740" w:type="dxa"/>
            <w:vAlign w:val="bottom"/>
          </w:tcPr>
          <w:p>
            <w:pPr>
              <w:jc w:val="center"/>
              <w:ind w:right="344"/>
              <w:spacing w:after="0"/>
              <w:rPr>
                <w:sz w:val="20"/>
                <w:szCs w:val="20"/>
                <w:color w:val="auto"/>
              </w:rPr>
            </w:pPr>
            <w:r>
              <w:rPr>
                <w:rFonts w:ascii="Arial" w:cs="Arial" w:eastAsia="Arial" w:hAnsi="Arial"/>
                <w:sz w:val="11"/>
                <w:szCs w:val="11"/>
                <w:color w:val="auto"/>
                <w:w w:val="96"/>
              </w:rPr>
              <w:t>Dollar Value of</w:t>
            </w:r>
          </w:p>
        </w:tc>
      </w:tr>
      <w:tr>
        <w:trPr>
          <w:trHeight w:val="134"/>
        </w:trPr>
        <w:tc>
          <w:tcPr>
            <w:tcW w:w="2820" w:type="dxa"/>
            <w:vAlign w:val="bottom"/>
          </w:tcPr>
          <w:p>
            <w:pPr>
              <w:spacing w:after="0"/>
              <w:rPr>
                <w:sz w:val="11"/>
                <w:szCs w:val="11"/>
                <w:color w:val="auto"/>
              </w:rPr>
            </w:pPr>
          </w:p>
        </w:tc>
        <w:tc>
          <w:tcPr>
            <w:tcW w:w="1700" w:type="dxa"/>
            <w:vAlign w:val="bottom"/>
          </w:tcPr>
          <w:p>
            <w:pPr>
              <w:jc w:val="center"/>
              <w:ind w:right="163"/>
              <w:spacing w:after="0"/>
              <w:rPr>
                <w:sz w:val="20"/>
                <w:szCs w:val="20"/>
                <w:color w:val="auto"/>
              </w:rPr>
            </w:pPr>
            <w:r>
              <w:rPr>
                <w:rFonts w:ascii="Arial" w:cs="Arial" w:eastAsia="Arial" w:hAnsi="Arial"/>
                <w:sz w:val="11"/>
                <w:szCs w:val="11"/>
                <w:color w:val="auto"/>
                <w:w w:val="97"/>
              </w:rPr>
              <w:t>Total</w:t>
            </w:r>
          </w:p>
        </w:tc>
        <w:tc>
          <w:tcPr>
            <w:tcW w:w="1000" w:type="dxa"/>
            <w:vAlign w:val="bottom"/>
          </w:tcPr>
          <w:p>
            <w:pPr>
              <w:spacing w:after="0"/>
              <w:rPr>
                <w:sz w:val="11"/>
                <w:szCs w:val="11"/>
                <w:color w:val="auto"/>
              </w:rPr>
            </w:pPr>
          </w:p>
        </w:tc>
        <w:tc>
          <w:tcPr>
            <w:tcW w:w="2160" w:type="dxa"/>
            <w:vAlign w:val="bottom"/>
          </w:tcPr>
          <w:p>
            <w:pPr>
              <w:jc w:val="center"/>
              <w:ind w:left="984"/>
              <w:spacing w:after="0"/>
              <w:rPr>
                <w:sz w:val="20"/>
                <w:szCs w:val="20"/>
                <w:color w:val="auto"/>
              </w:rPr>
            </w:pPr>
            <w:r>
              <w:rPr>
                <w:rFonts w:ascii="Arial" w:cs="Arial" w:eastAsia="Arial" w:hAnsi="Arial"/>
                <w:sz w:val="11"/>
                <w:szCs w:val="11"/>
                <w:color w:val="auto"/>
                <w:w w:val="98"/>
              </w:rPr>
              <w:t>Shares Purchased as</w:t>
            </w:r>
          </w:p>
        </w:tc>
        <w:tc>
          <w:tcPr>
            <w:tcW w:w="1040" w:type="dxa"/>
            <w:vAlign w:val="bottom"/>
          </w:tcPr>
          <w:p>
            <w:pPr>
              <w:spacing w:after="0"/>
              <w:rPr>
                <w:sz w:val="11"/>
                <w:szCs w:val="11"/>
                <w:color w:val="auto"/>
              </w:rPr>
            </w:pPr>
          </w:p>
        </w:tc>
        <w:tc>
          <w:tcPr>
            <w:tcW w:w="2740" w:type="dxa"/>
            <w:vAlign w:val="bottom"/>
          </w:tcPr>
          <w:p>
            <w:pPr>
              <w:jc w:val="center"/>
              <w:ind w:right="344"/>
              <w:spacing w:after="0"/>
              <w:rPr>
                <w:sz w:val="20"/>
                <w:szCs w:val="20"/>
                <w:color w:val="auto"/>
              </w:rPr>
            </w:pPr>
            <w:r>
              <w:rPr>
                <w:rFonts w:ascii="Arial" w:cs="Arial" w:eastAsia="Arial" w:hAnsi="Arial"/>
                <w:sz w:val="11"/>
                <w:szCs w:val="11"/>
                <w:color w:val="auto"/>
              </w:rPr>
              <w:t>Shares that May</w:t>
            </w:r>
          </w:p>
        </w:tc>
      </w:tr>
      <w:tr>
        <w:trPr>
          <w:trHeight w:val="134"/>
        </w:trPr>
        <w:tc>
          <w:tcPr>
            <w:tcW w:w="2820" w:type="dxa"/>
            <w:vAlign w:val="bottom"/>
          </w:tcPr>
          <w:p>
            <w:pPr>
              <w:spacing w:after="0"/>
              <w:rPr>
                <w:sz w:val="11"/>
                <w:szCs w:val="11"/>
                <w:color w:val="auto"/>
              </w:rPr>
            </w:pPr>
          </w:p>
        </w:tc>
        <w:tc>
          <w:tcPr>
            <w:tcW w:w="1700" w:type="dxa"/>
            <w:vAlign w:val="bottom"/>
          </w:tcPr>
          <w:p>
            <w:pPr>
              <w:jc w:val="center"/>
              <w:ind w:right="163"/>
              <w:spacing w:after="0"/>
              <w:rPr>
                <w:sz w:val="20"/>
                <w:szCs w:val="20"/>
                <w:color w:val="auto"/>
              </w:rPr>
            </w:pPr>
            <w:r>
              <w:rPr>
                <w:rFonts w:ascii="Arial" w:cs="Arial" w:eastAsia="Arial" w:hAnsi="Arial"/>
                <w:sz w:val="11"/>
                <w:szCs w:val="11"/>
                <w:color w:val="auto"/>
              </w:rPr>
              <w:t>Number</w:t>
            </w:r>
          </w:p>
        </w:tc>
        <w:tc>
          <w:tcPr>
            <w:tcW w:w="1000" w:type="dxa"/>
            <w:vAlign w:val="bottom"/>
          </w:tcPr>
          <w:p>
            <w:pPr>
              <w:jc w:val="center"/>
              <w:ind w:left="123"/>
              <w:spacing w:after="0"/>
              <w:rPr>
                <w:sz w:val="20"/>
                <w:szCs w:val="20"/>
                <w:color w:val="auto"/>
              </w:rPr>
            </w:pPr>
            <w:r>
              <w:rPr>
                <w:rFonts w:ascii="Arial" w:cs="Arial" w:eastAsia="Arial" w:hAnsi="Arial"/>
                <w:sz w:val="11"/>
                <w:szCs w:val="11"/>
                <w:color w:val="auto"/>
              </w:rPr>
              <w:t>Average</w:t>
            </w:r>
          </w:p>
        </w:tc>
        <w:tc>
          <w:tcPr>
            <w:tcW w:w="2160" w:type="dxa"/>
            <w:vAlign w:val="bottom"/>
          </w:tcPr>
          <w:p>
            <w:pPr>
              <w:jc w:val="center"/>
              <w:ind w:left="984"/>
              <w:spacing w:after="0"/>
              <w:rPr>
                <w:sz w:val="20"/>
                <w:szCs w:val="20"/>
                <w:color w:val="auto"/>
              </w:rPr>
            </w:pPr>
            <w:r>
              <w:rPr>
                <w:rFonts w:ascii="Arial" w:cs="Arial" w:eastAsia="Arial" w:hAnsi="Arial"/>
                <w:sz w:val="11"/>
                <w:szCs w:val="11"/>
                <w:color w:val="auto"/>
                <w:w w:val="98"/>
              </w:rPr>
              <w:t>Part of Publicly</w:t>
            </w:r>
          </w:p>
        </w:tc>
        <w:tc>
          <w:tcPr>
            <w:tcW w:w="1040" w:type="dxa"/>
            <w:vAlign w:val="bottom"/>
          </w:tcPr>
          <w:p>
            <w:pPr>
              <w:spacing w:after="0"/>
              <w:rPr>
                <w:sz w:val="11"/>
                <w:szCs w:val="11"/>
                <w:color w:val="auto"/>
              </w:rPr>
            </w:pPr>
          </w:p>
        </w:tc>
        <w:tc>
          <w:tcPr>
            <w:tcW w:w="2740" w:type="dxa"/>
            <w:vAlign w:val="bottom"/>
          </w:tcPr>
          <w:p>
            <w:pPr>
              <w:jc w:val="center"/>
              <w:ind w:right="344"/>
              <w:spacing w:after="0"/>
              <w:rPr>
                <w:sz w:val="20"/>
                <w:szCs w:val="20"/>
                <w:color w:val="auto"/>
              </w:rPr>
            </w:pPr>
            <w:r>
              <w:rPr>
                <w:rFonts w:ascii="Arial" w:cs="Arial" w:eastAsia="Arial" w:hAnsi="Arial"/>
                <w:sz w:val="11"/>
                <w:szCs w:val="11"/>
                <w:color w:val="auto"/>
                <w:w w:val="96"/>
              </w:rPr>
              <w:t>Yet Be Purchased</w:t>
            </w:r>
          </w:p>
        </w:tc>
      </w:tr>
      <w:tr>
        <w:trPr>
          <w:trHeight w:val="134"/>
        </w:trPr>
        <w:tc>
          <w:tcPr>
            <w:tcW w:w="2820" w:type="dxa"/>
            <w:vAlign w:val="bottom"/>
          </w:tcPr>
          <w:p>
            <w:pPr>
              <w:spacing w:after="0"/>
              <w:rPr>
                <w:sz w:val="11"/>
                <w:szCs w:val="11"/>
                <w:color w:val="auto"/>
              </w:rPr>
            </w:pPr>
          </w:p>
        </w:tc>
        <w:tc>
          <w:tcPr>
            <w:tcW w:w="1700" w:type="dxa"/>
            <w:vAlign w:val="bottom"/>
          </w:tcPr>
          <w:p>
            <w:pPr>
              <w:jc w:val="center"/>
              <w:ind w:right="163"/>
              <w:spacing w:after="0"/>
              <w:rPr>
                <w:sz w:val="20"/>
                <w:szCs w:val="20"/>
                <w:color w:val="auto"/>
              </w:rPr>
            </w:pPr>
            <w:r>
              <w:rPr>
                <w:rFonts w:ascii="Arial" w:cs="Arial" w:eastAsia="Arial" w:hAnsi="Arial"/>
                <w:sz w:val="11"/>
                <w:szCs w:val="11"/>
                <w:color w:val="auto"/>
              </w:rPr>
              <w:t>of Shares</w:t>
            </w:r>
          </w:p>
        </w:tc>
        <w:tc>
          <w:tcPr>
            <w:tcW w:w="1000" w:type="dxa"/>
            <w:vAlign w:val="bottom"/>
          </w:tcPr>
          <w:p>
            <w:pPr>
              <w:jc w:val="center"/>
              <w:ind w:left="123"/>
              <w:spacing w:after="0"/>
              <w:rPr>
                <w:sz w:val="20"/>
                <w:szCs w:val="20"/>
                <w:color w:val="auto"/>
              </w:rPr>
            </w:pPr>
            <w:r>
              <w:rPr>
                <w:rFonts w:ascii="Arial" w:cs="Arial" w:eastAsia="Arial" w:hAnsi="Arial"/>
                <w:sz w:val="11"/>
                <w:szCs w:val="11"/>
                <w:color w:val="auto"/>
                <w:w w:val="99"/>
              </w:rPr>
              <w:t>Price Paid</w:t>
            </w:r>
          </w:p>
        </w:tc>
        <w:tc>
          <w:tcPr>
            <w:tcW w:w="2160" w:type="dxa"/>
            <w:vAlign w:val="bottom"/>
          </w:tcPr>
          <w:p>
            <w:pPr>
              <w:jc w:val="center"/>
              <w:ind w:left="984"/>
              <w:spacing w:after="0"/>
              <w:rPr>
                <w:sz w:val="20"/>
                <w:szCs w:val="20"/>
                <w:color w:val="auto"/>
              </w:rPr>
            </w:pPr>
            <w:r>
              <w:rPr>
                <w:rFonts w:ascii="Arial" w:cs="Arial" w:eastAsia="Arial" w:hAnsi="Arial"/>
                <w:sz w:val="11"/>
                <w:szCs w:val="11"/>
                <w:color w:val="auto"/>
              </w:rPr>
              <w:t>Announced Plans</w:t>
            </w:r>
          </w:p>
        </w:tc>
        <w:tc>
          <w:tcPr>
            <w:tcW w:w="1040" w:type="dxa"/>
            <w:vAlign w:val="bottom"/>
          </w:tcPr>
          <w:p>
            <w:pPr>
              <w:spacing w:after="0"/>
              <w:rPr>
                <w:sz w:val="11"/>
                <w:szCs w:val="11"/>
                <w:color w:val="auto"/>
              </w:rPr>
            </w:pPr>
          </w:p>
        </w:tc>
        <w:tc>
          <w:tcPr>
            <w:tcW w:w="2740" w:type="dxa"/>
            <w:vAlign w:val="bottom"/>
          </w:tcPr>
          <w:p>
            <w:pPr>
              <w:jc w:val="center"/>
              <w:ind w:right="344"/>
              <w:spacing w:after="0"/>
              <w:rPr>
                <w:sz w:val="20"/>
                <w:szCs w:val="20"/>
                <w:color w:val="auto"/>
              </w:rPr>
            </w:pPr>
            <w:r>
              <w:rPr>
                <w:rFonts w:ascii="Arial" w:cs="Arial" w:eastAsia="Arial" w:hAnsi="Arial"/>
                <w:sz w:val="11"/>
                <w:szCs w:val="11"/>
                <w:color w:val="auto"/>
                <w:w w:val="98"/>
              </w:rPr>
              <w:t>Under the Plans</w:t>
            </w:r>
          </w:p>
        </w:tc>
      </w:tr>
      <w:tr>
        <w:trPr>
          <w:trHeight w:val="124"/>
        </w:trPr>
        <w:tc>
          <w:tcPr>
            <w:tcW w:w="28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jc w:val="center"/>
              <w:ind w:right="163"/>
              <w:spacing w:after="0" w:line="123" w:lineRule="exact"/>
              <w:rPr>
                <w:sz w:val="20"/>
                <w:szCs w:val="20"/>
                <w:color w:val="auto"/>
              </w:rPr>
            </w:pPr>
            <w:r>
              <w:rPr>
                <w:rFonts w:ascii="Arial" w:cs="Arial" w:eastAsia="Arial" w:hAnsi="Arial"/>
                <w:sz w:val="11"/>
                <w:szCs w:val="11"/>
                <w:color w:val="auto"/>
                <w:w w:val="98"/>
              </w:rPr>
              <w:t>Purchased (1)</w:t>
            </w:r>
          </w:p>
        </w:tc>
        <w:tc>
          <w:tcPr>
            <w:tcW w:w="1000" w:type="dxa"/>
            <w:vAlign w:val="bottom"/>
            <w:tcBorders>
              <w:bottom w:val="single" w:sz="8" w:color="auto"/>
            </w:tcBorders>
          </w:tcPr>
          <w:p>
            <w:pPr>
              <w:jc w:val="center"/>
              <w:ind w:left="123"/>
              <w:spacing w:after="0" w:line="123" w:lineRule="exact"/>
              <w:rPr>
                <w:sz w:val="20"/>
                <w:szCs w:val="20"/>
                <w:color w:val="auto"/>
              </w:rPr>
            </w:pPr>
            <w:r>
              <w:rPr>
                <w:rFonts w:ascii="Arial" w:cs="Arial" w:eastAsia="Arial" w:hAnsi="Arial"/>
                <w:sz w:val="11"/>
                <w:szCs w:val="11"/>
                <w:color w:val="auto"/>
                <w:w w:val="99"/>
              </w:rPr>
              <w:t>Per Share (1)</w:t>
            </w:r>
          </w:p>
        </w:tc>
        <w:tc>
          <w:tcPr>
            <w:tcW w:w="2160" w:type="dxa"/>
            <w:vAlign w:val="bottom"/>
            <w:tcBorders>
              <w:bottom w:val="single" w:sz="8" w:color="auto"/>
            </w:tcBorders>
          </w:tcPr>
          <w:p>
            <w:pPr>
              <w:jc w:val="center"/>
              <w:ind w:left="984"/>
              <w:spacing w:after="0" w:line="123" w:lineRule="exact"/>
              <w:rPr>
                <w:sz w:val="20"/>
                <w:szCs w:val="20"/>
                <w:color w:val="auto"/>
              </w:rPr>
            </w:pPr>
            <w:r>
              <w:rPr>
                <w:rFonts w:ascii="Arial" w:cs="Arial" w:eastAsia="Arial" w:hAnsi="Arial"/>
                <w:sz w:val="11"/>
                <w:szCs w:val="11"/>
                <w:color w:val="auto"/>
                <w:w w:val="98"/>
              </w:rPr>
              <w:t>or Programs (1)</w:t>
            </w:r>
          </w:p>
        </w:tc>
        <w:tc>
          <w:tcPr>
            <w:tcW w:w="104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jc w:val="center"/>
              <w:ind w:right="344"/>
              <w:spacing w:after="0" w:line="123" w:lineRule="exact"/>
              <w:rPr>
                <w:sz w:val="20"/>
                <w:szCs w:val="20"/>
                <w:color w:val="auto"/>
              </w:rPr>
            </w:pPr>
            <w:r>
              <w:rPr>
                <w:rFonts w:ascii="Arial" w:cs="Arial" w:eastAsia="Arial" w:hAnsi="Arial"/>
                <w:sz w:val="11"/>
                <w:szCs w:val="11"/>
                <w:color w:val="auto"/>
              </w:rPr>
              <w:t>or Programs</w:t>
            </w:r>
          </w:p>
        </w:tc>
      </w:tr>
      <w:tr>
        <w:trPr>
          <w:trHeight w:val="269"/>
        </w:trPr>
        <w:tc>
          <w:tcPr>
            <w:tcW w:w="2820" w:type="dxa"/>
            <w:vAlign w:val="bottom"/>
          </w:tcPr>
          <w:p>
            <w:pPr>
              <w:spacing w:after="0"/>
              <w:rPr>
                <w:sz w:val="20"/>
                <w:szCs w:val="20"/>
                <w:color w:val="auto"/>
              </w:rPr>
            </w:pPr>
            <w:r>
              <w:rPr>
                <w:rFonts w:ascii="Arial" w:cs="Arial" w:eastAsia="Arial" w:hAnsi="Arial"/>
                <w:sz w:val="12"/>
                <w:szCs w:val="12"/>
                <w:color w:val="auto"/>
              </w:rPr>
              <w:t>March 2011</w:t>
            </w:r>
          </w:p>
        </w:tc>
        <w:tc>
          <w:tcPr>
            <w:tcW w:w="1700" w:type="dxa"/>
            <w:vAlign w:val="bottom"/>
            <w:tcBorders>
              <w:bottom w:val="single" w:sz="8" w:color="auto"/>
            </w:tcBorders>
          </w:tcPr>
          <w:p>
            <w:pPr>
              <w:jc w:val="right"/>
              <w:ind w:right="203"/>
              <w:spacing w:after="0"/>
              <w:rPr>
                <w:sz w:val="20"/>
                <w:szCs w:val="20"/>
                <w:color w:val="auto"/>
              </w:rPr>
            </w:pPr>
            <w:r>
              <w:rPr>
                <w:rFonts w:ascii="Arial" w:cs="Arial" w:eastAsia="Arial" w:hAnsi="Arial"/>
                <w:sz w:val="12"/>
                <w:szCs w:val="12"/>
                <w:color w:val="auto"/>
              </w:rPr>
              <w:t>1,496,435</w:t>
            </w:r>
          </w:p>
        </w:tc>
        <w:tc>
          <w:tcPr>
            <w:tcW w:w="1000" w:type="dxa"/>
            <w:vAlign w:val="bottom"/>
            <w:tcBorders>
              <w:bottom w:val="single" w:sz="8" w:color="auto"/>
            </w:tcBorders>
          </w:tcPr>
          <w:p>
            <w:pPr>
              <w:jc w:val="right"/>
              <w:ind w:right="563"/>
              <w:spacing w:after="0"/>
              <w:rPr>
                <w:sz w:val="20"/>
                <w:szCs w:val="20"/>
                <w:color w:val="auto"/>
              </w:rPr>
            </w:pPr>
            <w:r>
              <w:rPr>
                <w:rFonts w:ascii="Arial" w:cs="Arial" w:eastAsia="Arial" w:hAnsi="Arial"/>
                <w:sz w:val="12"/>
                <w:szCs w:val="12"/>
                <w:color w:val="auto"/>
              </w:rPr>
              <w:t>$</w:t>
            </w:r>
          </w:p>
        </w:tc>
        <w:tc>
          <w:tcPr>
            <w:tcW w:w="2160" w:type="dxa"/>
            <w:vAlign w:val="bottom"/>
            <w:tcBorders>
              <w:bottom w:val="single" w:sz="8" w:color="auto"/>
            </w:tcBorders>
          </w:tcPr>
          <w:p>
            <w:pPr>
              <w:jc w:val="right"/>
              <w:ind w:right="1724"/>
              <w:spacing w:after="0"/>
              <w:rPr>
                <w:sz w:val="20"/>
                <w:szCs w:val="20"/>
                <w:color w:val="auto"/>
              </w:rPr>
            </w:pPr>
            <w:r>
              <w:rPr>
                <w:rFonts w:ascii="Arial" w:cs="Arial" w:eastAsia="Arial" w:hAnsi="Arial"/>
                <w:sz w:val="12"/>
                <w:szCs w:val="12"/>
                <w:color w:val="auto"/>
              </w:rPr>
              <w:t>52.22</w:t>
            </w:r>
          </w:p>
        </w:tc>
        <w:tc>
          <w:tcPr>
            <w:tcW w:w="104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1,496,435</w:t>
            </w:r>
          </w:p>
        </w:tc>
        <w:tc>
          <w:tcPr>
            <w:tcW w:w="2740" w:type="dxa"/>
            <w:vAlign w:val="bottom"/>
            <w:tcBorders>
              <w:bottom w:val="single" w:sz="8" w:color="auto"/>
            </w:tcBorders>
          </w:tcPr>
          <w:p>
            <w:pPr>
              <w:spacing w:after="0"/>
              <w:rPr>
                <w:sz w:val="23"/>
                <w:szCs w:val="23"/>
                <w:color w:val="auto"/>
              </w:rPr>
            </w:pPr>
          </w:p>
        </w:tc>
      </w:tr>
      <w:tr>
        <w:trPr>
          <w:trHeight w:val="160"/>
        </w:trPr>
        <w:tc>
          <w:tcPr>
            <w:tcW w:w="2820" w:type="dxa"/>
            <w:vAlign w:val="bottom"/>
          </w:tcPr>
          <w:p>
            <w:pPr>
              <w:spacing w:after="0"/>
              <w:rPr>
                <w:sz w:val="13"/>
                <w:szCs w:val="13"/>
                <w:color w:val="auto"/>
              </w:rPr>
            </w:pPr>
          </w:p>
        </w:tc>
        <w:tc>
          <w:tcPr>
            <w:tcW w:w="1700" w:type="dxa"/>
            <w:vAlign w:val="bottom"/>
          </w:tcPr>
          <w:p>
            <w:pPr>
              <w:jc w:val="right"/>
              <w:ind w:right="203"/>
              <w:spacing w:after="0"/>
              <w:rPr>
                <w:sz w:val="20"/>
                <w:szCs w:val="20"/>
                <w:color w:val="auto"/>
              </w:rPr>
            </w:pPr>
            <w:r>
              <w:rPr>
                <w:rFonts w:ascii="Arial" w:cs="Arial" w:eastAsia="Arial" w:hAnsi="Arial"/>
                <w:sz w:val="12"/>
                <w:szCs w:val="12"/>
                <w:color w:val="auto"/>
              </w:rPr>
              <w:t>1,496,435</w:t>
            </w:r>
          </w:p>
        </w:tc>
        <w:tc>
          <w:tcPr>
            <w:tcW w:w="10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40" w:type="dxa"/>
            <w:vAlign w:val="bottom"/>
          </w:tcPr>
          <w:p>
            <w:pPr>
              <w:jc w:val="right"/>
              <w:ind w:right="378"/>
              <w:spacing w:after="0"/>
              <w:rPr>
                <w:sz w:val="20"/>
                <w:szCs w:val="20"/>
                <w:color w:val="auto"/>
              </w:rPr>
            </w:pPr>
            <w:r>
              <w:rPr>
                <w:rFonts w:ascii="Arial" w:cs="Arial" w:eastAsia="Arial" w:hAnsi="Arial"/>
                <w:sz w:val="12"/>
                <w:szCs w:val="12"/>
                <w:color w:val="auto"/>
              </w:rPr>
              <w:t>1,496,435</w:t>
            </w:r>
          </w:p>
        </w:tc>
        <w:tc>
          <w:tcPr>
            <w:tcW w:w="2740" w:type="dxa"/>
            <w:vAlign w:val="bottom"/>
          </w:tcPr>
          <w:p>
            <w:pPr>
              <w:jc w:val="center"/>
              <w:ind w:right="344"/>
              <w:spacing w:after="0"/>
              <w:rPr>
                <w:sz w:val="20"/>
                <w:szCs w:val="20"/>
                <w:color w:val="auto"/>
              </w:rPr>
            </w:pPr>
            <w:r>
              <w:rPr>
                <w:rFonts w:ascii="Arial" w:cs="Arial" w:eastAsia="Arial" w:hAnsi="Arial"/>
                <w:sz w:val="12"/>
                <w:szCs w:val="12"/>
                <w:color w:val="auto"/>
              </w:rPr>
              <w:t>$500 million remaining (2)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279005" cy="133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9005" cy="13335"/>
                    </a:xfrm>
                    <a:prstGeom prst="rect">
                      <a:avLst/>
                    </a:prstGeom>
                    <a:noFill/>
                  </pic:spPr>
                </pic:pic>
              </a:graphicData>
            </a:graphic>
          </wp:anchor>
        </w:drawing>
      </w:r>
    </w:p>
    <w:p>
      <w:pPr>
        <w:ind w:left="600" w:right="80" w:hanging="370"/>
        <w:spacing w:after="0" w:line="246" w:lineRule="auto"/>
        <w:tabs>
          <w:tab w:leader="none" w:pos="600" w:val="left"/>
        </w:tabs>
        <w:numPr>
          <w:ilvl w:val="0"/>
          <w:numId w:val="58"/>
        </w:numPr>
        <w:rPr>
          <w:rFonts w:ascii="Arial" w:cs="Arial" w:eastAsia="Arial" w:hAnsi="Arial"/>
          <w:sz w:val="11"/>
          <w:szCs w:val="11"/>
          <w:i w:val="1"/>
          <w:iCs w:val="1"/>
          <w:color w:val="auto"/>
        </w:rPr>
      </w:pPr>
      <w:r>
        <w:rPr>
          <w:rFonts w:ascii="Arial" w:cs="Arial" w:eastAsia="Arial" w:hAnsi="Arial"/>
          <w:sz w:val="11"/>
          <w:szCs w:val="11"/>
          <w:i w:val="1"/>
          <w:iCs w:val="1"/>
          <w:color w:val="auto"/>
        </w:rPr>
        <w:t>Our publicly announced Collared Accelerated Share Acquisition Program, which began in September 2010, was completed in March 2011. A total of 9,574,435 shares were purchased at a weighted average price of $52.22 per share under this program, including 1,496,435 shares received in March 2011. Additional information regarding the program is provided in Note 5 of the Notes to Condensed Consolidated Financial Statements herein.</w:t>
      </w:r>
    </w:p>
    <w:p>
      <w:pPr>
        <w:ind w:left="600" w:hanging="370"/>
        <w:spacing w:after="0" w:line="238" w:lineRule="auto"/>
        <w:tabs>
          <w:tab w:leader="none" w:pos="600" w:val="left"/>
        </w:tabs>
        <w:numPr>
          <w:ilvl w:val="0"/>
          <w:numId w:val="58"/>
        </w:numPr>
        <w:rPr>
          <w:rFonts w:ascii="Arial" w:cs="Arial" w:eastAsia="Arial" w:hAnsi="Arial"/>
          <w:sz w:val="11"/>
          <w:szCs w:val="11"/>
          <w:i w:val="1"/>
          <w:iCs w:val="1"/>
          <w:color w:val="auto"/>
        </w:rPr>
      </w:pPr>
      <w:r>
        <w:rPr>
          <w:rFonts w:ascii="Arial" w:cs="Arial" w:eastAsia="Arial" w:hAnsi="Arial"/>
          <w:sz w:val="11"/>
          <w:szCs w:val="11"/>
          <w:i w:val="1"/>
          <w:iCs w:val="1"/>
          <w:color w:val="auto"/>
        </w:rPr>
        <w:t>Our board of directors has authorized the repurchase of shares of our common stock provided that the amounts expended for such purposes do not exceed the greater of $2 billion or amounts expended to purchase no more than 40 million shares. We prepaid $500 million under a Collared Accelerated Share Acquisition Program with JPMorgan Chase Bank, National Association in September 2010 and expended an additional $1 billion pursuant to a share repurchase program completed in 2008. Therefore, approximately $500 million remains authorized by the board for the purchase of additional shares. We also may, from time to time, purchase shares of our common stock from restricted stock plan participants who elect to sell a sufficient number of vesting restricted shares to meet minimum statutory tax withholding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387985</wp:posOffset>
            </wp:positionV>
            <wp:extent cx="729170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170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color w:val="auto"/>
        </w:rPr>
        <w:t>ITEM 6. EXHIBITS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The exhibits filed under Forms 8-K that are incorporated herein by reference were filed under Commission File Number 1-14201 (Sempra Energy).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exhibits relate to each registrant as indicated.</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10 -- MATERIAL CONTRACTS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Energy</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10.1 Letter Agreement, dated as of April 15, 2011, by and among The Royal Bank of Scotland plc, Sempra Energy, Sempra Commodities, Inc. and Sempra Energy Holdings VII B.V.</w:t>
      </w:r>
    </w:p>
    <w:p>
      <w:pPr>
        <w:spacing w:after="0" w:line="48"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(Sempra Energy Form 8-K/A filed on April 15, 2011, Exhibit 10.1).</w:t>
      </w:r>
    </w:p>
    <w:p>
      <w:pPr>
        <w:sectPr>
          <w:pgSz w:w="11900" w:h="16838" w:orient="portrait"/>
          <w:cols w:equalWidth="0" w:num="1">
            <w:col w:w="11460"/>
          </w:cols>
          <w:pgMar w:left="220" w:top="127" w:right="219" w:bottom="0" w:gutter="0" w:footer="0" w:header="0"/>
        </w:sectPr>
      </w:pPr>
    </w:p>
    <w:bookmarkStart w:id="56" w:name="page57"/>
    <w:bookmarkEnd w:id="56"/>
    <w:p>
      <w:pPr>
        <w:ind w:left="1120"/>
        <w:spacing w:after="0"/>
        <w:rPr>
          <w:sz w:val="20"/>
          <w:szCs w:val="20"/>
          <w:color w:val="auto"/>
        </w:rPr>
      </w:pPr>
      <w:r>
        <w:rPr>
          <w:rFonts w:ascii="Arial" w:cs="Arial" w:eastAsia="Arial" w:hAnsi="Arial"/>
          <w:sz w:val="14"/>
          <w:szCs w:val="14"/>
          <w:color w:val="auto"/>
        </w:rPr>
        <w:t>10.2 Form of Sempra Energy 2008 Long Term Incentive Plan, 2011 Performance-Based Restricted Stock Unit Award.</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Energy / Pacific Enterprises</w:t>
      </w:r>
    </w:p>
    <w:p>
      <w:pPr>
        <w:spacing w:after="0" w:line="7" w:lineRule="exact"/>
        <w:rPr>
          <w:sz w:val="20"/>
          <w:szCs w:val="20"/>
          <w:color w:val="auto"/>
        </w:rPr>
      </w:pPr>
    </w:p>
    <w:p>
      <w:pPr>
        <w:ind w:left="1420" w:hanging="309"/>
        <w:spacing w:after="0" w:line="236" w:lineRule="auto"/>
        <w:rPr>
          <w:sz w:val="20"/>
          <w:szCs w:val="20"/>
          <w:color w:val="auto"/>
        </w:rPr>
      </w:pPr>
      <w:r>
        <w:rPr>
          <w:rFonts w:ascii="Arial" w:cs="Arial" w:eastAsia="Arial" w:hAnsi="Arial"/>
          <w:sz w:val="14"/>
          <w:szCs w:val="14"/>
          <w:color w:val="auto"/>
        </w:rPr>
        <w:t>10.3 Fourth Amendment to Indemnity Agreement, dated as of April 15, 2011, by and among The Royal Bank of Scotland plc, Sempra Energy, Pacific Enterprises and Enova Corporation (Sempra Energy Form 8-K filed on April 15, 2011, Exhibit 10.2).</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Energy / San Diego Gas &amp; Electric Company</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10.4 Amended and Restated Operating Order between San Diego Gas &amp; Electric Company and the California Department of Water Resources effective March 10, 2011.</w:t>
      </w:r>
    </w:p>
    <w:p>
      <w:pPr>
        <w:spacing w:after="0" w:line="180"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10.5 Amended and Restated Servicing Order between San Diego Gas &amp; Electric Company and the California Department of Water Resources effective March 10, 2011.</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12 – STATEMENTS RE: COMPUTATION OF RATIOS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Energy</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12.1 Sempra Energy Computation of Ratio of Earnings to Combined Fixed Charges and Preferred Stock Dividends.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San Diego Gas &amp; Electric Company</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12.2 San Diego Gas &amp; Electric Company Computation of Ratio of Earnings to Combined Fixed Charges and Preferred Stock Dividends.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Pacific Enterprises</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12.3 Pacific Enterprises Computation of Ratio of Earnings to Combined Fixed Charges and Preferred Stock Dividends.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Southern California Gas Company</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12.4 Southern California Gas Company Computation of Ratio of Earnings to Combined Fixed Charges and Preferred Stock Dividends.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31 -- SECTION 302 CERTIFICATIONS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Energy</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31.1 Statement of Sempra Energy's Chief Executive Officer pursuant to Rules 13a-14 and 15d-14 of the Securities Exchange Act of 1934.</w:t>
      </w:r>
    </w:p>
    <w:p>
      <w:pPr>
        <w:spacing w:after="0" w:line="147"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31.2 Statement of Sempra Energy's Chief Financial Officer pursuant to Rules 13a-14 and 15d-14 of the Securities Exchange Act of 1934.</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San Diego Gas &amp; Electric Company</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31.3 Statement of San Diego Gas &amp; Electric Company's Chief Executive Officer pursuant to Rules 13a-14 and 15d-14 of the Securities Exchange Act of 1934.</w:t>
      </w:r>
    </w:p>
    <w:p>
      <w:pPr>
        <w:spacing w:after="0" w:line="147"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31.4 Statement of San Diego Gas &amp; Electric Company's Chief Financial Officer pursuant to Rules 13a-14 and 15d-14 of the Securities Exchange Act of 1934.</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Pacific Enterprises</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31.5 Statement of Pacific Enterprises’ Chief Executive Officer pursuant to Rules 13a-14 and 15d-14 of the Securities Exchange Act of 1934.</w:t>
      </w:r>
    </w:p>
    <w:p>
      <w:pPr>
        <w:spacing w:after="0" w:line="147"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31.6 Statement of Pacific Enterprises’ Chief Financial Officer pursuant to Rules 13a-14 and 15d-14 of the Securities Exchange Act of 1934.</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Southern California Gas Company</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31.7 Statement of Southern California Gas Company's Chief Executive Officer pursuant to Rules 13a-14 and 15d-14 of the Securities Exchange Act of 1934.</w:t>
      </w:r>
    </w:p>
    <w:p>
      <w:pPr>
        <w:spacing w:after="0" w:line="147"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31.8 Statement of Southern California Gas Company's Chief Financial Officer pursuant to Rules 13a-14 and 15d-14 of the Securities Exchange Act of 1934.</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32 -- SECTION 906 CERTIFICATIONS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Sempra Energy</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32.1 Statement of Sempra Energy's Chief Executive Officer pursuant to 18 U.S.C. Sec. 1350.</w:t>
      </w:r>
    </w:p>
    <w:p>
      <w:pPr>
        <w:spacing w:after="0" w:line="147"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32.2 Statement of Sempra Energy's Chief Financial Officer pursuant to 18 U.S.C. Sec. 1350.</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San Diego Gas &amp; Electric Company</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32.3 Statement of San Diego Gas &amp; Electric Company's Chief Executive Officer pursuant to 18 U.S.C. Sec. 1350.</w:t>
      </w:r>
    </w:p>
    <w:p>
      <w:pPr>
        <w:spacing w:after="0" w:line="147"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32.4 Statement of San Diego Gas &amp; Electric Company's Chief Financial Officer pursuant to 18 U.S.C. Sec. 1350.</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Pacific Enterprises</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32.5 Statement of Pacific Enterprise's Chief Executive Officer pursuant to 18 U.S.C. Sec. 1350.</w:t>
      </w:r>
    </w:p>
    <w:p>
      <w:pPr>
        <w:spacing w:after="0" w:line="147"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32.6 Statement of Pacific Enterprise's Chief Financial Officer pursuant to 18 U.S.C. Sec. 1350.</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Southern California Gas Company</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32.7 Statement of Southern California Gas Company's Chief Executive Officer pursuant to 18 U.S.C. Sec. 1350.</w:t>
      </w:r>
    </w:p>
    <w:p>
      <w:pPr>
        <w:spacing w:after="0" w:line="147"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32.8 Statement of Southern California Gas Company's Chief Financial Officer pursuant to 18 U.S.C. Sec. 1350.</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101 -- INTERACTIVE DATA FILE</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4"/>
          <w:szCs w:val="14"/>
          <w:color w:val="auto"/>
        </w:rPr>
        <w:t>101.INS XBRL Instance Document</w:t>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101.SCH XBRL Taxonomy Extension Schema Document</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14"/>
          <w:szCs w:val="14"/>
          <w:color w:val="auto"/>
        </w:rPr>
        <w:t>101.CAL XBRL Taxonomy Extension Calculation Linkbase Document</w:t>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101.DEF XBRL Taxonomy Extension Definition Linkbase Document</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14"/>
          <w:szCs w:val="14"/>
          <w:color w:val="auto"/>
        </w:rPr>
        <w:t>101.LAB XBRL Taxonomy Extension Label Linkbase Document</w:t>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101.PRE XBRL Taxonomy Extension Presentation Linkbase Document</w:t>
      </w:r>
    </w:p>
    <w:p>
      <w:pPr>
        <w:sectPr>
          <w:pgSz w:w="11900" w:h="16838" w:orient="portrait"/>
          <w:cols w:equalWidth="0" w:num="1">
            <w:col w:w="11400"/>
          </w:cols>
          <w:pgMar w:left="220" w:top="129" w:right="279" w:bottom="1440" w:gutter="0" w:footer="0" w:header="0"/>
        </w:sectPr>
      </w:pPr>
    </w:p>
    <w:bookmarkStart w:id="57" w:name="page58"/>
    <w:bookmarkEnd w:id="57"/>
    <w:p>
      <w:pPr>
        <w:jc w:val="center"/>
        <w:ind w:right="-279"/>
        <w:spacing w:after="0"/>
        <w:rPr>
          <w:sz w:val="20"/>
          <w:szCs w:val="20"/>
          <w:color w:val="auto"/>
        </w:rPr>
      </w:pPr>
      <w:r>
        <w:rPr>
          <w:rFonts w:ascii="Arial" w:cs="Arial" w:eastAsia="Arial" w:hAnsi="Arial"/>
          <w:sz w:val="14"/>
          <w:szCs w:val="14"/>
          <w:b w:val="1"/>
          <w:bCs w:val="1"/>
          <w:color w:val="auto"/>
        </w:rPr>
        <w:t>SIGNATURES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Sempra Energy:</w:t>
      </w:r>
    </w:p>
    <w:p>
      <w:pPr>
        <w:spacing w:after="0" w:line="147"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SEMPRA ENERGY,</w:t>
      </w:r>
    </w:p>
    <w:p>
      <w:pPr>
        <w:spacing w:after="0" w:line="6"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(Registrant)</w:t>
      </w:r>
    </w:p>
    <w:p>
      <w:pPr>
        <w:spacing w:after="0" w:line="147" w:lineRule="exact"/>
        <w:rPr>
          <w:sz w:val="20"/>
          <w:szCs w:val="20"/>
          <w:color w:val="auto"/>
        </w:rPr>
      </w:pPr>
    </w:p>
    <w:p>
      <w:pPr>
        <w:ind w:left="2280"/>
        <w:spacing w:after="0"/>
        <w:tabs>
          <w:tab w:leader="none" w:pos="6060" w:val="left"/>
        </w:tabs>
        <w:rPr>
          <w:sz w:val="20"/>
          <w:szCs w:val="20"/>
          <w:color w:val="auto"/>
        </w:rPr>
      </w:pPr>
      <w:r>
        <w:rPr>
          <w:rFonts w:ascii="Arial" w:cs="Arial" w:eastAsia="Arial" w:hAnsi="Arial"/>
          <w:sz w:val="14"/>
          <w:szCs w:val="14"/>
          <w:color w:val="auto"/>
        </w:rPr>
        <w:t>Date: May 9, 2011</w:t>
      </w:r>
      <w:r>
        <w:rPr>
          <w:sz w:val="20"/>
          <w:szCs w:val="20"/>
          <w:color w:val="auto"/>
        </w:rPr>
        <w:tab/>
      </w:r>
      <w:r>
        <w:rPr>
          <w:rFonts w:ascii="Arial" w:cs="Arial" w:eastAsia="Arial" w:hAnsi="Arial"/>
          <w:sz w:val="11"/>
          <w:szCs w:val="11"/>
          <w:color w:val="auto"/>
        </w:rPr>
        <w:t>By: /s/ 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3175</wp:posOffset>
            </wp:positionV>
            <wp:extent cx="3425825" cy="133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5825" cy="13335"/>
                    </a:xfrm>
                    <a:prstGeom prst="rect">
                      <a:avLst/>
                    </a:prstGeom>
                    <a:noFill/>
                  </pic:spPr>
                </pic:pic>
              </a:graphicData>
            </a:graphic>
          </wp:anchor>
        </w:drawing>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Joseph A. Householder</w:t>
      </w:r>
    </w:p>
    <w:p>
      <w:pPr>
        <w:ind w:left="6080"/>
        <w:spacing w:after="0" w:line="231" w:lineRule="auto"/>
        <w:rPr>
          <w:sz w:val="20"/>
          <w:szCs w:val="20"/>
          <w:color w:val="auto"/>
        </w:rPr>
      </w:pPr>
      <w:r>
        <w:rPr>
          <w:rFonts w:ascii="Arial" w:cs="Arial" w:eastAsia="Arial" w:hAnsi="Arial"/>
          <w:sz w:val="14"/>
          <w:szCs w:val="14"/>
          <w:color w:val="auto"/>
        </w:rPr>
        <w:t>Senior Vice President, Controller and</w:t>
      </w:r>
    </w:p>
    <w:p>
      <w:pPr>
        <w:ind w:left="6080"/>
        <w:spacing w:after="0"/>
        <w:rPr>
          <w:sz w:val="20"/>
          <w:szCs w:val="20"/>
          <w:color w:val="auto"/>
        </w:rPr>
      </w:pPr>
      <w:r>
        <w:rPr>
          <w:rFonts w:ascii="Arial" w:cs="Arial" w:eastAsia="Arial" w:hAnsi="Arial"/>
          <w:sz w:val="14"/>
          <w:szCs w:val="14"/>
          <w:color w:val="auto"/>
        </w:rPr>
        <w:t>Chief Accounting Officer</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San Diego Gas &amp; Electric Company:</w:t>
      </w:r>
    </w:p>
    <w:p>
      <w:pPr>
        <w:spacing w:after="0" w:line="163"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SAN DIEGO GAS &amp; ELECTRIC COMPANY,</w:t>
      </w:r>
    </w:p>
    <w:p>
      <w:pPr>
        <w:spacing w:after="0" w:line="6"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(Registrant)</w:t>
      </w:r>
    </w:p>
    <w:p>
      <w:pPr>
        <w:spacing w:after="0" w:line="147" w:lineRule="exact"/>
        <w:rPr>
          <w:sz w:val="20"/>
          <w:szCs w:val="20"/>
          <w:color w:val="auto"/>
        </w:rPr>
      </w:pPr>
    </w:p>
    <w:p>
      <w:pPr>
        <w:ind w:left="2200"/>
        <w:spacing w:after="0"/>
        <w:tabs>
          <w:tab w:leader="none" w:pos="5920" w:val="left"/>
        </w:tabs>
        <w:rPr>
          <w:sz w:val="20"/>
          <w:szCs w:val="20"/>
          <w:color w:val="auto"/>
        </w:rPr>
      </w:pPr>
      <w:r>
        <w:rPr>
          <w:rFonts w:ascii="Arial" w:cs="Arial" w:eastAsia="Arial" w:hAnsi="Arial"/>
          <w:sz w:val="14"/>
          <w:szCs w:val="14"/>
          <w:color w:val="auto"/>
        </w:rPr>
        <w:t>Date: May 9, 2011</w:t>
      </w:r>
      <w:r>
        <w:rPr>
          <w:sz w:val="20"/>
          <w:szCs w:val="20"/>
          <w:color w:val="auto"/>
        </w:rPr>
        <w:tab/>
      </w:r>
      <w:r>
        <w:rPr>
          <w:rFonts w:ascii="Arial" w:cs="Arial" w:eastAsia="Arial" w:hAnsi="Arial"/>
          <w:sz w:val="13"/>
          <w:szCs w:val="13"/>
          <w:color w:val="auto"/>
        </w:rPr>
        <w:t>By: /s/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3175</wp:posOffset>
            </wp:positionV>
            <wp:extent cx="3511550" cy="13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11550" cy="13335"/>
                    </a:xfrm>
                    <a:prstGeom prst="rect">
                      <a:avLst/>
                    </a:prstGeom>
                    <a:noFill/>
                  </pic:spPr>
                </pic:pic>
              </a:graphicData>
            </a:graphic>
          </wp:anchor>
        </w:drawing>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Robert M. Schlax</w:t>
      </w:r>
    </w:p>
    <w:p>
      <w:pPr>
        <w:ind w:left="5940"/>
        <w:spacing w:after="0"/>
        <w:rPr>
          <w:sz w:val="20"/>
          <w:szCs w:val="20"/>
          <w:color w:val="auto"/>
        </w:rPr>
      </w:pPr>
      <w:r>
        <w:rPr>
          <w:rFonts w:ascii="Arial" w:cs="Arial" w:eastAsia="Arial" w:hAnsi="Arial"/>
          <w:sz w:val="13"/>
          <w:szCs w:val="13"/>
          <w:color w:val="auto"/>
        </w:rPr>
        <w:t>Vice President, Controller, Chief Financial Officer and Chief Accounting Officer</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Pacific Enterprises:</w:t>
      </w:r>
    </w:p>
    <w:p>
      <w:pPr>
        <w:spacing w:after="0" w:line="163"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PACIFIC ENTERPRISES,</w:t>
      </w:r>
    </w:p>
    <w:p>
      <w:pPr>
        <w:spacing w:after="0" w:line="6"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(Registrant)</w:t>
      </w:r>
    </w:p>
    <w:p>
      <w:pPr>
        <w:spacing w:after="0" w:line="147" w:lineRule="exact"/>
        <w:rPr>
          <w:sz w:val="20"/>
          <w:szCs w:val="20"/>
          <w:color w:val="auto"/>
        </w:rPr>
      </w:pPr>
    </w:p>
    <w:p>
      <w:pPr>
        <w:ind w:left="2200"/>
        <w:spacing w:after="0"/>
        <w:tabs>
          <w:tab w:leader="none" w:pos="5920" w:val="left"/>
        </w:tabs>
        <w:rPr>
          <w:sz w:val="20"/>
          <w:szCs w:val="20"/>
          <w:color w:val="auto"/>
        </w:rPr>
      </w:pPr>
      <w:r>
        <w:rPr>
          <w:rFonts w:ascii="Arial" w:cs="Arial" w:eastAsia="Arial" w:hAnsi="Arial"/>
          <w:sz w:val="14"/>
          <w:szCs w:val="14"/>
          <w:color w:val="auto"/>
        </w:rPr>
        <w:t>Date: May 9, 2011</w:t>
      </w:r>
      <w:r>
        <w:rPr>
          <w:sz w:val="20"/>
          <w:szCs w:val="20"/>
          <w:color w:val="auto"/>
        </w:rPr>
        <w:tab/>
      </w:r>
      <w:r>
        <w:rPr>
          <w:rFonts w:ascii="Arial" w:cs="Arial" w:eastAsia="Arial" w:hAnsi="Arial"/>
          <w:sz w:val="13"/>
          <w:szCs w:val="13"/>
          <w:color w:val="auto"/>
        </w:rPr>
        <w:t>By: /s/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3175</wp:posOffset>
            </wp:positionV>
            <wp:extent cx="3511550" cy="133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11550" cy="13335"/>
                    </a:xfrm>
                    <a:prstGeom prst="rect">
                      <a:avLst/>
                    </a:prstGeom>
                    <a:noFill/>
                  </pic:spPr>
                </pic:pic>
              </a:graphicData>
            </a:graphic>
          </wp:anchor>
        </w:drawing>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Robert M. Schlax</w:t>
      </w:r>
    </w:p>
    <w:p>
      <w:pPr>
        <w:ind w:left="5940"/>
        <w:spacing w:after="0"/>
        <w:rPr>
          <w:sz w:val="20"/>
          <w:szCs w:val="20"/>
          <w:color w:val="auto"/>
        </w:rPr>
      </w:pPr>
      <w:r>
        <w:rPr>
          <w:rFonts w:ascii="Arial" w:cs="Arial" w:eastAsia="Arial" w:hAnsi="Arial"/>
          <w:sz w:val="13"/>
          <w:szCs w:val="13"/>
          <w:color w:val="auto"/>
        </w:rPr>
        <w:t>Vice President, Controller, Chief Financial Officer and Chief Accounting Officer</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Southern California Gas Company:</w:t>
      </w:r>
    </w:p>
    <w:p>
      <w:pPr>
        <w:spacing w:after="0" w:line="163"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SOUTHERN CALIFORNIA GAS COMPANY,</w:t>
      </w:r>
    </w:p>
    <w:p>
      <w:pPr>
        <w:spacing w:after="0" w:line="6"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(Registrant)</w:t>
      </w:r>
    </w:p>
    <w:p>
      <w:pPr>
        <w:spacing w:after="0" w:line="147" w:lineRule="exact"/>
        <w:rPr>
          <w:sz w:val="20"/>
          <w:szCs w:val="20"/>
          <w:color w:val="auto"/>
        </w:rPr>
      </w:pPr>
    </w:p>
    <w:p>
      <w:pPr>
        <w:ind w:left="2200"/>
        <w:spacing w:after="0"/>
        <w:tabs>
          <w:tab w:leader="none" w:pos="5920" w:val="left"/>
        </w:tabs>
        <w:rPr>
          <w:sz w:val="20"/>
          <w:szCs w:val="20"/>
          <w:color w:val="auto"/>
        </w:rPr>
      </w:pPr>
      <w:r>
        <w:rPr>
          <w:rFonts w:ascii="Arial" w:cs="Arial" w:eastAsia="Arial" w:hAnsi="Arial"/>
          <w:sz w:val="14"/>
          <w:szCs w:val="14"/>
          <w:color w:val="auto"/>
        </w:rPr>
        <w:t>Date: May 9, 2011</w:t>
      </w:r>
      <w:r>
        <w:rPr>
          <w:sz w:val="20"/>
          <w:szCs w:val="20"/>
          <w:color w:val="auto"/>
        </w:rPr>
        <w:tab/>
      </w:r>
      <w:r>
        <w:rPr>
          <w:rFonts w:ascii="Arial" w:cs="Arial" w:eastAsia="Arial" w:hAnsi="Arial"/>
          <w:sz w:val="13"/>
          <w:szCs w:val="13"/>
          <w:color w:val="auto"/>
        </w:rPr>
        <w:t>By: /s/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3175</wp:posOffset>
            </wp:positionV>
            <wp:extent cx="3511550" cy="133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511550" cy="13335"/>
                    </a:xfrm>
                    <a:prstGeom prst="rect">
                      <a:avLst/>
                    </a:prstGeom>
                    <a:noFill/>
                  </pic:spPr>
                </pic:pic>
              </a:graphicData>
            </a:graphic>
          </wp:anchor>
        </w:drawing>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Robert M. Schlax</w:t>
      </w:r>
    </w:p>
    <w:p>
      <w:pPr>
        <w:ind w:left="5940"/>
        <w:spacing w:after="0"/>
        <w:rPr>
          <w:sz w:val="20"/>
          <w:szCs w:val="20"/>
          <w:color w:val="auto"/>
        </w:rPr>
      </w:pPr>
      <w:r>
        <w:rPr>
          <w:rFonts w:ascii="Arial" w:cs="Arial" w:eastAsia="Arial" w:hAnsi="Arial"/>
          <w:sz w:val="13"/>
          <w:szCs w:val="13"/>
          <w:color w:val="auto"/>
        </w:rPr>
        <w:t>Vice President, Controller, Chief Financial Officer and Chief Accounting Officer</w:t>
      </w:r>
    </w:p>
    <w:p>
      <w:pPr>
        <w:sectPr>
          <w:pgSz w:w="11900" w:h="16838" w:orient="portrait"/>
          <w:cols w:equalWidth="0" w:num="1">
            <w:col w:w="10700"/>
          </w:cols>
          <w:pgMar w:left="220" w:top="425" w:right="979" w:bottom="1440" w:gutter="0" w:footer="0" w:header="0"/>
        </w:sectPr>
      </w:pPr>
    </w:p>
    <w:bookmarkStart w:id="58" w:name="page59"/>
    <w:bookmarkEnd w:id="5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jc w:val="center"/>
        <w:ind w:right="-20"/>
        <w:spacing w:after="0"/>
        <w:rPr>
          <w:sz w:val="20"/>
          <w:szCs w:val="20"/>
          <w:color w:val="auto"/>
        </w:rPr>
      </w:pPr>
      <w:r>
        <w:rPr>
          <w:rFonts w:ascii="Arial" w:cs="Arial" w:eastAsia="Arial" w:hAnsi="Arial"/>
          <w:sz w:val="19"/>
          <w:szCs w:val="19"/>
          <w:b w:val="1"/>
          <w:bCs w:val="1"/>
          <w:color w:val="auto"/>
        </w:rPr>
        <w:t>SEMPRA ENERGY</w:t>
      </w:r>
    </w:p>
    <w:p>
      <w:pPr>
        <w:spacing w:after="0" w:line="8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2008 LONG TERM INCENTIVE PLAN</w:t>
      </w:r>
    </w:p>
    <w:p>
      <w:pPr>
        <w:spacing w:after="0" w:line="8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2011 PERFORMANCE-BASED RESTRICTED STOCK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51435</wp:posOffset>
            </wp:positionV>
            <wp:extent cx="52571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57165" cy="2603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104140</wp:posOffset>
            </wp:positionV>
            <wp:extent cx="52571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57165" cy="26035"/>
                    </a:xfrm>
                    <a:prstGeom prst="rect">
                      <a:avLst/>
                    </a:prstGeom>
                    <a:noFill/>
                  </pic:spPr>
                </pic:pic>
              </a:graphicData>
            </a:graphic>
          </wp:anchor>
        </w:drawing>
      </w:r>
    </w:p>
    <w:p>
      <w:pPr>
        <w:spacing w:after="0" w:line="261" w:lineRule="exact"/>
        <w:rPr>
          <w:sz w:val="20"/>
          <w:szCs w:val="20"/>
          <w:color w:val="auto"/>
        </w:rPr>
      </w:pPr>
    </w:p>
    <w:p>
      <w:pPr>
        <w:ind w:left="480" w:right="539"/>
        <w:spacing w:after="0" w:line="276" w:lineRule="auto"/>
        <w:rPr>
          <w:sz w:val="20"/>
          <w:szCs w:val="20"/>
          <w:color w:val="auto"/>
        </w:rPr>
      </w:pPr>
      <w:r>
        <w:rPr>
          <w:rFonts w:ascii="Arial" w:cs="Arial" w:eastAsia="Arial" w:hAnsi="Arial"/>
          <w:sz w:val="13"/>
          <w:szCs w:val="13"/>
          <w:color w:val="auto"/>
        </w:rPr>
        <w:t>You have been granted a performance-based restricted stock unit award representing the right to receive the number of shares of Sempra Energy Common Stock set forth below, subject to the vesting conditions set forth below. The restricted stock units, and dividend equivalents with respect to the restricted stock units, under your award may not be sold or assigned and will be subject to forfeiture unless and until they vest based upon the satisfaction of total shareholder return performance criteria for a performance period beginning on January 1, 2011 and ending in January 2015. Shares of Common Stock will be distributed to you after the completion of the performance period ending in January 2015, if the restricted stock units vest under the terms and conditions of your award.</w:t>
      </w:r>
    </w:p>
    <w:p>
      <w:pPr>
        <w:spacing w:after="0" w:line="126" w:lineRule="exact"/>
        <w:rPr>
          <w:sz w:val="20"/>
          <w:szCs w:val="20"/>
          <w:color w:val="auto"/>
        </w:rPr>
      </w:pPr>
    </w:p>
    <w:p>
      <w:pPr>
        <w:ind w:left="480" w:right="499"/>
        <w:spacing w:after="0" w:line="292" w:lineRule="auto"/>
        <w:rPr>
          <w:sz w:val="20"/>
          <w:szCs w:val="20"/>
          <w:color w:val="auto"/>
        </w:rPr>
      </w:pPr>
      <w:r>
        <w:rPr>
          <w:rFonts w:ascii="Arial" w:cs="Arial" w:eastAsia="Arial" w:hAnsi="Arial"/>
          <w:sz w:val="13"/>
          <w:szCs w:val="13"/>
          <w:i w:val="1"/>
          <w:iCs w:val="1"/>
          <w:color w:val="auto"/>
        </w:rPr>
        <w:t>The terms and conditions of your award are set forth in the attached Year 2011 Restricted Stock Unit Award Agreement and in the prospectus for the Sempra Energy 2008 Long Term Incentive Plan, which is enclosed. The summary below highlights selected terms and conditions but it is not complete and you should carefully read the attachments to fully understand the terms and conditions of your award.</w:t>
      </w:r>
    </w:p>
    <w:p>
      <w:pPr>
        <w:spacing w:after="0" w:line="19"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-66040</wp:posOffset>
            </wp:positionV>
            <wp:extent cx="5257165" cy="196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57165" cy="19685"/>
                    </a:xfrm>
                    <a:prstGeom prst="rect">
                      <a:avLst/>
                    </a:prstGeom>
                    <a:noFill/>
                  </pic:spPr>
                </pic:pic>
              </a:graphicData>
            </a:graphic>
          </wp:anchor>
        </w:drawing>
      </w:r>
    </w:p>
    <w:p>
      <w:pPr>
        <w:sectPr>
          <w:pgSz w:w="11900" w:h="16838" w:orient="portrait"/>
          <w:cols w:equalWidth="0" w:num="1">
            <w:col w:w="9019"/>
          </w:cols>
          <w:pgMar w:left="1440" w:top="533" w:right="1440" w:bottom="163" w:gutter="0" w:footer="0" w:header="0"/>
        </w:sectPr>
      </w:pPr>
    </w:p>
    <w:p>
      <w:pPr>
        <w:spacing w:after="0" w:line="143"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auto"/>
        </w:rPr>
        <w:t>Date of Award:</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January 3, 2011</w:t>
      </w:r>
    </w:p>
    <w:p>
      <w:pPr>
        <w:spacing w:after="0" w:line="88" w:lineRule="exact"/>
        <w:rPr>
          <w:sz w:val="20"/>
          <w:szCs w:val="20"/>
          <w:color w:val="auto"/>
        </w:rPr>
      </w:pPr>
    </w:p>
    <w:p>
      <w:pPr>
        <w:sectPr>
          <w:pgSz w:w="11900" w:h="16838" w:orient="portrait"/>
          <w:cols w:equalWidth="0" w:num="2">
            <w:col w:w="2520" w:space="720"/>
            <w:col w:w="5779"/>
          </w:cols>
          <w:pgMar w:left="1440" w:top="533" w:right="1440" w:bottom="163" w:gutter="0" w:footer="0" w:header="0"/>
          <w:type w:val="continuous"/>
        </w:sectPr>
      </w:pPr>
    </w:p>
    <w:p>
      <w:pPr>
        <w:ind w:left="480"/>
        <w:spacing w:after="0"/>
        <w:rPr>
          <w:sz w:val="20"/>
          <w:szCs w:val="20"/>
          <w:color w:val="auto"/>
        </w:rPr>
      </w:pPr>
      <w:r>
        <w:rPr>
          <w:rFonts w:ascii="Arial" w:cs="Arial" w:eastAsia="Arial" w:hAnsi="Arial"/>
          <w:sz w:val="14"/>
          <w:szCs w:val="14"/>
          <w:b w:val="1"/>
          <w:bCs w:val="1"/>
          <w:color w:val="auto"/>
        </w:rPr>
        <w:t>Name of Recipient:</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Recipient’s Employee Number:</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auto"/>
        </w:rPr>
        <w:t>Number of Restricted Stock Units (prior</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to any dividend equivalents):</w:t>
      </w:r>
    </w:p>
    <w:p>
      <w:pPr>
        <w:spacing w:after="0" w:line="61"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At Target:</w:t>
      </w:r>
    </w:p>
    <w:p>
      <w:pPr>
        <w:spacing w:after="0" w:line="77"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At Maximum (150% of Target)</w:t>
      </w:r>
    </w:p>
    <w:p>
      <w:pPr>
        <w:sectPr>
          <w:pgSz w:w="11900" w:h="16838" w:orient="portrait"/>
          <w:cols w:equalWidth="0" w:num="1">
            <w:col w:w="9019"/>
          </w:cols>
          <w:pgMar w:left="1440" w:top="533" w:right="1440" w:bottom="163" w:gutter="0" w:footer="0" w:header="0"/>
          <w:type w:val="continuous"/>
        </w:sectPr>
      </w:pPr>
    </w:p>
    <w:p>
      <w:pPr>
        <w:spacing w:after="0" w:line="77"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auto"/>
        </w:rPr>
        <w:t>Award Date Fair Market Value per</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Share of Common Stock:</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$52.46</w:t>
      </w:r>
    </w:p>
    <w:p>
      <w:pPr>
        <w:spacing w:after="0" w:line="88" w:lineRule="exact"/>
        <w:rPr>
          <w:sz w:val="20"/>
          <w:szCs w:val="20"/>
          <w:color w:val="auto"/>
        </w:rPr>
      </w:pPr>
    </w:p>
    <w:p>
      <w:pPr>
        <w:sectPr>
          <w:pgSz w:w="11900" w:h="16838" w:orient="portrait"/>
          <w:cols w:equalWidth="0" w:num="2">
            <w:col w:w="2640" w:space="620"/>
            <w:col w:w="5759"/>
          </w:cols>
          <w:pgMar w:left="1440" w:top="533" w:right="1440" w:bottom="163" w:gutter="0" w:footer="0" w:header="0"/>
          <w:type w:val="continuous"/>
        </w:sectPr>
      </w:pPr>
    </w:p>
    <w:p>
      <w:pPr>
        <w:ind w:left="480"/>
        <w:spacing w:after="0"/>
        <w:rPr>
          <w:sz w:val="20"/>
          <w:szCs w:val="20"/>
          <w:color w:val="auto"/>
        </w:rPr>
      </w:pPr>
      <w:r>
        <w:rPr>
          <w:rFonts w:ascii="Arial" w:cs="Arial" w:eastAsia="Arial" w:hAnsi="Arial"/>
          <w:sz w:val="14"/>
          <w:szCs w:val="14"/>
          <w:b w:val="1"/>
          <w:bCs w:val="1"/>
          <w:color w:val="auto"/>
        </w:rPr>
        <w:t>Restricted Stock Units:</w:t>
      </w:r>
    </w:p>
    <w:p>
      <w:pPr>
        <w:spacing w:after="0" w:line="20" w:lineRule="exact"/>
        <w:rPr>
          <w:sz w:val="20"/>
          <w:szCs w:val="20"/>
          <w:color w:val="auto"/>
        </w:rPr>
      </w:pPr>
    </w:p>
    <w:p>
      <w:pPr>
        <w:ind w:left="480" w:right="559"/>
        <w:spacing w:after="0" w:line="269" w:lineRule="auto"/>
        <w:rPr>
          <w:sz w:val="20"/>
          <w:szCs w:val="20"/>
          <w:color w:val="auto"/>
        </w:rPr>
      </w:pPr>
      <w:r>
        <w:rPr>
          <w:rFonts w:ascii="Arial" w:cs="Arial" w:eastAsia="Arial" w:hAnsi="Arial"/>
          <w:sz w:val="13"/>
          <w:szCs w:val="13"/>
          <w:color w:val="auto"/>
        </w:rPr>
        <w:t>Your restricted stock units represent the right to receive shares of Common Stock in the future, subject to the terms and conditions of your award. Your restricted stock units are not shares of Common Stock. The target number of restricted stock units will vest (as described</w:t>
      </w:r>
    </w:p>
    <w:p>
      <w:pPr>
        <w:spacing w:after="0" w:line="1" w:lineRule="exact"/>
        <w:rPr>
          <w:sz w:val="20"/>
          <w:szCs w:val="20"/>
          <w:color w:val="auto"/>
        </w:rPr>
      </w:pPr>
    </w:p>
    <w:p>
      <w:pPr>
        <w:ind w:left="480" w:right="479"/>
        <w:spacing w:after="0" w:line="204" w:lineRule="auto"/>
        <w:rPr>
          <w:sz w:val="20"/>
          <w:szCs w:val="20"/>
          <w:color w:val="auto"/>
        </w:rPr>
      </w:pPr>
      <w:r>
        <w:rPr>
          <w:rFonts w:ascii="Arial" w:cs="Arial" w:eastAsia="Arial" w:hAnsi="Arial"/>
          <w:sz w:val="14"/>
          <w:szCs w:val="14"/>
          <w:color w:val="auto"/>
        </w:rPr>
        <w:t>below), if the target total shareholder return (a return at the 50</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percentile) is achieved. If above target total shareholder return is achieved, you may vest in up to the maximum number of restricted stock units.</w:t>
      </w:r>
    </w:p>
    <w:p>
      <w:pPr>
        <w:spacing w:after="0" w:line="51"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Vesting/Forfeiture of Restricted Stock Units:</w:t>
      </w:r>
    </w:p>
    <w:p>
      <w:pPr>
        <w:spacing w:after="0" w:line="20" w:lineRule="exact"/>
        <w:rPr>
          <w:sz w:val="20"/>
          <w:szCs w:val="20"/>
          <w:color w:val="auto"/>
        </w:rPr>
      </w:pPr>
    </w:p>
    <w:p>
      <w:pPr>
        <w:ind w:left="480" w:right="679"/>
        <w:spacing w:after="0" w:line="251" w:lineRule="auto"/>
        <w:rPr>
          <w:sz w:val="20"/>
          <w:szCs w:val="20"/>
          <w:color w:val="auto"/>
        </w:rPr>
      </w:pPr>
      <w:r>
        <w:rPr>
          <w:rFonts w:ascii="Arial" w:cs="Arial" w:eastAsia="Arial" w:hAnsi="Arial"/>
          <w:sz w:val="14"/>
          <w:szCs w:val="14"/>
          <w:color w:val="auto"/>
        </w:rPr>
        <w:t>Your restricted stock units will vest only upon and only to the extent that the Compensation Committee determines and certifies that Sempra Energy has met specified total shareholder return performance criteria for the performance period beginning on January 1, 2011 and ending at the close of trading on the first New York Stock Exchange trading day of 2015. Any restricted stock units that do not vest upon the Compensation Committee's determination and certification will be forfeited.</w:t>
      </w:r>
    </w:p>
    <w:p>
      <w:pPr>
        <w:spacing w:after="0" w:line="65"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Transfer Restrictions:</w:t>
      </w:r>
    </w:p>
    <w:p>
      <w:pPr>
        <w:spacing w:after="0" w:line="20" w:lineRule="exact"/>
        <w:rPr>
          <w:sz w:val="20"/>
          <w:szCs w:val="20"/>
          <w:color w:val="auto"/>
        </w:rPr>
      </w:pPr>
    </w:p>
    <w:p>
      <w:pPr>
        <w:ind w:left="480"/>
        <w:spacing w:after="0"/>
        <w:rPr>
          <w:sz w:val="20"/>
          <w:szCs w:val="20"/>
          <w:color w:val="auto"/>
        </w:rPr>
      </w:pPr>
      <w:r>
        <w:rPr>
          <w:rFonts w:ascii="Arial" w:cs="Arial" w:eastAsia="Arial" w:hAnsi="Arial"/>
          <w:sz w:val="14"/>
          <w:szCs w:val="14"/>
          <w:color w:val="auto"/>
        </w:rPr>
        <w:t>Your restricted stock units may not be sold or otherwise transferred and will remain subject to forfeiture conditions until they vest.</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Termination of Employment:</w:t>
      </w:r>
    </w:p>
    <w:p>
      <w:pPr>
        <w:spacing w:after="0" w:line="20" w:lineRule="exact"/>
        <w:rPr>
          <w:sz w:val="20"/>
          <w:szCs w:val="20"/>
          <w:color w:val="auto"/>
        </w:rPr>
      </w:pPr>
    </w:p>
    <w:p>
      <w:pPr>
        <w:ind w:left="480"/>
        <w:spacing w:after="0"/>
        <w:rPr>
          <w:sz w:val="20"/>
          <w:szCs w:val="20"/>
          <w:color w:val="auto"/>
        </w:rPr>
      </w:pPr>
      <w:r>
        <w:rPr>
          <w:rFonts w:ascii="Arial" w:cs="Arial" w:eastAsia="Arial" w:hAnsi="Arial"/>
          <w:sz w:val="14"/>
          <w:szCs w:val="14"/>
          <w:color w:val="auto"/>
        </w:rPr>
        <w:t>Your restricted stock units also may be forfeited if your employment terminates.</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Dividend Equivalents:</w:t>
      </w:r>
    </w:p>
    <w:p>
      <w:pPr>
        <w:spacing w:after="0" w:line="20" w:lineRule="exact"/>
        <w:rPr>
          <w:sz w:val="20"/>
          <w:szCs w:val="20"/>
          <w:color w:val="auto"/>
        </w:rPr>
      </w:pPr>
    </w:p>
    <w:p>
      <w:pPr>
        <w:ind w:left="480" w:right="479"/>
        <w:spacing w:after="0" w:line="270" w:lineRule="auto"/>
        <w:rPr>
          <w:sz w:val="20"/>
          <w:szCs w:val="20"/>
          <w:color w:val="auto"/>
        </w:rPr>
      </w:pPr>
      <w:r>
        <w:rPr>
          <w:rFonts w:ascii="Arial" w:cs="Arial" w:eastAsia="Arial" w:hAnsi="Arial"/>
          <w:sz w:val="13"/>
          <w:szCs w:val="13"/>
          <w:color w:val="auto"/>
        </w:rPr>
        <w:t>You also have been awarded dividend equivalents with respect to your restricted stock units. Your dividend equivalents represent the right to receive additional shares of Common Stock in the future, subject to the terms and conditions of your award. Your dividend equivalents will be determined based on the dividends that you would have received, had you held shares of Common Stock equal to the vested number of your restricted stock units from the date of your award to the date of the distribution of shares of Common Stock following the vesting of your restricted stock units, and assuming that the dividends were reinvested in Common Stock (and any dividends on such shares were reinvested in Common Stock). The dividends will be deemed reinvested in Common Stock in the same manner as dividends reinvested pursuant to the terms of the Sempra Dividend Reinvestment Plan. Your dividend equivalents will be subject to the same transfer restrictions and forfeiture and vesting conditions as the shares represented by your restricted stock units.</w:t>
      </w:r>
    </w:p>
    <w:p>
      <w:pPr>
        <w:spacing w:after="0" w:line="55"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Distribution of Shares:</w:t>
      </w:r>
    </w:p>
    <w:p>
      <w:pPr>
        <w:spacing w:after="0" w:line="20" w:lineRule="exact"/>
        <w:rPr>
          <w:sz w:val="20"/>
          <w:szCs w:val="20"/>
          <w:color w:val="auto"/>
        </w:rPr>
      </w:pPr>
    </w:p>
    <w:p>
      <w:pPr>
        <w:ind w:left="480" w:right="479"/>
        <w:spacing w:after="0" w:line="251" w:lineRule="auto"/>
        <w:rPr>
          <w:sz w:val="20"/>
          <w:szCs w:val="20"/>
          <w:color w:val="auto"/>
        </w:rPr>
      </w:pPr>
      <w:r>
        <w:rPr>
          <w:rFonts w:ascii="Arial" w:cs="Arial" w:eastAsia="Arial" w:hAnsi="Arial"/>
          <w:sz w:val="14"/>
          <w:szCs w:val="14"/>
          <w:color w:val="auto"/>
        </w:rPr>
        <w:t>Shares of Common Stock will be distributed to you to the extent your restricted stock units vest. The shares will be distributed to you after the completion of the performance period ending in January 2015 and the Compensation Committee’s determination and certification of Sempra Energy’s total shareholder return for the performance period. The shares of Common Stock will include the additional shares to be distributed pursuant to your dividend equivalents.</w:t>
      </w:r>
    </w:p>
    <w:p>
      <w:pPr>
        <w:spacing w:after="0" w:line="65"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Taxes:</w:t>
      </w:r>
    </w:p>
    <w:p>
      <w:pPr>
        <w:spacing w:after="0" w:line="20" w:lineRule="exact"/>
        <w:rPr>
          <w:sz w:val="20"/>
          <w:szCs w:val="20"/>
          <w:color w:val="auto"/>
        </w:rPr>
      </w:pPr>
    </w:p>
    <w:p>
      <w:pPr>
        <w:ind w:left="480" w:right="539"/>
        <w:spacing w:after="0" w:line="261" w:lineRule="auto"/>
        <w:rPr>
          <w:sz w:val="20"/>
          <w:szCs w:val="20"/>
          <w:color w:val="auto"/>
        </w:rPr>
      </w:pPr>
      <w:r>
        <w:rPr>
          <w:rFonts w:ascii="Arial" w:cs="Arial" w:eastAsia="Arial" w:hAnsi="Arial"/>
          <w:sz w:val="14"/>
          <w:szCs w:val="14"/>
          <w:color w:val="auto"/>
        </w:rPr>
        <w:t>Upon distribution of shares of Common Stock to you, you will be subject to income taxes on the value of the distributed shares at the time of distribution and must pay applicable withholding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50165</wp:posOffset>
            </wp:positionV>
            <wp:extent cx="52571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57165" cy="2603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102235</wp:posOffset>
            </wp:positionV>
            <wp:extent cx="52571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57165" cy="26035"/>
                    </a:xfrm>
                    <a:prstGeom prst="rect">
                      <a:avLst/>
                    </a:prstGeom>
                    <a:noFill/>
                  </pic:spPr>
                </pic:pic>
              </a:graphicData>
            </a:graphic>
          </wp:anchor>
        </w:drawing>
      </w:r>
    </w:p>
    <w:p>
      <w:pPr>
        <w:spacing w:after="0" w:line="166" w:lineRule="exact"/>
        <w:rPr>
          <w:sz w:val="20"/>
          <w:szCs w:val="20"/>
          <w:color w:val="auto"/>
        </w:rPr>
      </w:pPr>
    </w:p>
    <w:p>
      <w:pPr>
        <w:ind w:left="480" w:right="679"/>
        <w:spacing w:after="0" w:line="262" w:lineRule="auto"/>
        <w:rPr>
          <w:sz w:val="20"/>
          <w:szCs w:val="20"/>
          <w:color w:val="auto"/>
        </w:rPr>
      </w:pPr>
      <w:r>
        <w:rPr>
          <w:rFonts w:ascii="Arial" w:cs="Arial" w:eastAsia="Arial" w:hAnsi="Arial"/>
          <w:sz w:val="14"/>
          <w:szCs w:val="14"/>
          <w:b w:val="1"/>
          <w:bCs w:val="1"/>
          <w:i w:val="1"/>
          <w:iCs w:val="1"/>
          <w:color w:val="auto"/>
        </w:rPr>
        <w:t>To accept your award you must sign the accompanying copy of this page and promptly return it to Sempra Energy. By doing so, you agree to all of the terms and conditions set forth in this Cover Page/Summary, the attached Year 2011 Restricted Stock Unit Award Agreement and the Sempra Energy 2008 Long Term Incentive Plan.</w:t>
      </w:r>
    </w:p>
    <w:p>
      <w:pPr>
        <w:spacing w:after="0" w:line="398" w:lineRule="exact"/>
        <w:rPr>
          <w:sz w:val="20"/>
          <w:szCs w:val="20"/>
          <w:color w:val="auto"/>
        </w:rPr>
      </w:pPr>
    </w:p>
    <w:tbl>
      <w:tblPr>
        <w:tblLayout w:type="fixed"/>
        <w:tblInd w:w="2600" w:type="dxa"/>
        <w:tblCellMar>
          <w:top w:w="0" w:type="dxa"/>
          <w:left w:w="0" w:type="dxa"/>
          <w:bottom w:w="0" w:type="dxa"/>
          <w:right w:w="0" w:type="dxa"/>
        </w:tblCellMar>
      </w:tblPr>
      <w:tr>
        <w:trPr>
          <w:trHeight w:val="270"/>
        </w:trPr>
        <w:tc>
          <w:tcPr>
            <w:tcW w:w="1620" w:type="dxa"/>
            <w:vAlign w:val="bottom"/>
          </w:tcPr>
          <w:p>
            <w:pPr>
              <w:spacing w:after="0"/>
              <w:rPr>
                <w:sz w:val="20"/>
                <w:szCs w:val="20"/>
                <w:color w:val="auto"/>
              </w:rPr>
            </w:pPr>
            <w:r>
              <w:rPr>
                <w:rFonts w:ascii="Arial" w:cs="Arial" w:eastAsia="Arial" w:hAnsi="Arial"/>
                <w:sz w:val="14"/>
                <w:szCs w:val="14"/>
                <w:color w:val="auto"/>
              </w:rPr>
              <w:t>Recipient:</w:t>
            </w:r>
          </w:p>
        </w:tc>
        <w:tc>
          <w:tcPr>
            <w:tcW w:w="2300" w:type="dxa"/>
            <w:vAlign w:val="bottom"/>
            <w:tcBorders>
              <w:bottom w:val="single" w:sz="8" w:color="auto"/>
            </w:tcBorders>
          </w:tcPr>
          <w:p>
            <w:pPr>
              <w:ind w:left="100"/>
              <w:spacing w:after="0"/>
              <w:rPr>
                <w:sz w:val="20"/>
                <w:szCs w:val="20"/>
                <w:color w:val="auto"/>
              </w:rPr>
            </w:pPr>
            <w:r>
              <w:rPr>
                <w:rFonts w:ascii="Arial" w:cs="Arial" w:eastAsia="Arial" w:hAnsi="Arial"/>
                <w:sz w:val="21"/>
                <w:szCs w:val="21"/>
                <w:b w:val="1"/>
                <w:bCs w:val="1"/>
                <w:color w:val="auto"/>
              </w:rPr>
              <w:t>X</w:t>
            </w:r>
          </w:p>
        </w:tc>
      </w:tr>
      <w:tr>
        <w:trPr>
          <w:trHeight w:val="160"/>
        </w:trPr>
        <w:tc>
          <w:tcPr>
            <w:tcW w:w="1620" w:type="dxa"/>
            <w:vAlign w:val="bottom"/>
          </w:tcPr>
          <w:p>
            <w:pPr>
              <w:spacing w:after="0"/>
              <w:rPr>
                <w:sz w:val="13"/>
                <w:szCs w:val="13"/>
                <w:color w:val="auto"/>
              </w:rPr>
            </w:pPr>
          </w:p>
        </w:tc>
        <w:tc>
          <w:tcPr>
            <w:tcW w:w="2300" w:type="dxa"/>
            <w:vAlign w:val="bottom"/>
          </w:tcPr>
          <w:p>
            <w:pPr>
              <w:jc w:val="center"/>
              <w:spacing w:after="0" w:line="160" w:lineRule="exact"/>
              <w:rPr>
                <w:sz w:val="20"/>
                <w:szCs w:val="20"/>
                <w:color w:val="auto"/>
              </w:rPr>
            </w:pPr>
            <w:r>
              <w:rPr>
                <w:rFonts w:ascii="Arial" w:cs="Arial" w:eastAsia="Arial" w:hAnsi="Arial"/>
                <w:sz w:val="14"/>
                <w:szCs w:val="14"/>
                <w:color w:val="auto"/>
                <w:w w:val="95"/>
              </w:rPr>
              <w:t>(Signature)</w:t>
            </w:r>
          </w:p>
        </w:tc>
      </w:tr>
      <w:tr>
        <w:trPr>
          <w:trHeight w:val="203"/>
        </w:trPr>
        <w:tc>
          <w:tcPr>
            <w:tcW w:w="1620" w:type="dxa"/>
            <w:vAlign w:val="bottom"/>
          </w:tcPr>
          <w:p>
            <w:pPr>
              <w:spacing w:after="0"/>
              <w:rPr>
                <w:sz w:val="20"/>
                <w:szCs w:val="20"/>
                <w:color w:val="auto"/>
              </w:rPr>
            </w:pPr>
            <w:r>
              <w:rPr>
                <w:rFonts w:ascii="Arial" w:cs="Arial" w:eastAsia="Arial" w:hAnsi="Arial"/>
                <w:sz w:val="14"/>
                <w:szCs w:val="14"/>
                <w:color w:val="auto"/>
              </w:rPr>
              <w:t>Sempra Energy:</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7"/>
                <w:szCs w:val="17"/>
                <w:i w:val="1"/>
                <w:iCs w:val="1"/>
                <w:color w:val="auto"/>
                <w:w w:val="93"/>
              </w:rPr>
              <w:t>/s/ Donald E. Felsinger</w:t>
            </w:r>
          </w:p>
        </w:tc>
      </w:tr>
      <w:tr>
        <w:trPr>
          <w:trHeight w:val="170"/>
        </w:trPr>
        <w:tc>
          <w:tcPr>
            <w:tcW w:w="162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color w:val="auto"/>
                <w:w w:val="95"/>
              </w:rPr>
              <w:t>(Signature)</w:t>
            </w:r>
          </w:p>
        </w:tc>
      </w:tr>
      <w:tr>
        <w:trPr>
          <w:trHeight w:val="183"/>
        </w:trPr>
        <w:tc>
          <w:tcPr>
            <w:tcW w:w="1620" w:type="dxa"/>
            <w:vAlign w:val="bottom"/>
          </w:tcPr>
          <w:p>
            <w:pPr>
              <w:spacing w:after="0"/>
              <w:rPr>
                <w:sz w:val="20"/>
                <w:szCs w:val="20"/>
                <w:color w:val="auto"/>
              </w:rPr>
            </w:pPr>
            <w:r>
              <w:rPr>
                <w:rFonts w:ascii="Arial" w:cs="Arial" w:eastAsia="Arial" w:hAnsi="Arial"/>
                <w:sz w:val="14"/>
                <w:szCs w:val="14"/>
                <w:color w:val="auto"/>
              </w:rPr>
              <w:t>Title:</w:t>
            </w:r>
          </w:p>
        </w:tc>
        <w:tc>
          <w:tcPr>
            <w:tcW w:w="2300" w:type="dxa"/>
            <w:vAlign w:val="bottom"/>
          </w:tcPr>
          <w:p>
            <w:pPr>
              <w:jc w:val="center"/>
              <w:spacing w:after="0"/>
              <w:rPr>
                <w:sz w:val="20"/>
                <w:szCs w:val="20"/>
                <w:color w:val="auto"/>
              </w:rPr>
            </w:pPr>
            <w:r>
              <w:rPr>
                <w:rFonts w:ascii="Arial" w:cs="Arial" w:eastAsia="Arial" w:hAnsi="Arial"/>
                <w:sz w:val="14"/>
                <w:szCs w:val="14"/>
                <w:color w:val="auto"/>
                <w:w w:val="97"/>
              </w:rPr>
              <w:t>Chairman &amp; Chief Executive</w:t>
            </w:r>
          </w:p>
        </w:tc>
      </w:tr>
      <w:tr>
        <w:trPr>
          <w:trHeight w:val="191"/>
        </w:trPr>
        <w:tc>
          <w:tcPr>
            <w:tcW w:w="162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SEMPRA ENERGY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2008 LONG TERM INCENTIVE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Year 2011 Restricted Stock Unit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136525</wp:posOffset>
            </wp:positionV>
            <wp:extent cx="46729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672965" cy="26035"/>
                    </a:xfrm>
                    <a:prstGeom prst="rect">
                      <a:avLst/>
                    </a:prstGeom>
                    <a:noFill/>
                  </pic:spPr>
                </pic:pic>
              </a:graphicData>
            </a:graphic>
          </wp:anchor>
        </w:drawing>
        <w:drawing>
          <wp:anchor simplePos="0" relativeHeight="251657728" behindDoc="1" locked="0" layoutInCell="0" allowOverlap="1">
            <wp:simplePos x="0" y="0"/>
            <wp:positionH relativeFrom="column">
              <wp:posOffset>533400</wp:posOffset>
            </wp:positionH>
            <wp:positionV relativeFrom="paragraph">
              <wp:posOffset>189230</wp:posOffset>
            </wp:positionV>
            <wp:extent cx="46729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672965" cy="26035"/>
                    </a:xfrm>
                    <a:prstGeom prst="rect">
                      <a:avLst/>
                    </a:prstGeom>
                    <a:noFill/>
                  </pic:spPr>
                </pic:pic>
              </a:graphicData>
            </a:graphic>
          </wp:anchor>
        </w:drawing>
      </w:r>
    </w:p>
    <w:p>
      <w:pPr>
        <w:sectPr>
          <w:pgSz w:w="11900" w:h="16838" w:orient="portrait"/>
          <w:cols w:equalWidth="0" w:num="1">
            <w:col w:w="9019"/>
          </w:cols>
          <w:pgMar w:left="1440" w:top="533" w:right="1440" w:bottom="163" w:gutter="0" w:footer="0" w:header="0"/>
          <w:type w:val="continuous"/>
        </w:sectPr>
      </w:pPr>
    </w:p>
    <w:bookmarkStart w:id="60" w:name="page61"/>
    <w:bookmarkEnd w:id="60"/>
    <w:tbl>
      <w:tblPr>
        <w:tblLayout w:type="fixed"/>
        <w:tblInd w:w="94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6"/>
                <w:szCs w:val="16"/>
                <w:b w:val="1"/>
                <w:bCs w:val="1"/>
                <w:color w:val="auto"/>
              </w:rPr>
              <w:t>Award:</w:t>
            </w:r>
          </w:p>
        </w:tc>
        <w:tc>
          <w:tcPr>
            <w:tcW w:w="5440" w:type="dxa"/>
            <w:vAlign w:val="bottom"/>
            <w:gridSpan w:val="6"/>
          </w:tcPr>
          <w:p>
            <w:pPr>
              <w:ind w:left="460"/>
              <w:spacing w:after="0"/>
              <w:rPr>
                <w:sz w:val="20"/>
                <w:szCs w:val="20"/>
                <w:color w:val="auto"/>
              </w:rPr>
            </w:pPr>
            <w:r>
              <w:rPr>
                <w:rFonts w:ascii="Arial" w:cs="Arial" w:eastAsia="Arial" w:hAnsi="Arial"/>
                <w:sz w:val="16"/>
                <w:szCs w:val="16"/>
                <w:color w:val="auto"/>
                <w:w w:val="88"/>
              </w:rPr>
              <w:t>You have been granted a performance-based restricted stock unit award under</w:t>
            </w:r>
          </w:p>
        </w:tc>
      </w:tr>
      <w:tr>
        <w:trPr>
          <w:trHeight w:val="186"/>
        </w:trPr>
        <w:tc>
          <w:tcPr>
            <w:tcW w:w="1720" w:type="dxa"/>
            <w:vAlign w:val="bottom"/>
          </w:tcPr>
          <w:p>
            <w:pPr>
              <w:spacing w:after="0"/>
              <w:rPr>
                <w:sz w:val="16"/>
                <w:szCs w:val="16"/>
                <w:color w:val="auto"/>
              </w:rPr>
            </w:pPr>
          </w:p>
        </w:tc>
        <w:tc>
          <w:tcPr>
            <w:tcW w:w="5440" w:type="dxa"/>
            <w:vAlign w:val="bottom"/>
            <w:gridSpan w:val="6"/>
          </w:tcPr>
          <w:p>
            <w:pPr>
              <w:ind w:left="460"/>
              <w:spacing w:after="0"/>
              <w:rPr>
                <w:sz w:val="20"/>
                <w:szCs w:val="20"/>
                <w:color w:val="auto"/>
              </w:rPr>
            </w:pPr>
            <w:r>
              <w:rPr>
                <w:rFonts w:ascii="Arial" w:cs="Arial" w:eastAsia="Arial" w:hAnsi="Arial"/>
                <w:sz w:val="16"/>
                <w:szCs w:val="16"/>
                <w:color w:val="auto"/>
                <w:w w:val="91"/>
              </w:rPr>
              <w:t>Sempra Energy’s 2008 Long Term Incentive Plan. The award consists of the</w:t>
            </w:r>
          </w:p>
        </w:tc>
      </w:tr>
      <w:tr>
        <w:trPr>
          <w:trHeight w:val="186"/>
        </w:trPr>
        <w:tc>
          <w:tcPr>
            <w:tcW w:w="1720" w:type="dxa"/>
            <w:vAlign w:val="bottom"/>
          </w:tcPr>
          <w:p>
            <w:pPr>
              <w:spacing w:after="0"/>
              <w:rPr>
                <w:sz w:val="16"/>
                <w:szCs w:val="16"/>
                <w:color w:val="auto"/>
              </w:rPr>
            </w:pPr>
          </w:p>
        </w:tc>
        <w:tc>
          <w:tcPr>
            <w:tcW w:w="5440" w:type="dxa"/>
            <w:vAlign w:val="bottom"/>
            <w:gridSpan w:val="6"/>
          </w:tcPr>
          <w:p>
            <w:pPr>
              <w:ind w:left="460"/>
              <w:spacing w:after="0"/>
              <w:rPr>
                <w:sz w:val="20"/>
                <w:szCs w:val="20"/>
                <w:color w:val="auto"/>
              </w:rPr>
            </w:pPr>
            <w:r>
              <w:rPr>
                <w:rFonts w:ascii="Arial" w:cs="Arial" w:eastAsia="Arial" w:hAnsi="Arial"/>
                <w:sz w:val="16"/>
                <w:szCs w:val="16"/>
                <w:color w:val="auto"/>
                <w:w w:val="91"/>
              </w:rPr>
              <w:t>number of restricted stock units set forth on the Cover Page/Summary to this</w:t>
            </w:r>
          </w:p>
        </w:tc>
      </w:tr>
      <w:tr>
        <w:trPr>
          <w:trHeight w:val="186"/>
        </w:trPr>
        <w:tc>
          <w:tcPr>
            <w:tcW w:w="1720" w:type="dxa"/>
            <w:vAlign w:val="bottom"/>
          </w:tcPr>
          <w:p>
            <w:pPr>
              <w:spacing w:after="0"/>
              <w:rPr>
                <w:sz w:val="16"/>
                <w:szCs w:val="16"/>
                <w:color w:val="auto"/>
              </w:rPr>
            </w:pPr>
          </w:p>
        </w:tc>
        <w:tc>
          <w:tcPr>
            <w:tcW w:w="5440" w:type="dxa"/>
            <w:vAlign w:val="bottom"/>
            <w:gridSpan w:val="6"/>
          </w:tcPr>
          <w:p>
            <w:pPr>
              <w:ind w:left="460"/>
              <w:spacing w:after="0"/>
              <w:rPr>
                <w:sz w:val="20"/>
                <w:szCs w:val="20"/>
                <w:color w:val="auto"/>
              </w:rPr>
            </w:pPr>
            <w:r>
              <w:rPr>
                <w:rFonts w:ascii="Arial" w:cs="Arial" w:eastAsia="Arial" w:hAnsi="Arial"/>
                <w:sz w:val="16"/>
                <w:szCs w:val="16"/>
                <w:color w:val="auto"/>
                <w:w w:val="90"/>
              </w:rPr>
              <w:t>Agreement, and dividend equivalents with respect to the restricted stock units</w:t>
            </w:r>
          </w:p>
        </w:tc>
      </w:tr>
      <w:tr>
        <w:trPr>
          <w:trHeight w:val="201"/>
        </w:trPr>
        <w:tc>
          <w:tcPr>
            <w:tcW w:w="1720" w:type="dxa"/>
            <w:vAlign w:val="bottom"/>
          </w:tcPr>
          <w:p>
            <w:pPr>
              <w:spacing w:after="0"/>
              <w:rPr>
                <w:sz w:val="17"/>
                <w:szCs w:val="17"/>
                <w:color w:val="auto"/>
              </w:rPr>
            </w:pPr>
          </w:p>
        </w:tc>
        <w:tc>
          <w:tcPr>
            <w:tcW w:w="3420" w:type="dxa"/>
            <w:vAlign w:val="bottom"/>
            <w:gridSpan w:val="4"/>
          </w:tcPr>
          <w:p>
            <w:pPr>
              <w:ind w:left="460"/>
              <w:spacing w:after="0"/>
              <w:rPr>
                <w:sz w:val="20"/>
                <w:szCs w:val="20"/>
                <w:color w:val="auto"/>
              </w:rPr>
            </w:pPr>
            <w:r>
              <w:rPr>
                <w:rFonts w:ascii="Arial" w:cs="Arial" w:eastAsia="Arial" w:hAnsi="Arial"/>
                <w:sz w:val="16"/>
                <w:szCs w:val="16"/>
                <w:color w:val="auto"/>
              </w:rPr>
              <w:t>(described below).</w:t>
            </w: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336"/>
        </w:trPr>
        <w:tc>
          <w:tcPr>
            <w:tcW w:w="1720" w:type="dxa"/>
            <w:vAlign w:val="bottom"/>
          </w:tcPr>
          <w:p>
            <w:pPr>
              <w:spacing w:after="0"/>
              <w:rPr>
                <w:sz w:val="24"/>
                <w:szCs w:val="24"/>
                <w:color w:val="auto"/>
              </w:rPr>
            </w:pPr>
          </w:p>
        </w:tc>
        <w:tc>
          <w:tcPr>
            <w:tcW w:w="5440" w:type="dxa"/>
            <w:vAlign w:val="bottom"/>
            <w:gridSpan w:val="6"/>
          </w:tcPr>
          <w:p>
            <w:pPr>
              <w:ind w:left="460"/>
              <w:spacing w:after="0"/>
              <w:rPr>
                <w:sz w:val="20"/>
                <w:szCs w:val="20"/>
                <w:color w:val="auto"/>
              </w:rPr>
            </w:pPr>
            <w:r>
              <w:rPr>
                <w:rFonts w:ascii="Arial" w:cs="Arial" w:eastAsia="Arial" w:hAnsi="Arial"/>
                <w:sz w:val="16"/>
                <w:szCs w:val="16"/>
                <w:color w:val="auto"/>
                <w:w w:val="93"/>
              </w:rPr>
              <w:t>Your restricted stock units represent the right to receive shares of Common</w:t>
            </w:r>
          </w:p>
        </w:tc>
      </w:tr>
      <w:tr>
        <w:trPr>
          <w:trHeight w:val="186"/>
        </w:trPr>
        <w:tc>
          <w:tcPr>
            <w:tcW w:w="1720" w:type="dxa"/>
            <w:vAlign w:val="bottom"/>
          </w:tcPr>
          <w:p>
            <w:pPr>
              <w:spacing w:after="0"/>
              <w:rPr>
                <w:sz w:val="16"/>
                <w:szCs w:val="16"/>
                <w:color w:val="auto"/>
              </w:rPr>
            </w:pPr>
          </w:p>
        </w:tc>
        <w:tc>
          <w:tcPr>
            <w:tcW w:w="5440" w:type="dxa"/>
            <w:vAlign w:val="bottom"/>
            <w:gridSpan w:val="6"/>
          </w:tcPr>
          <w:p>
            <w:pPr>
              <w:ind w:left="460"/>
              <w:spacing w:after="0"/>
              <w:rPr>
                <w:sz w:val="20"/>
                <w:szCs w:val="20"/>
                <w:color w:val="auto"/>
              </w:rPr>
            </w:pPr>
            <w:r>
              <w:rPr>
                <w:rFonts w:ascii="Arial" w:cs="Arial" w:eastAsia="Arial" w:hAnsi="Arial"/>
                <w:sz w:val="16"/>
                <w:szCs w:val="16"/>
                <w:color w:val="auto"/>
                <w:w w:val="93"/>
              </w:rPr>
              <w:t>Stock in the future, subject to the terms and conditions of your award. Your</w:t>
            </w:r>
          </w:p>
        </w:tc>
      </w:tr>
      <w:tr>
        <w:trPr>
          <w:trHeight w:val="201"/>
        </w:trPr>
        <w:tc>
          <w:tcPr>
            <w:tcW w:w="1720" w:type="dxa"/>
            <w:vAlign w:val="bottom"/>
          </w:tcPr>
          <w:p>
            <w:pPr>
              <w:spacing w:after="0"/>
              <w:rPr>
                <w:sz w:val="17"/>
                <w:szCs w:val="17"/>
                <w:color w:val="auto"/>
              </w:rPr>
            </w:pPr>
          </w:p>
        </w:tc>
        <w:tc>
          <w:tcPr>
            <w:tcW w:w="5440" w:type="dxa"/>
            <w:vAlign w:val="bottom"/>
            <w:gridSpan w:val="6"/>
          </w:tcPr>
          <w:p>
            <w:pPr>
              <w:ind w:left="460"/>
              <w:spacing w:after="0"/>
              <w:rPr>
                <w:sz w:val="20"/>
                <w:szCs w:val="20"/>
                <w:color w:val="auto"/>
              </w:rPr>
            </w:pPr>
            <w:r>
              <w:rPr>
                <w:rFonts w:ascii="Arial" w:cs="Arial" w:eastAsia="Arial" w:hAnsi="Arial"/>
                <w:sz w:val="16"/>
                <w:szCs w:val="16"/>
                <w:color w:val="auto"/>
              </w:rPr>
              <w:t>restricted stock units are not shares of Common Stock.</w:t>
            </w:r>
          </w:p>
        </w:tc>
      </w:tr>
      <w:tr>
        <w:trPr>
          <w:trHeight w:val="336"/>
        </w:trPr>
        <w:tc>
          <w:tcPr>
            <w:tcW w:w="1720" w:type="dxa"/>
            <w:vAlign w:val="bottom"/>
          </w:tcPr>
          <w:p>
            <w:pPr>
              <w:spacing w:after="0"/>
              <w:rPr>
                <w:sz w:val="24"/>
                <w:szCs w:val="24"/>
                <w:color w:val="auto"/>
              </w:rPr>
            </w:pPr>
          </w:p>
        </w:tc>
        <w:tc>
          <w:tcPr>
            <w:tcW w:w="5440" w:type="dxa"/>
            <w:vAlign w:val="bottom"/>
            <w:gridSpan w:val="6"/>
          </w:tcPr>
          <w:p>
            <w:pPr>
              <w:ind w:left="460"/>
              <w:spacing w:after="0"/>
              <w:rPr>
                <w:sz w:val="20"/>
                <w:szCs w:val="20"/>
                <w:color w:val="auto"/>
              </w:rPr>
            </w:pPr>
            <w:r>
              <w:rPr>
                <w:rFonts w:ascii="Arial" w:cs="Arial" w:eastAsia="Arial" w:hAnsi="Arial"/>
                <w:sz w:val="16"/>
                <w:szCs w:val="16"/>
                <w:color w:val="auto"/>
                <w:w w:val="88"/>
              </w:rPr>
              <w:t>Each restricted stock unit represents the right to receive one share of Common</w:t>
            </w:r>
          </w:p>
        </w:tc>
      </w:tr>
      <w:tr>
        <w:trPr>
          <w:trHeight w:val="201"/>
        </w:trPr>
        <w:tc>
          <w:tcPr>
            <w:tcW w:w="1720" w:type="dxa"/>
            <w:vAlign w:val="bottom"/>
          </w:tcPr>
          <w:p>
            <w:pPr>
              <w:spacing w:after="0"/>
              <w:rPr>
                <w:sz w:val="17"/>
                <w:szCs w:val="17"/>
                <w:color w:val="auto"/>
              </w:rPr>
            </w:pPr>
          </w:p>
        </w:tc>
        <w:tc>
          <w:tcPr>
            <w:tcW w:w="3420" w:type="dxa"/>
            <w:vAlign w:val="bottom"/>
            <w:gridSpan w:val="4"/>
          </w:tcPr>
          <w:p>
            <w:pPr>
              <w:ind w:left="460"/>
              <w:spacing w:after="0"/>
              <w:rPr>
                <w:sz w:val="20"/>
                <w:szCs w:val="20"/>
                <w:color w:val="auto"/>
              </w:rPr>
            </w:pPr>
            <w:r>
              <w:rPr>
                <w:rFonts w:ascii="Arial" w:cs="Arial" w:eastAsia="Arial" w:hAnsi="Arial"/>
                <w:sz w:val="16"/>
                <w:szCs w:val="16"/>
                <w:color w:val="auto"/>
              </w:rPr>
              <w:t>Stock upon the vesting of the unit.</w:t>
            </w: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336"/>
        </w:trPr>
        <w:tc>
          <w:tcPr>
            <w:tcW w:w="1720" w:type="dxa"/>
            <w:vAlign w:val="bottom"/>
          </w:tcPr>
          <w:p>
            <w:pPr>
              <w:spacing w:after="0"/>
              <w:rPr>
                <w:sz w:val="24"/>
                <w:szCs w:val="24"/>
                <w:color w:val="auto"/>
              </w:rPr>
            </w:pPr>
          </w:p>
        </w:tc>
        <w:tc>
          <w:tcPr>
            <w:tcW w:w="5440" w:type="dxa"/>
            <w:vAlign w:val="bottom"/>
            <w:gridSpan w:val="6"/>
          </w:tcPr>
          <w:p>
            <w:pPr>
              <w:ind w:left="460"/>
              <w:spacing w:after="0"/>
              <w:rPr>
                <w:sz w:val="20"/>
                <w:szCs w:val="20"/>
                <w:color w:val="auto"/>
              </w:rPr>
            </w:pPr>
            <w:r>
              <w:rPr>
                <w:rFonts w:ascii="Arial" w:cs="Arial" w:eastAsia="Arial" w:hAnsi="Arial"/>
                <w:sz w:val="16"/>
                <w:szCs w:val="16"/>
                <w:color w:val="auto"/>
                <w:w w:val="99"/>
              </w:rPr>
              <w:t>Unless and until they vest, your restricted stock units and any dividend</w:t>
            </w:r>
          </w:p>
        </w:tc>
      </w:tr>
      <w:tr>
        <w:trPr>
          <w:trHeight w:val="186"/>
        </w:trPr>
        <w:tc>
          <w:tcPr>
            <w:tcW w:w="1720" w:type="dxa"/>
            <w:vAlign w:val="bottom"/>
          </w:tcPr>
          <w:p>
            <w:pPr>
              <w:spacing w:after="0"/>
              <w:rPr>
                <w:sz w:val="16"/>
                <w:szCs w:val="16"/>
                <w:color w:val="auto"/>
              </w:rPr>
            </w:pPr>
          </w:p>
        </w:tc>
        <w:tc>
          <w:tcPr>
            <w:tcW w:w="5440" w:type="dxa"/>
            <w:vAlign w:val="bottom"/>
            <w:gridSpan w:val="6"/>
          </w:tcPr>
          <w:p>
            <w:pPr>
              <w:ind w:left="460"/>
              <w:spacing w:after="0"/>
              <w:rPr>
                <w:sz w:val="20"/>
                <w:szCs w:val="20"/>
                <w:color w:val="auto"/>
              </w:rPr>
            </w:pPr>
            <w:r>
              <w:rPr>
                <w:rFonts w:ascii="Arial" w:cs="Arial" w:eastAsia="Arial" w:hAnsi="Arial"/>
                <w:sz w:val="16"/>
                <w:szCs w:val="16"/>
                <w:color w:val="auto"/>
                <w:w w:val="94"/>
              </w:rPr>
              <w:t>equivalents (as described below) will be subject to transfer restrictions and</w:t>
            </w:r>
          </w:p>
        </w:tc>
      </w:tr>
      <w:tr>
        <w:trPr>
          <w:trHeight w:val="201"/>
        </w:trPr>
        <w:tc>
          <w:tcPr>
            <w:tcW w:w="1720" w:type="dxa"/>
            <w:vAlign w:val="bottom"/>
          </w:tcPr>
          <w:p>
            <w:pPr>
              <w:spacing w:after="0"/>
              <w:rPr>
                <w:sz w:val="17"/>
                <w:szCs w:val="17"/>
                <w:color w:val="auto"/>
              </w:rPr>
            </w:pPr>
          </w:p>
        </w:tc>
        <w:tc>
          <w:tcPr>
            <w:tcW w:w="3420" w:type="dxa"/>
            <w:vAlign w:val="bottom"/>
            <w:gridSpan w:val="4"/>
          </w:tcPr>
          <w:p>
            <w:pPr>
              <w:ind w:left="460"/>
              <w:spacing w:after="0"/>
              <w:rPr>
                <w:sz w:val="20"/>
                <w:szCs w:val="20"/>
                <w:color w:val="auto"/>
              </w:rPr>
            </w:pPr>
            <w:r>
              <w:rPr>
                <w:rFonts w:ascii="Arial" w:cs="Arial" w:eastAsia="Arial" w:hAnsi="Arial"/>
                <w:sz w:val="16"/>
                <w:szCs w:val="16"/>
                <w:color w:val="auto"/>
              </w:rPr>
              <w:t>forfeiture and vesting conditions.</w:t>
            </w: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4"/>
        </w:trPr>
        <w:tc>
          <w:tcPr>
            <w:tcW w:w="1720" w:type="dxa"/>
            <w:vAlign w:val="bottom"/>
          </w:tcPr>
          <w:p>
            <w:pPr>
              <w:spacing w:after="0"/>
              <w:rPr>
                <w:sz w:val="22"/>
                <w:szCs w:val="22"/>
                <w:color w:val="auto"/>
              </w:rPr>
            </w:pPr>
          </w:p>
        </w:tc>
        <w:tc>
          <w:tcPr>
            <w:tcW w:w="5440" w:type="dxa"/>
            <w:vAlign w:val="bottom"/>
            <w:gridSpan w:val="6"/>
          </w:tcPr>
          <w:p>
            <w:pPr>
              <w:ind w:left="460"/>
              <w:spacing w:after="0"/>
              <w:rPr>
                <w:sz w:val="20"/>
                <w:szCs w:val="20"/>
                <w:color w:val="auto"/>
              </w:rPr>
            </w:pPr>
            <w:r>
              <w:rPr>
                <w:rFonts w:ascii="Arial" w:cs="Arial" w:eastAsia="Arial" w:hAnsi="Arial"/>
                <w:sz w:val="16"/>
                <w:szCs w:val="16"/>
                <w:color w:val="auto"/>
                <w:w w:val="91"/>
              </w:rPr>
              <w:t>Your restricted stock units (and dividend equivalents) will vest only upon and</w:t>
            </w:r>
          </w:p>
        </w:tc>
      </w:tr>
      <w:tr>
        <w:trPr>
          <w:trHeight w:val="186"/>
        </w:trPr>
        <w:tc>
          <w:tcPr>
            <w:tcW w:w="1720" w:type="dxa"/>
            <w:vAlign w:val="bottom"/>
          </w:tcPr>
          <w:p>
            <w:pPr>
              <w:spacing w:after="0"/>
              <w:rPr>
                <w:sz w:val="16"/>
                <w:szCs w:val="16"/>
                <w:color w:val="auto"/>
              </w:rPr>
            </w:pPr>
          </w:p>
        </w:tc>
        <w:tc>
          <w:tcPr>
            <w:tcW w:w="5440" w:type="dxa"/>
            <w:vAlign w:val="bottom"/>
            <w:gridSpan w:val="6"/>
          </w:tcPr>
          <w:p>
            <w:pPr>
              <w:ind w:left="460"/>
              <w:spacing w:after="0"/>
              <w:rPr>
                <w:sz w:val="20"/>
                <w:szCs w:val="20"/>
                <w:color w:val="auto"/>
              </w:rPr>
            </w:pPr>
            <w:r>
              <w:rPr>
                <w:rFonts w:ascii="Arial" w:cs="Arial" w:eastAsia="Arial" w:hAnsi="Arial"/>
                <w:sz w:val="16"/>
                <w:szCs w:val="16"/>
                <w:color w:val="auto"/>
                <w:w w:val="96"/>
              </w:rPr>
              <w:t>only to the extent that the Compensation Committee of Sempra Energy's</w:t>
            </w:r>
          </w:p>
        </w:tc>
      </w:tr>
      <w:tr>
        <w:trPr>
          <w:trHeight w:val="186"/>
        </w:trPr>
        <w:tc>
          <w:tcPr>
            <w:tcW w:w="1720" w:type="dxa"/>
            <w:vAlign w:val="bottom"/>
          </w:tcPr>
          <w:p>
            <w:pPr>
              <w:spacing w:after="0"/>
              <w:rPr>
                <w:sz w:val="16"/>
                <w:szCs w:val="16"/>
                <w:color w:val="auto"/>
              </w:rPr>
            </w:pPr>
          </w:p>
        </w:tc>
        <w:tc>
          <w:tcPr>
            <w:tcW w:w="5440" w:type="dxa"/>
            <w:vAlign w:val="bottom"/>
            <w:gridSpan w:val="6"/>
          </w:tcPr>
          <w:p>
            <w:pPr>
              <w:ind w:left="460"/>
              <w:spacing w:after="0"/>
              <w:rPr>
                <w:sz w:val="20"/>
                <w:szCs w:val="20"/>
                <w:color w:val="auto"/>
              </w:rPr>
            </w:pPr>
            <w:r>
              <w:rPr>
                <w:rFonts w:ascii="Arial" w:cs="Arial" w:eastAsia="Arial" w:hAnsi="Arial"/>
                <w:sz w:val="16"/>
                <w:szCs w:val="16"/>
                <w:color w:val="auto"/>
                <w:w w:val="96"/>
              </w:rPr>
              <w:t>Board of Directors determines and certifies that Sempra Energy has met</w:t>
            </w:r>
          </w:p>
        </w:tc>
      </w:tr>
      <w:tr>
        <w:trPr>
          <w:trHeight w:val="186"/>
        </w:trPr>
        <w:tc>
          <w:tcPr>
            <w:tcW w:w="1720" w:type="dxa"/>
            <w:vAlign w:val="bottom"/>
          </w:tcPr>
          <w:p>
            <w:pPr>
              <w:spacing w:after="0"/>
              <w:rPr>
                <w:sz w:val="16"/>
                <w:szCs w:val="16"/>
                <w:color w:val="auto"/>
              </w:rPr>
            </w:pPr>
          </w:p>
        </w:tc>
        <w:tc>
          <w:tcPr>
            <w:tcW w:w="5440" w:type="dxa"/>
            <w:vAlign w:val="bottom"/>
            <w:gridSpan w:val="6"/>
          </w:tcPr>
          <w:p>
            <w:pPr>
              <w:ind w:left="460"/>
              <w:spacing w:after="0"/>
              <w:rPr>
                <w:sz w:val="20"/>
                <w:szCs w:val="20"/>
                <w:color w:val="auto"/>
              </w:rPr>
            </w:pPr>
            <w:r>
              <w:rPr>
                <w:rFonts w:ascii="Arial" w:cs="Arial" w:eastAsia="Arial" w:hAnsi="Arial"/>
                <w:sz w:val="16"/>
                <w:szCs w:val="16"/>
                <w:color w:val="auto"/>
              </w:rPr>
              <w:t>specified total shareholder return criteria for the performance period</w:t>
            </w:r>
          </w:p>
        </w:tc>
      </w:tr>
      <w:tr>
        <w:trPr>
          <w:trHeight w:val="186"/>
        </w:trPr>
        <w:tc>
          <w:tcPr>
            <w:tcW w:w="1720" w:type="dxa"/>
            <w:vAlign w:val="bottom"/>
          </w:tcPr>
          <w:p>
            <w:pPr>
              <w:spacing w:after="0"/>
              <w:rPr>
                <w:sz w:val="16"/>
                <w:szCs w:val="16"/>
                <w:color w:val="auto"/>
              </w:rPr>
            </w:pPr>
          </w:p>
        </w:tc>
        <w:tc>
          <w:tcPr>
            <w:tcW w:w="5440" w:type="dxa"/>
            <w:vAlign w:val="bottom"/>
            <w:gridSpan w:val="6"/>
          </w:tcPr>
          <w:p>
            <w:pPr>
              <w:ind w:left="460"/>
              <w:spacing w:after="0"/>
              <w:rPr>
                <w:sz w:val="20"/>
                <w:szCs w:val="20"/>
                <w:color w:val="auto"/>
              </w:rPr>
            </w:pPr>
            <w:r>
              <w:rPr>
                <w:rFonts w:ascii="Arial" w:cs="Arial" w:eastAsia="Arial" w:hAnsi="Arial"/>
                <w:sz w:val="16"/>
                <w:szCs w:val="16"/>
                <w:color w:val="auto"/>
                <w:w w:val="92"/>
              </w:rPr>
              <w:t>beginning January 1, 2011 and ending in January 2015. Any restricted stock</w:t>
            </w:r>
          </w:p>
        </w:tc>
      </w:tr>
      <w:tr>
        <w:trPr>
          <w:trHeight w:val="186"/>
        </w:trPr>
        <w:tc>
          <w:tcPr>
            <w:tcW w:w="1720" w:type="dxa"/>
            <w:vAlign w:val="bottom"/>
          </w:tcPr>
          <w:p>
            <w:pPr>
              <w:spacing w:after="0"/>
              <w:rPr>
                <w:sz w:val="16"/>
                <w:szCs w:val="16"/>
                <w:color w:val="auto"/>
              </w:rPr>
            </w:pPr>
          </w:p>
        </w:tc>
        <w:tc>
          <w:tcPr>
            <w:tcW w:w="5440" w:type="dxa"/>
            <w:vAlign w:val="bottom"/>
            <w:gridSpan w:val="6"/>
          </w:tcPr>
          <w:p>
            <w:pPr>
              <w:ind w:left="460"/>
              <w:spacing w:after="0"/>
              <w:rPr>
                <w:sz w:val="20"/>
                <w:szCs w:val="20"/>
                <w:color w:val="auto"/>
              </w:rPr>
            </w:pPr>
            <w:r>
              <w:rPr>
                <w:rFonts w:ascii="Arial" w:cs="Arial" w:eastAsia="Arial" w:hAnsi="Arial"/>
                <w:sz w:val="16"/>
                <w:szCs w:val="16"/>
                <w:color w:val="auto"/>
                <w:w w:val="96"/>
              </w:rPr>
              <w:t>units (and dividend equivalents) that do not vest upon the Compensation</w:t>
            </w:r>
          </w:p>
        </w:tc>
      </w:tr>
      <w:tr>
        <w:trPr>
          <w:trHeight w:val="201"/>
        </w:trPr>
        <w:tc>
          <w:tcPr>
            <w:tcW w:w="1720" w:type="dxa"/>
            <w:vAlign w:val="bottom"/>
          </w:tcPr>
          <w:p>
            <w:pPr>
              <w:spacing w:after="0"/>
              <w:rPr>
                <w:sz w:val="17"/>
                <w:szCs w:val="17"/>
                <w:color w:val="auto"/>
              </w:rPr>
            </w:pPr>
          </w:p>
        </w:tc>
        <w:tc>
          <w:tcPr>
            <w:tcW w:w="5440" w:type="dxa"/>
            <w:vAlign w:val="bottom"/>
            <w:gridSpan w:val="6"/>
          </w:tcPr>
          <w:p>
            <w:pPr>
              <w:ind w:left="460"/>
              <w:spacing w:after="0"/>
              <w:rPr>
                <w:sz w:val="20"/>
                <w:szCs w:val="20"/>
                <w:color w:val="auto"/>
              </w:rPr>
            </w:pPr>
            <w:r>
              <w:rPr>
                <w:rFonts w:ascii="Arial" w:cs="Arial" w:eastAsia="Arial" w:hAnsi="Arial"/>
                <w:sz w:val="16"/>
                <w:szCs w:val="16"/>
                <w:color w:val="auto"/>
              </w:rPr>
              <w:t>Committee's determination and certification will be forfeited.</w:t>
            </w:r>
          </w:p>
        </w:tc>
      </w:tr>
      <w:tr>
        <w:trPr>
          <w:trHeight w:val="243"/>
        </w:trPr>
        <w:tc>
          <w:tcPr>
            <w:tcW w:w="1720" w:type="dxa"/>
            <w:vAlign w:val="bottom"/>
          </w:tcPr>
          <w:p>
            <w:pPr>
              <w:spacing w:after="0"/>
              <w:rPr>
                <w:sz w:val="21"/>
                <w:szCs w:val="21"/>
                <w:color w:val="auto"/>
              </w:rPr>
            </w:pPr>
          </w:p>
        </w:tc>
        <w:tc>
          <w:tcPr>
            <w:tcW w:w="5440" w:type="dxa"/>
            <w:vAlign w:val="bottom"/>
            <w:gridSpan w:val="6"/>
          </w:tcPr>
          <w:p>
            <w:pPr>
              <w:ind w:left="460"/>
              <w:spacing w:after="0"/>
              <w:rPr>
                <w:sz w:val="20"/>
                <w:szCs w:val="20"/>
                <w:color w:val="auto"/>
              </w:rPr>
            </w:pPr>
            <w:r>
              <w:rPr>
                <w:rFonts w:ascii="Arial" w:cs="Arial" w:eastAsia="Arial" w:hAnsi="Arial"/>
                <w:sz w:val="16"/>
                <w:szCs w:val="16"/>
                <w:color w:val="auto"/>
                <w:w w:val="91"/>
              </w:rPr>
              <w:t>Your restricted stock units (and dividend equivalents) also may be forfeited if</w:t>
            </w:r>
          </w:p>
        </w:tc>
      </w:tr>
      <w:tr>
        <w:trPr>
          <w:trHeight w:val="201"/>
        </w:trPr>
        <w:tc>
          <w:tcPr>
            <w:tcW w:w="1720" w:type="dxa"/>
            <w:vAlign w:val="bottom"/>
          </w:tcPr>
          <w:p>
            <w:pPr>
              <w:spacing w:after="0"/>
              <w:rPr>
                <w:sz w:val="17"/>
                <w:szCs w:val="17"/>
                <w:color w:val="auto"/>
              </w:rPr>
            </w:pPr>
          </w:p>
        </w:tc>
        <w:tc>
          <w:tcPr>
            <w:tcW w:w="3420" w:type="dxa"/>
            <w:vAlign w:val="bottom"/>
            <w:gridSpan w:val="4"/>
          </w:tcPr>
          <w:p>
            <w:pPr>
              <w:ind w:left="460"/>
              <w:spacing w:after="0"/>
              <w:rPr>
                <w:sz w:val="20"/>
                <w:szCs w:val="20"/>
                <w:color w:val="auto"/>
              </w:rPr>
            </w:pPr>
            <w:r>
              <w:rPr>
                <w:rFonts w:ascii="Arial" w:cs="Arial" w:eastAsia="Arial" w:hAnsi="Arial"/>
                <w:sz w:val="16"/>
                <w:szCs w:val="16"/>
                <w:color w:val="auto"/>
                <w:w w:val="90"/>
              </w:rPr>
              <w:t>your employment terminates before they vest.</w:t>
            </w: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4"/>
        </w:trPr>
        <w:tc>
          <w:tcPr>
            <w:tcW w:w="1720" w:type="dxa"/>
            <w:vAlign w:val="bottom"/>
          </w:tcPr>
          <w:p>
            <w:pPr>
              <w:spacing w:after="0"/>
              <w:rPr>
                <w:sz w:val="22"/>
                <w:szCs w:val="22"/>
                <w:color w:val="auto"/>
              </w:rPr>
            </w:pPr>
          </w:p>
        </w:tc>
        <w:tc>
          <w:tcPr>
            <w:tcW w:w="5440" w:type="dxa"/>
            <w:vAlign w:val="bottom"/>
            <w:gridSpan w:val="6"/>
          </w:tcPr>
          <w:p>
            <w:pPr>
              <w:ind w:left="460"/>
              <w:spacing w:after="0"/>
              <w:rPr>
                <w:sz w:val="20"/>
                <w:szCs w:val="20"/>
                <w:color w:val="auto"/>
              </w:rPr>
            </w:pPr>
            <w:r>
              <w:rPr>
                <w:rFonts w:ascii="Arial" w:cs="Arial" w:eastAsia="Arial" w:hAnsi="Arial"/>
                <w:sz w:val="16"/>
                <w:szCs w:val="16"/>
                <w:color w:val="auto"/>
              </w:rPr>
              <w:t>See “Vesting/Forfeiture,” “Transfer Restrictions,” and “Termination of</w:t>
            </w:r>
          </w:p>
        </w:tc>
      </w:tr>
      <w:tr>
        <w:trPr>
          <w:trHeight w:val="201"/>
        </w:trPr>
        <w:tc>
          <w:tcPr>
            <w:tcW w:w="1720" w:type="dxa"/>
            <w:vAlign w:val="bottom"/>
          </w:tcPr>
          <w:p>
            <w:pPr>
              <w:spacing w:after="0"/>
              <w:rPr>
                <w:sz w:val="17"/>
                <w:szCs w:val="17"/>
                <w:color w:val="auto"/>
              </w:rPr>
            </w:pPr>
          </w:p>
        </w:tc>
        <w:tc>
          <w:tcPr>
            <w:tcW w:w="3420" w:type="dxa"/>
            <w:vAlign w:val="bottom"/>
            <w:gridSpan w:val="4"/>
          </w:tcPr>
          <w:p>
            <w:pPr>
              <w:ind w:left="460"/>
              <w:spacing w:after="0"/>
              <w:rPr>
                <w:sz w:val="20"/>
                <w:szCs w:val="20"/>
                <w:color w:val="auto"/>
              </w:rPr>
            </w:pPr>
            <w:r>
              <w:rPr>
                <w:rFonts w:ascii="Arial" w:cs="Arial" w:eastAsia="Arial" w:hAnsi="Arial"/>
                <w:sz w:val="16"/>
                <w:szCs w:val="16"/>
                <w:color w:val="auto"/>
              </w:rPr>
              <w:t>Employment” below.</w:t>
            </w: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357"/>
        </w:trPr>
        <w:tc>
          <w:tcPr>
            <w:tcW w:w="1720" w:type="dxa"/>
            <w:vAlign w:val="bottom"/>
          </w:tcPr>
          <w:p>
            <w:pPr>
              <w:spacing w:after="0"/>
              <w:rPr>
                <w:sz w:val="20"/>
                <w:szCs w:val="20"/>
                <w:color w:val="auto"/>
              </w:rPr>
            </w:pPr>
            <w:r>
              <w:rPr>
                <w:rFonts w:ascii="Arial" w:cs="Arial" w:eastAsia="Arial" w:hAnsi="Arial"/>
                <w:sz w:val="16"/>
                <w:szCs w:val="16"/>
                <w:b w:val="1"/>
                <w:bCs w:val="1"/>
                <w:color w:val="auto"/>
              </w:rPr>
              <w:t>Vesting/Forfeiture:</w:t>
            </w:r>
          </w:p>
        </w:tc>
        <w:tc>
          <w:tcPr>
            <w:tcW w:w="5440" w:type="dxa"/>
            <w:vAlign w:val="bottom"/>
            <w:gridSpan w:val="6"/>
          </w:tcPr>
          <w:p>
            <w:pPr>
              <w:ind w:left="460"/>
              <w:spacing w:after="0"/>
              <w:rPr>
                <w:sz w:val="20"/>
                <w:szCs w:val="20"/>
                <w:color w:val="auto"/>
              </w:rPr>
            </w:pPr>
            <w:r>
              <w:rPr>
                <w:rFonts w:ascii="Arial" w:cs="Arial" w:eastAsia="Arial" w:hAnsi="Arial"/>
                <w:sz w:val="16"/>
                <w:szCs w:val="16"/>
                <w:color w:val="auto"/>
                <w:w w:val="90"/>
              </w:rPr>
              <w:t>Your restricted stock units (and dividend equivalents, as described below) will</w:t>
            </w:r>
          </w:p>
        </w:tc>
      </w:tr>
      <w:tr>
        <w:trPr>
          <w:trHeight w:val="186"/>
        </w:trPr>
        <w:tc>
          <w:tcPr>
            <w:tcW w:w="1720" w:type="dxa"/>
            <w:vAlign w:val="bottom"/>
          </w:tcPr>
          <w:p>
            <w:pPr>
              <w:spacing w:after="0"/>
              <w:rPr>
                <w:sz w:val="16"/>
                <w:szCs w:val="16"/>
                <w:color w:val="auto"/>
              </w:rPr>
            </w:pPr>
          </w:p>
        </w:tc>
        <w:tc>
          <w:tcPr>
            <w:tcW w:w="5440" w:type="dxa"/>
            <w:vAlign w:val="bottom"/>
            <w:gridSpan w:val="6"/>
          </w:tcPr>
          <w:p>
            <w:pPr>
              <w:ind w:left="460"/>
              <w:spacing w:after="0"/>
              <w:rPr>
                <w:sz w:val="20"/>
                <w:szCs w:val="20"/>
                <w:color w:val="auto"/>
              </w:rPr>
            </w:pPr>
            <w:r>
              <w:rPr>
                <w:rFonts w:ascii="Arial" w:cs="Arial" w:eastAsia="Arial" w:hAnsi="Arial"/>
                <w:sz w:val="16"/>
                <w:szCs w:val="16"/>
                <w:color w:val="auto"/>
                <w:w w:val="94"/>
              </w:rPr>
              <w:t>vest only upon and only to the extent that the Compensation Committee of</w:t>
            </w:r>
          </w:p>
        </w:tc>
      </w:tr>
      <w:tr>
        <w:trPr>
          <w:trHeight w:val="186"/>
        </w:trPr>
        <w:tc>
          <w:tcPr>
            <w:tcW w:w="1720" w:type="dxa"/>
            <w:vAlign w:val="bottom"/>
          </w:tcPr>
          <w:p>
            <w:pPr>
              <w:spacing w:after="0"/>
              <w:rPr>
                <w:sz w:val="16"/>
                <w:szCs w:val="16"/>
                <w:color w:val="auto"/>
              </w:rPr>
            </w:pPr>
          </w:p>
        </w:tc>
        <w:tc>
          <w:tcPr>
            <w:tcW w:w="5440" w:type="dxa"/>
            <w:vAlign w:val="bottom"/>
            <w:gridSpan w:val="6"/>
          </w:tcPr>
          <w:p>
            <w:pPr>
              <w:ind w:left="460"/>
              <w:spacing w:after="0"/>
              <w:rPr>
                <w:sz w:val="20"/>
                <w:szCs w:val="20"/>
                <w:color w:val="auto"/>
              </w:rPr>
            </w:pPr>
            <w:r>
              <w:rPr>
                <w:rFonts w:ascii="Arial" w:cs="Arial" w:eastAsia="Arial" w:hAnsi="Arial"/>
                <w:sz w:val="16"/>
                <w:szCs w:val="16"/>
                <w:color w:val="auto"/>
                <w:w w:val="95"/>
              </w:rPr>
              <w:t>Sempra Energy's Board of Directors determines and certifies that Sempra</w:t>
            </w:r>
          </w:p>
        </w:tc>
      </w:tr>
      <w:tr>
        <w:trPr>
          <w:trHeight w:val="186"/>
        </w:trPr>
        <w:tc>
          <w:tcPr>
            <w:tcW w:w="1720" w:type="dxa"/>
            <w:vAlign w:val="bottom"/>
          </w:tcPr>
          <w:p>
            <w:pPr>
              <w:spacing w:after="0"/>
              <w:rPr>
                <w:sz w:val="16"/>
                <w:szCs w:val="16"/>
                <w:color w:val="auto"/>
              </w:rPr>
            </w:pPr>
          </w:p>
        </w:tc>
        <w:tc>
          <w:tcPr>
            <w:tcW w:w="5440" w:type="dxa"/>
            <w:vAlign w:val="bottom"/>
            <w:gridSpan w:val="6"/>
          </w:tcPr>
          <w:p>
            <w:pPr>
              <w:ind w:left="460"/>
              <w:spacing w:after="0"/>
              <w:rPr>
                <w:sz w:val="20"/>
                <w:szCs w:val="20"/>
                <w:color w:val="auto"/>
              </w:rPr>
            </w:pPr>
            <w:r>
              <w:rPr>
                <w:rFonts w:ascii="Arial" w:cs="Arial" w:eastAsia="Arial" w:hAnsi="Arial"/>
                <w:sz w:val="16"/>
                <w:szCs w:val="16"/>
                <w:color w:val="auto"/>
                <w:w w:val="90"/>
              </w:rPr>
              <w:t>Energy has met the following total shareholder return performance criteria for</w:t>
            </w:r>
          </w:p>
        </w:tc>
      </w:tr>
      <w:tr>
        <w:trPr>
          <w:trHeight w:val="186"/>
        </w:trPr>
        <w:tc>
          <w:tcPr>
            <w:tcW w:w="1720" w:type="dxa"/>
            <w:vAlign w:val="bottom"/>
          </w:tcPr>
          <w:p>
            <w:pPr>
              <w:spacing w:after="0"/>
              <w:rPr>
                <w:sz w:val="16"/>
                <w:szCs w:val="16"/>
                <w:color w:val="auto"/>
              </w:rPr>
            </w:pPr>
          </w:p>
        </w:tc>
        <w:tc>
          <w:tcPr>
            <w:tcW w:w="5440" w:type="dxa"/>
            <w:vAlign w:val="bottom"/>
            <w:gridSpan w:val="6"/>
          </w:tcPr>
          <w:p>
            <w:pPr>
              <w:ind w:left="460"/>
              <w:spacing w:after="0"/>
              <w:rPr>
                <w:sz w:val="20"/>
                <w:szCs w:val="20"/>
                <w:color w:val="auto"/>
              </w:rPr>
            </w:pPr>
            <w:r>
              <w:rPr>
                <w:rFonts w:ascii="Arial" w:cs="Arial" w:eastAsia="Arial" w:hAnsi="Arial"/>
                <w:sz w:val="16"/>
                <w:szCs w:val="16"/>
                <w:color w:val="auto"/>
                <w:w w:val="89"/>
              </w:rPr>
              <w:t>the performance period beginning on January 1, 2011 and ending on the close</w:t>
            </w:r>
          </w:p>
        </w:tc>
      </w:tr>
      <w:tr>
        <w:trPr>
          <w:trHeight w:val="201"/>
        </w:trPr>
        <w:tc>
          <w:tcPr>
            <w:tcW w:w="1720" w:type="dxa"/>
            <w:vAlign w:val="bottom"/>
          </w:tcPr>
          <w:p>
            <w:pPr>
              <w:spacing w:after="0"/>
              <w:rPr>
                <w:sz w:val="17"/>
                <w:szCs w:val="17"/>
                <w:color w:val="auto"/>
              </w:rPr>
            </w:pPr>
          </w:p>
        </w:tc>
        <w:tc>
          <w:tcPr>
            <w:tcW w:w="5440" w:type="dxa"/>
            <w:vAlign w:val="bottom"/>
            <w:gridSpan w:val="6"/>
          </w:tcPr>
          <w:p>
            <w:pPr>
              <w:ind w:left="460"/>
              <w:spacing w:after="0"/>
              <w:rPr>
                <w:sz w:val="20"/>
                <w:szCs w:val="20"/>
                <w:color w:val="auto"/>
              </w:rPr>
            </w:pPr>
            <w:r>
              <w:rPr>
                <w:rFonts w:ascii="Arial" w:cs="Arial" w:eastAsia="Arial" w:hAnsi="Arial"/>
                <w:sz w:val="16"/>
                <w:szCs w:val="16"/>
                <w:color w:val="auto"/>
              </w:rPr>
              <w:t>of trading on the first New York Stock Exchange trading day of 2015:</w:t>
            </w:r>
          </w:p>
        </w:tc>
      </w:tr>
      <w:tr>
        <w:trPr>
          <w:trHeight w:val="336"/>
        </w:trPr>
        <w:tc>
          <w:tcPr>
            <w:tcW w:w="1720" w:type="dxa"/>
            <w:vAlign w:val="bottom"/>
          </w:tcPr>
          <w:p>
            <w:pPr>
              <w:spacing w:after="0"/>
              <w:rPr>
                <w:sz w:val="24"/>
                <w:szCs w:val="24"/>
                <w:color w:val="auto"/>
              </w:rPr>
            </w:pPr>
          </w:p>
        </w:tc>
        <w:tc>
          <w:tcPr>
            <w:tcW w:w="5440" w:type="dxa"/>
            <w:vAlign w:val="bottom"/>
            <w:gridSpan w:val="6"/>
          </w:tcPr>
          <w:p>
            <w:pPr>
              <w:ind w:left="500"/>
              <w:spacing w:after="0"/>
              <w:rPr>
                <w:sz w:val="20"/>
                <w:szCs w:val="20"/>
                <w:color w:val="auto"/>
              </w:rPr>
            </w:pPr>
            <w:r>
              <w:rPr>
                <w:rFonts w:ascii="Arial" w:cs="Arial" w:eastAsia="Arial" w:hAnsi="Arial"/>
                <w:sz w:val="16"/>
                <w:szCs w:val="16"/>
                <w:color w:val="auto"/>
                <w:w w:val="93"/>
              </w:rPr>
              <w:t>§   The percentage of your target number of restricted stock units that vest</w:t>
            </w:r>
          </w:p>
        </w:tc>
      </w:tr>
      <w:tr>
        <w:trPr>
          <w:trHeight w:val="186"/>
        </w:trPr>
        <w:tc>
          <w:tcPr>
            <w:tcW w:w="1720" w:type="dxa"/>
            <w:vAlign w:val="bottom"/>
          </w:tcPr>
          <w:p>
            <w:pPr>
              <w:spacing w:after="0"/>
              <w:rPr>
                <w:sz w:val="16"/>
                <w:szCs w:val="16"/>
                <w:color w:val="auto"/>
              </w:rPr>
            </w:pPr>
          </w:p>
        </w:tc>
        <w:tc>
          <w:tcPr>
            <w:tcW w:w="5440" w:type="dxa"/>
            <w:vAlign w:val="bottom"/>
            <w:gridSpan w:val="6"/>
          </w:tcPr>
          <w:p>
            <w:pPr>
              <w:ind w:left="760"/>
              <w:spacing w:after="0"/>
              <w:rPr>
                <w:sz w:val="20"/>
                <w:szCs w:val="20"/>
                <w:color w:val="auto"/>
              </w:rPr>
            </w:pPr>
            <w:r>
              <w:rPr>
                <w:rFonts w:ascii="Arial" w:cs="Arial" w:eastAsia="Arial" w:hAnsi="Arial"/>
                <w:sz w:val="16"/>
                <w:szCs w:val="16"/>
                <w:color w:val="auto"/>
                <w:w w:val="95"/>
              </w:rPr>
              <w:t>will be determined as follows, based on the percentile ranking for the</w:t>
            </w:r>
          </w:p>
        </w:tc>
      </w:tr>
      <w:tr>
        <w:trPr>
          <w:trHeight w:val="186"/>
        </w:trPr>
        <w:tc>
          <w:tcPr>
            <w:tcW w:w="1720" w:type="dxa"/>
            <w:vAlign w:val="bottom"/>
          </w:tcPr>
          <w:p>
            <w:pPr>
              <w:spacing w:after="0"/>
              <w:rPr>
                <w:sz w:val="16"/>
                <w:szCs w:val="16"/>
                <w:color w:val="auto"/>
              </w:rPr>
            </w:pPr>
          </w:p>
        </w:tc>
        <w:tc>
          <w:tcPr>
            <w:tcW w:w="5440" w:type="dxa"/>
            <w:vAlign w:val="bottom"/>
            <w:gridSpan w:val="6"/>
          </w:tcPr>
          <w:p>
            <w:pPr>
              <w:ind w:left="760"/>
              <w:spacing w:after="0"/>
              <w:rPr>
                <w:sz w:val="20"/>
                <w:szCs w:val="20"/>
                <w:color w:val="auto"/>
              </w:rPr>
            </w:pPr>
            <w:r>
              <w:rPr>
                <w:rFonts w:ascii="Arial" w:cs="Arial" w:eastAsia="Arial" w:hAnsi="Arial"/>
                <w:sz w:val="16"/>
                <w:szCs w:val="16"/>
                <w:color w:val="auto"/>
                <w:w w:val="91"/>
              </w:rPr>
              <w:t>performance period (as measured at the end of the performance period)</w:t>
            </w:r>
          </w:p>
        </w:tc>
      </w:tr>
      <w:tr>
        <w:trPr>
          <w:trHeight w:val="186"/>
        </w:trPr>
        <w:tc>
          <w:tcPr>
            <w:tcW w:w="1720" w:type="dxa"/>
            <w:vAlign w:val="bottom"/>
          </w:tcPr>
          <w:p>
            <w:pPr>
              <w:spacing w:after="0"/>
              <w:rPr>
                <w:sz w:val="16"/>
                <w:szCs w:val="16"/>
                <w:color w:val="auto"/>
              </w:rPr>
            </w:pPr>
          </w:p>
        </w:tc>
        <w:tc>
          <w:tcPr>
            <w:tcW w:w="5440" w:type="dxa"/>
            <w:vAlign w:val="bottom"/>
            <w:gridSpan w:val="6"/>
          </w:tcPr>
          <w:p>
            <w:pPr>
              <w:ind w:left="760"/>
              <w:spacing w:after="0"/>
              <w:rPr>
                <w:sz w:val="20"/>
                <w:szCs w:val="20"/>
                <w:color w:val="auto"/>
              </w:rPr>
            </w:pPr>
            <w:r>
              <w:rPr>
                <w:rFonts w:ascii="Arial" w:cs="Arial" w:eastAsia="Arial" w:hAnsi="Arial"/>
                <w:sz w:val="16"/>
                <w:szCs w:val="16"/>
                <w:color w:val="auto"/>
                <w:w w:val="90"/>
              </w:rPr>
              <w:t>of Sempra Energy’s cumulative total shareholder return (consisting of per</w:t>
            </w:r>
          </w:p>
        </w:tc>
      </w:tr>
      <w:tr>
        <w:trPr>
          <w:trHeight w:val="186"/>
        </w:trPr>
        <w:tc>
          <w:tcPr>
            <w:tcW w:w="1720" w:type="dxa"/>
            <w:vAlign w:val="bottom"/>
          </w:tcPr>
          <w:p>
            <w:pPr>
              <w:spacing w:after="0"/>
              <w:rPr>
                <w:sz w:val="16"/>
                <w:szCs w:val="16"/>
                <w:color w:val="auto"/>
              </w:rPr>
            </w:pPr>
          </w:p>
        </w:tc>
        <w:tc>
          <w:tcPr>
            <w:tcW w:w="5440" w:type="dxa"/>
            <w:vAlign w:val="bottom"/>
            <w:gridSpan w:val="6"/>
          </w:tcPr>
          <w:p>
            <w:pPr>
              <w:ind w:left="760"/>
              <w:spacing w:after="0"/>
              <w:rPr>
                <w:sz w:val="20"/>
                <w:szCs w:val="20"/>
                <w:color w:val="auto"/>
              </w:rPr>
            </w:pPr>
            <w:r>
              <w:rPr>
                <w:rFonts w:ascii="Arial" w:cs="Arial" w:eastAsia="Arial" w:hAnsi="Arial"/>
                <w:sz w:val="16"/>
                <w:szCs w:val="16"/>
                <w:color w:val="auto"/>
              </w:rPr>
              <w:t>share appreciation in Common Stock plus dividends and other</w:t>
            </w:r>
          </w:p>
        </w:tc>
      </w:tr>
      <w:tr>
        <w:trPr>
          <w:trHeight w:val="186"/>
        </w:trPr>
        <w:tc>
          <w:tcPr>
            <w:tcW w:w="1720" w:type="dxa"/>
            <w:vAlign w:val="bottom"/>
          </w:tcPr>
          <w:p>
            <w:pPr>
              <w:spacing w:after="0"/>
              <w:rPr>
                <w:sz w:val="16"/>
                <w:szCs w:val="16"/>
                <w:color w:val="auto"/>
              </w:rPr>
            </w:pPr>
          </w:p>
        </w:tc>
        <w:tc>
          <w:tcPr>
            <w:tcW w:w="5440" w:type="dxa"/>
            <w:vAlign w:val="bottom"/>
            <w:gridSpan w:val="6"/>
          </w:tcPr>
          <w:p>
            <w:pPr>
              <w:ind w:left="760"/>
              <w:spacing w:after="0"/>
              <w:rPr>
                <w:sz w:val="20"/>
                <w:szCs w:val="20"/>
                <w:color w:val="auto"/>
              </w:rPr>
            </w:pPr>
            <w:r>
              <w:rPr>
                <w:rFonts w:ascii="Arial" w:cs="Arial" w:eastAsia="Arial" w:hAnsi="Arial"/>
                <w:sz w:val="16"/>
                <w:szCs w:val="16"/>
                <w:color w:val="auto"/>
                <w:w w:val="92"/>
              </w:rPr>
              <w:t>distributions paid on Common Stock) among the companies (ranked by</w:t>
            </w:r>
          </w:p>
        </w:tc>
      </w:tr>
      <w:tr>
        <w:trPr>
          <w:trHeight w:val="186"/>
        </w:trPr>
        <w:tc>
          <w:tcPr>
            <w:tcW w:w="1720" w:type="dxa"/>
            <w:vAlign w:val="bottom"/>
          </w:tcPr>
          <w:p>
            <w:pPr>
              <w:spacing w:after="0"/>
              <w:rPr>
                <w:sz w:val="16"/>
                <w:szCs w:val="16"/>
                <w:color w:val="auto"/>
              </w:rPr>
            </w:pPr>
          </w:p>
        </w:tc>
        <w:tc>
          <w:tcPr>
            <w:tcW w:w="5440" w:type="dxa"/>
            <w:vAlign w:val="bottom"/>
            <w:gridSpan w:val="6"/>
          </w:tcPr>
          <w:p>
            <w:pPr>
              <w:ind w:left="760"/>
              <w:spacing w:after="0"/>
              <w:rPr>
                <w:sz w:val="20"/>
                <w:szCs w:val="20"/>
                <w:color w:val="auto"/>
              </w:rPr>
            </w:pPr>
            <w:r>
              <w:rPr>
                <w:rFonts w:ascii="Arial" w:cs="Arial" w:eastAsia="Arial" w:hAnsi="Arial"/>
                <w:sz w:val="16"/>
                <w:szCs w:val="16"/>
                <w:color w:val="auto"/>
                <w:w w:val="96"/>
              </w:rPr>
              <w:t>cumulative total shareholder returns) in the S&amp;P 500 Utility Index, as</w:t>
            </w:r>
          </w:p>
        </w:tc>
      </w:tr>
      <w:tr>
        <w:trPr>
          <w:trHeight w:val="201"/>
        </w:trPr>
        <w:tc>
          <w:tcPr>
            <w:tcW w:w="1720" w:type="dxa"/>
            <w:vAlign w:val="bottom"/>
          </w:tcPr>
          <w:p>
            <w:pPr>
              <w:spacing w:after="0"/>
              <w:rPr>
                <w:sz w:val="17"/>
                <w:szCs w:val="17"/>
                <w:color w:val="auto"/>
              </w:rPr>
            </w:pPr>
          </w:p>
        </w:tc>
        <w:tc>
          <w:tcPr>
            <w:tcW w:w="5440" w:type="dxa"/>
            <w:vAlign w:val="bottom"/>
            <w:gridSpan w:val="6"/>
          </w:tcPr>
          <w:p>
            <w:pPr>
              <w:ind w:left="760"/>
              <w:spacing w:after="0"/>
              <w:rPr>
                <w:sz w:val="20"/>
                <w:szCs w:val="20"/>
                <w:color w:val="auto"/>
              </w:rPr>
            </w:pPr>
            <w:r>
              <w:rPr>
                <w:rFonts w:ascii="Arial" w:cs="Arial" w:eastAsia="Arial" w:hAnsi="Arial"/>
                <w:sz w:val="16"/>
                <w:szCs w:val="16"/>
                <w:color w:val="auto"/>
              </w:rPr>
              <w:t>determined and certified by the Compensation Committee.</w:t>
            </w:r>
          </w:p>
        </w:tc>
      </w:tr>
      <w:tr>
        <w:trPr>
          <w:trHeight w:val="667"/>
        </w:trPr>
        <w:tc>
          <w:tcPr>
            <w:tcW w:w="1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80" w:type="dxa"/>
            <w:vAlign w:val="bottom"/>
            <w:gridSpan w:val="3"/>
          </w:tcPr>
          <w:p>
            <w:pPr>
              <w:ind w:left="100"/>
              <w:spacing w:after="0"/>
              <w:rPr>
                <w:sz w:val="20"/>
                <w:szCs w:val="20"/>
                <w:color w:val="auto"/>
              </w:rPr>
            </w:pPr>
            <w:r>
              <w:rPr>
                <w:rFonts w:ascii="Arial" w:cs="Arial" w:eastAsia="Arial" w:hAnsi="Arial"/>
                <w:sz w:val="16"/>
                <w:szCs w:val="16"/>
                <w:color w:val="auto"/>
                <w:w w:val="88"/>
              </w:rPr>
              <w:t>Sempra Energy Total Shareholder</w:t>
            </w:r>
          </w:p>
        </w:tc>
        <w:tc>
          <w:tcPr>
            <w:tcW w:w="2020" w:type="dxa"/>
            <w:vAlign w:val="bottom"/>
            <w:gridSpan w:val="2"/>
          </w:tcPr>
          <w:p>
            <w:pPr>
              <w:ind w:left="500"/>
              <w:spacing w:after="0"/>
              <w:rPr>
                <w:sz w:val="20"/>
                <w:szCs w:val="20"/>
                <w:color w:val="auto"/>
              </w:rPr>
            </w:pPr>
            <w:r>
              <w:rPr>
                <w:rFonts w:ascii="Arial" w:cs="Arial" w:eastAsia="Arial" w:hAnsi="Arial"/>
                <w:sz w:val="16"/>
                <w:szCs w:val="16"/>
                <w:color w:val="auto"/>
                <w:w w:val="99"/>
              </w:rPr>
              <w:t>Percentage of Target</w:t>
            </w:r>
          </w:p>
        </w:tc>
      </w:tr>
      <w:tr>
        <w:trPr>
          <w:trHeight w:val="186"/>
        </w:trPr>
        <w:tc>
          <w:tcPr>
            <w:tcW w:w="1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80" w:type="dxa"/>
            <w:vAlign w:val="bottom"/>
            <w:gridSpan w:val="3"/>
          </w:tcPr>
          <w:p>
            <w:pPr>
              <w:ind w:left="100"/>
              <w:spacing w:after="0"/>
              <w:rPr>
                <w:sz w:val="20"/>
                <w:szCs w:val="20"/>
                <w:color w:val="auto"/>
              </w:rPr>
            </w:pPr>
            <w:r>
              <w:rPr>
                <w:rFonts w:ascii="Arial" w:cs="Arial" w:eastAsia="Arial" w:hAnsi="Arial"/>
                <w:sz w:val="16"/>
                <w:szCs w:val="16"/>
                <w:color w:val="auto"/>
              </w:rPr>
              <w:t>Return Percentile</w:t>
            </w:r>
          </w:p>
        </w:tc>
        <w:tc>
          <w:tcPr>
            <w:tcW w:w="2020" w:type="dxa"/>
            <w:vAlign w:val="bottom"/>
            <w:gridSpan w:val="2"/>
          </w:tcPr>
          <w:p>
            <w:pPr>
              <w:spacing w:after="0"/>
              <w:rPr>
                <w:sz w:val="20"/>
                <w:szCs w:val="20"/>
                <w:color w:val="auto"/>
              </w:rPr>
            </w:pPr>
            <w:r>
              <w:rPr>
                <w:rFonts w:ascii="Arial" w:cs="Arial" w:eastAsia="Arial" w:hAnsi="Arial"/>
                <w:sz w:val="16"/>
                <w:szCs w:val="16"/>
                <w:color w:val="auto"/>
              </w:rPr>
              <w:t>Number of Restricted</w:t>
            </w:r>
          </w:p>
        </w:tc>
      </w:tr>
      <w:tr>
        <w:trPr>
          <w:trHeight w:val="166"/>
        </w:trPr>
        <w:tc>
          <w:tcPr>
            <w:tcW w:w="1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ind w:left="280"/>
              <w:spacing w:after="0" w:line="165" w:lineRule="exact"/>
              <w:rPr>
                <w:sz w:val="20"/>
                <w:szCs w:val="20"/>
                <w:color w:val="auto"/>
              </w:rPr>
            </w:pPr>
            <w:r>
              <w:rPr>
                <w:rFonts w:ascii="Arial" w:cs="Arial" w:eastAsia="Arial" w:hAnsi="Arial"/>
                <w:sz w:val="16"/>
                <w:szCs w:val="16"/>
                <w:color w:val="auto"/>
              </w:rPr>
              <w:t>Ranking</w:t>
            </w:r>
          </w:p>
        </w:tc>
        <w:tc>
          <w:tcPr>
            <w:tcW w:w="2020" w:type="dxa"/>
            <w:vAlign w:val="bottom"/>
            <w:gridSpan w:val="2"/>
          </w:tcPr>
          <w:p>
            <w:pPr>
              <w:spacing w:after="0" w:line="165" w:lineRule="exact"/>
              <w:rPr>
                <w:sz w:val="20"/>
                <w:szCs w:val="20"/>
                <w:color w:val="auto"/>
              </w:rPr>
            </w:pPr>
            <w:r>
              <w:rPr>
                <w:rFonts w:ascii="Arial" w:cs="Arial" w:eastAsia="Arial" w:hAnsi="Arial"/>
                <w:sz w:val="16"/>
                <w:szCs w:val="16"/>
                <w:color w:val="auto"/>
              </w:rPr>
              <w:t>Stock Units that Vest</w:t>
            </w:r>
          </w:p>
        </w:tc>
      </w:tr>
      <w:tr>
        <w:trPr>
          <w:trHeight w:val="419"/>
        </w:trPr>
        <w:tc>
          <w:tcPr>
            <w:tcW w:w="1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ind w:left="380"/>
              <w:spacing w:after="0"/>
              <w:rPr>
                <w:sz w:val="20"/>
                <w:szCs w:val="20"/>
                <w:color w:val="auto"/>
              </w:rPr>
            </w:pPr>
            <w:r>
              <w:rPr>
                <w:rFonts w:ascii="Arial" w:cs="Arial" w:eastAsia="Arial" w:hAnsi="Arial"/>
                <w:sz w:val="31"/>
                <w:szCs w:val="31"/>
                <w:color w:val="auto"/>
                <w:vertAlign w:val="subscript"/>
              </w:rPr>
              <w:t>75</w:t>
            </w:r>
            <w:r>
              <w:rPr>
                <w:rFonts w:ascii="Arial" w:cs="Arial" w:eastAsia="Arial" w:hAnsi="Arial"/>
                <w:sz w:val="13"/>
                <w:szCs w:val="13"/>
                <w:color w:val="auto"/>
              </w:rPr>
              <w:t>th</w:t>
            </w:r>
          </w:p>
        </w:tc>
        <w:tc>
          <w:tcPr>
            <w:tcW w:w="1360" w:type="dxa"/>
            <w:vAlign w:val="bottom"/>
          </w:tcPr>
          <w:p>
            <w:pPr>
              <w:spacing w:after="0"/>
              <w:rPr>
                <w:sz w:val="24"/>
                <w:szCs w:val="24"/>
                <w:color w:val="auto"/>
              </w:rPr>
            </w:pPr>
          </w:p>
        </w:tc>
        <w:tc>
          <w:tcPr>
            <w:tcW w:w="1340" w:type="dxa"/>
            <w:vAlign w:val="bottom"/>
            <w:tcBorders>
              <w:top w:val="single" w:sz="8" w:color="auto"/>
            </w:tcBorders>
          </w:tcPr>
          <w:p>
            <w:pPr>
              <w:jc w:val="right"/>
              <w:ind w:right="521"/>
              <w:spacing w:after="0"/>
              <w:rPr>
                <w:sz w:val="20"/>
                <w:szCs w:val="20"/>
                <w:color w:val="auto"/>
              </w:rPr>
            </w:pPr>
            <w:r>
              <w:rPr>
                <w:rFonts w:ascii="Arial" w:cs="Arial" w:eastAsia="Arial" w:hAnsi="Arial"/>
                <w:sz w:val="16"/>
                <w:szCs w:val="16"/>
                <w:color w:val="auto"/>
              </w:rPr>
              <w:t>150%</w:t>
            </w:r>
          </w:p>
        </w:tc>
        <w:tc>
          <w:tcPr>
            <w:tcW w:w="680" w:type="dxa"/>
            <w:vAlign w:val="bottom"/>
          </w:tcPr>
          <w:p>
            <w:pPr>
              <w:spacing w:after="0"/>
              <w:rPr>
                <w:sz w:val="24"/>
                <w:szCs w:val="24"/>
                <w:color w:val="auto"/>
              </w:rPr>
            </w:pPr>
          </w:p>
        </w:tc>
      </w:tr>
      <w:tr>
        <w:trPr>
          <w:trHeight w:val="240"/>
        </w:trPr>
        <w:tc>
          <w:tcPr>
            <w:tcW w:w="1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2"/>
          </w:tcPr>
          <w:p>
            <w:pPr>
              <w:ind w:left="380"/>
              <w:spacing w:after="0" w:line="240" w:lineRule="exact"/>
              <w:rPr>
                <w:sz w:val="20"/>
                <w:szCs w:val="20"/>
                <w:color w:val="auto"/>
              </w:rPr>
            </w:pPr>
            <w:r>
              <w:rPr>
                <w:rFonts w:ascii="Arial" w:cs="Arial" w:eastAsia="Arial" w:hAnsi="Arial"/>
                <w:sz w:val="27"/>
                <w:szCs w:val="27"/>
                <w:color w:val="auto"/>
                <w:vertAlign w:val="subscript"/>
              </w:rPr>
              <w:t>70</w:t>
            </w:r>
            <w:r>
              <w:rPr>
                <w:rFonts w:ascii="Arial" w:cs="Arial" w:eastAsia="Arial" w:hAnsi="Arial"/>
                <w:sz w:val="12"/>
                <w:szCs w:val="12"/>
                <w:color w:val="auto"/>
              </w:rPr>
              <w:t>th</w:t>
            </w:r>
          </w:p>
        </w:tc>
        <w:tc>
          <w:tcPr>
            <w:tcW w:w="1340" w:type="dxa"/>
            <w:vAlign w:val="bottom"/>
          </w:tcPr>
          <w:p>
            <w:pPr>
              <w:jc w:val="right"/>
              <w:ind w:right="521"/>
              <w:spacing w:after="0"/>
              <w:rPr>
                <w:sz w:val="20"/>
                <w:szCs w:val="20"/>
                <w:color w:val="auto"/>
              </w:rPr>
            </w:pPr>
            <w:r>
              <w:rPr>
                <w:rFonts w:ascii="Arial" w:cs="Arial" w:eastAsia="Arial" w:hAnsi="Arial"/>
                <w:sz w:val="16"/>
                <w:szCs w:val="16"/>
                <w:color w:val="auto"/>
              </w:rPr>
              <w:t>140%</w:t>
            </w:r>
          </w:p>
        </w:tc>
        <w:tc>
          <w:tcPr>
            <w:tcW w:w="680" w:type="dxa"/>
            <w:vAlign w:val="bottom"/>
          </w:tcPr>
          <w:p>
            <w:pPr>
              <w:spacing w:after="0"/>
              <w:rPr>
                <w:sz w:val="20"/>
                <w:szCs w:val="20"/>
                <w:color w:val="auto"/>
              </w:rPr>
            </w:pPr>
          </w:p>
        </w:tc>
      </w:tr>
      <w:tr>
        <w:trPr>
          <w:trHeight w:val="238"/>
        </w:trPr>
        <w:tc>
          <w:tcPr>
            <w:tcW w:w="1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2"/>
          </w:tcPr>
          <w:p>
            <w:pPr>
              <w:ind w:left="380"/>
              <w:spacing w:after="0" w:line="237" w:lineRule="exact"/>
              <w:rPr>
                <w:sz w:val="20"/>
                <w:szCs w:val="20"/>
                <w:color w:val="auto"/>
              </w:rPr>
            </w:pPr>
            <w:r>
              <w:rPr>
                <w:rFonts w:ascii="Arial" w:cs="Arial" w:eastAsia="Arial" w:hAnsi="Arial"/>
                <w:sz w:val="16"/>
                <w:szCs w:val="16"/>
                <w:color w:val="auto"/>
              </w:rPr>
              <w:t>65</w:t>
            </w:r>
            <w:r>
              <w:rPr>
                <w:rFonts w:ascii="Arial" w:cs="Arial" w:eastAsia="Arial" w:hAnsi="Arial"/>
                <w:sz w:val="26"/>
                <w:szCs w:val="26"/>
                <w:color w:val="auto"/>
                <w:vertAlign w:val="superscript"/>
              </w:rPr>
              <w:t>th</w:t>
            </w:r>
          </w:p>
        </w:tc>
        <w:tc>
          <w:tcPr>
            <w:tcW w:w="1340" w:type="dxa"/>
            <w:vAlign w:val="bottom"/>
          </w:tcPr>
          <w:p>
            <w:pPr>
              <w:jc w:val="right"/>
              <w:ind w:right="521"/>
              <w:spacing w:after="0"/>
              <w:rPr>
                <w:sz w:val="20"/>
                <w:szCs w:val="20"/>
                <w:color w:val="auto"/>
              </w:rPr>
            </w:pPr>
            <w:r>
              <w:rPr>
                <w:rFonts w:ascii="Arial" w:cs="Arial" w:eastAsia="Arial" w:hAnsi="Arial"/>
                <w:sz w:val="16"/>
                <w:szCs w:val="16"/>
                <w:color w:val="auto"/>
              </w:rPr>
              <w:t>130%</w:t>
            </w:r>
          </w:p>
        </w:tc>
        <w:tc>
          <w:tcPr>
            <w:tcW w:w="680" w:type="dxa"/>
            <w:vAlign w:val="bottom"/>
          </w:tcPr>
          <w:p>
            <w:pPr>
              <w:spacing w:after="0"/>
              <w:rPr>
                <w:sz w:val="20"/>
                <w:szCs w:val="20"/>
                <w:color w:val="auto"/>
              </w:rPr>
            </w:pPr>
          </w:p>
        </w:tc>
      </w:tr>
      <w:tr>
        <w:trPr>
          <w:trHeight w:val="238"/>
        </w:trPr>
        <w:tc>
          <w:tcPr>
            <w:tcW w:w="1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2"/>
          </w:tcPr>
          <w:p>
            <w:pPr>
              <w:ind w:left="380"/>
              <w:spacing w:after="0" w:line="237" w:lineRule="exact"/>
              <w:rPr>
                <w:sz w:val="20"/>
                <w:szCs w:val="20"/>
                <w:color w:val="auto"/>
              </w:rPr>
            </w:pPr>
            <w:r>
              <w:rPr>
                <w:rFonts w:ascii="Arial" w:cs="Arial" w:eastAsia="Arial" w:hAnsi="Arial"/>
                <w:sz w:val="16"/>
                <w:szCs w:val="16"/>
                <w:color w:val="auto"/>
              </w:rPr>
              <w:t>60</w:t>
            </w:r>
            <w:r>
              <w:rPr>
                <w:rFonts w:ascii="Arial" w:cs="Arial" w:eastAsia="Arial" w:hAnsi="Arial"/>
                <w:sz w:val="26"/>
                <w:szCs w:val="26"/>
                <w:color w:val="auto"/>
                <w:vertAlign w:val="superscript"/>
              </w:rPr>
              <w:t>th</w:t>
            </w:r>
          </w:p>
        </w:tc>
        <w:tc>
          <w:tcPr>
            <w:tcW w:w="1340" w:type="dxa"/>
            <w:vAlign w:val="bottom"/>
          </w:tcPr>
          <w:p>
            <w:pPr>
              <w:jc w:val="right"/>
              <w:ind w:right="521"/>
              <w:spacing w:after="0"/>
              <w:rPr>
                <w:sz w:val="20"/>
                <w:szCs w:val="20"/>
                <w:color w:val="auto"/>
              </w:rPr>
            </w:pPr>
            <w:r>
              <w:rPr>
                <w:rFonts w:ascii="Arial" w:cs="Arial" w:eastAsia="Arial" w:hAnsi="Arial"/>
                <w:sz w:val="16"/>
                <w:szCs w:val="16"/>
                <w:color w:val="auto"/>
              </w:rPr>
              <w:t>120%</w:t>
            </w:r>
          </w:p>
        </w:tc>
        <w:tc>
          <w:tcPr>
            <w:tcW w:w="680" w:type="dxa"/>
            <w:vAlign w:val="bottom"/>
          </w:tcPr>
          <w:p>
            <w:pPr>
              <w:spacing w:after="0"/>
              <w:rPr>
                <w:sz w:val="20"/>
                <w:szCs w:val="20"/>
                <w:color w:val="auto"/>
              </w:rPr>
            </w:pPr>
          </w:p>
        </w:tc>
      </w:tr>
      <w:tr>
        <w:trPr>
          <w:trHeight w:val="238"/>
        </w:trPr>
        <w:tc>
          <w:tcPr>
            <w:tcW w:w="1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2"/>
          </w:tcPr>
          <w:p>
            <w:pPr>
              <w:ind w:left="380"/>
              <w:spacing w:after="0" w:line="237" w:lineRule="exact"/>
              <w:rPr>
                <w:sz w:val="20"/>
                <w:szCs w:val="20"/>
                <w:color w:val="auto"/>
              </w:rPr>
            </w:pPr>
            <w:r>
              <w:rPr>
                <w:rFonts w:ascii="Arial" w:cs="Arial" w:eastAsia="Arial" w:hAnsi="Arial"/>
                <w:sz w:val="27"/>
                <w:szCs w:val="27"/>
                <w:color w:val="auto"/>
                <w:vertAlign w:val="subscript"/>
              </w:rPr>
              <w:t>55</w:t>
            </w:r>
            <w:r>
              <w:rPr>
                <w:rFonts w:ascii="Arial" w:cs="Arial" w:eastAsia="Arial" w:hAnsi="Arial"/>
                <w:sz w:val="12"/>
                <w:szCs w:val="12"/>
                <w:color w:val="auto"/>
              </w:rPr>
              <w:t>th</w:t>
            </w:r>
          </w:p>
        </w:tc>
        <w:tc>
          <w:tcPr>
            <w:tcW w:w="1340" w:type="dxa"/>
            <w:vAlign w:val="bottom"/>
          </w:tcPr>
          <w:p>
            <w:pPr>
              <w:jc w:val="right"/>
              <w:ind w:right="521"/>
              <w:spacing w:after="0"/>
              <w:rPr>
                <w:sz w:val="20"/>
                <w:szCs w:val="20"/>
                <w:color w:val="auto"/>
              </w:rPr>
            </w:pPr>
            <w:r>
              <w:rPr>
                <w:rFonts w:ascii="Arial" w:cs="Arial" w:eastAsia="Arial" w:hAnsi="Arial"/>
                <w:sz w:val="16"/>
                <w:szCs w:val="16"/>
                <w:color w:val="auto"/>
              </w:rPr>
              <w:t>110%</w:t>
            </w:r>
          </w:p>
        </w:tc>
        <w:tc>
          <w:tcPr>
            <w:tcW w:w="680" w:type="dxa"/>
            <w:vAlign w:val="bottom"/>
          </w:tcPr>
          <w:p>
            <w:pPr>
              <w:spacing w:after="0"/>
              <w:rPr>
                <w:sz w:val="20"/>
                <w:szCs w:val="20"/>
                <w:color w:val="auto"/>
              </w:rPr>
            </w:pPr>
          </w:p>
        </w:tc>
      </w:tr>
      <w:tr>
        <w:trPr>
          <w:trHeight w:val="238"/>
        </w:trPr>
        <w:tc>
          <w:tcPr>
            <w:tcW w:w="1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2"/>
          </w:tcPr>
          <w:p>
            <w:pPr>
              <w:ind w:left="380"/>
              <w:spacing w:after="0" w:line="237" w:lineRule="exact"/>
              <w:rPr>
                <w:sz w:val="20"/>
                <w:szCs w:val="20"/>
                <w:color w:val="auto"/>
              </w:rPr>
            </w:pPr>
            <w:r>
              <w:rPr>
                <w:rFonts w:ascii="Arial" w:cs="Arial" w:eastAsia="Arial" w:hAnsi="Arial"/>
                <w:sz w:val="27"/>
                <w:szCs w:val="27"/>
                <w:color w:val="auto"/>
                <w:vertAlign w:val="subscript"/>
              </w:rPr>
              <w:t>50</w:t>
            </w:r>
            <w:r>
              <w:rPr>
                <w:rFonts w:ascii="Arial" w:cs="Arial" w:eastAsia="Arial" w:hAnsi="Arial"/>
                <w:sz w:val="12"/>
                <w:szCs w:val="12"/>
                <w:color w:val="auto"/>
              </w:rPr>
              <w:t>th</w:t>
            </w:r>
          </w:p>
        </w:tc>
        <w:tc>
          <w:tcPr>
            <w:tcW w:w="1340" w:type="dxa"/>
            <w:vAlign w:val="bottom"/>
          </w:tcPr>
          <w:p>
            <w:pPr>
              <w:jc w:val="right"/>
              <w:ind w:right="521"/>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0"/>
                <w:szCs w:val="20"/>
                <w:color w:val="auto"/>
              </w:rPr>
            </w:pPr>
          </w:p>
        </w:tc>
      </w:tr>
      <w:tr>
        <w:trPr>
          <w:trHeight w:val="238"/>
        </w:trPr>
        <w:tc>
          <w:tcPr>
            <w:tcW w:w="1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2"/>
          </w:tcPr>
          <w:p>
            <w:pPr>
              <w:ind w:left="380"/>
              <w:spacing w:after="0" w:line="237" w:lineRule="exact"/>
              <w:rPr>
                <w:sz w:val="20"/>
                <w:szCs w:val="20"/>
                <w:color w:val="auto"/>
              </w:rPr>
            </w:pPr>
            <w:r>
              <w:rPr>
                <w:rFonts w:ascii="Arial" w:cs="Arial" w:eastAsia="Arial" w:hAnsi="Arial"/>
                <w:sz w:val="16"/>
                <w:szCs w:val="16"/>
                <w:color w:val="auto"/>
              </w:rPr>
              <w:t>45</w:t>
            </w:r>
            <w:r>
              <w:rPr>
                <w:rFonts w:ascii="Arial" w:cs="Arial" w:eastAsia="Arial" w:hAnsi="Arial"/>
                <w:sz w:val="26"/>
                <w:szCs w:val="26"/>
                <w:color w:val="auto"/>
                <w:vertAlign w:val="superscript"/>
              </w:rPr>
              <w:t>th</w:t>
            </w:r>
          </w:p>
        </w:tc>
        <w:tc>
          <w:tcPr>
            <w:tcW w:w="1340" w:type="dxa"/>
            <w:vAlign w:val="bottom"/>
          </w:tcPr>
          <w:p>
            <w:pPr>
              <w:jc w:val="right"/>
              <w:ind w:right="481"/>
              <w:spacing w:after="0"/>
              <w:rPr>
                <w:sz w:val="20"/>
                <w:szCs w:val="20"/>
                <w:color w:val="auto"/>
              </w:rPr>
            </w:pPr>
            <w:r>
              <w:rPr>
                <w:rFonts w:ascii="Arial" w:cs="Arial" w:eastAsia="Arial" w:hAnsi="Arial"/>
                <w:sz w:val="16"/>
                <w:szCs w:val="16"/>
                <w:color w:val="auto"/>
              </w:rPr>
              <w:t>70%</w:t>
            </w:r>
          </w:p>
        </w:tc>
        <w:tc>
          <w:tcPr>
            <w:tcW w:w="680" w:type="dxa"/>
            <w:vAlign w:val="bottom"/>
          </w:tcPr>
          <w:p>
            <w:pPr>
              <w:spacing w:after="0"/>
              <w:rPr>
                <w:sz w:val="20"/>
                <w:szCs w:val="20"/>
                <w:color w:val="auto"/>
              </w:rPr>
            </w:pPr>
          </w:p>
        </w:tc>
      </w:tr>
      <w:tr>
        <w:trPr>
          <w:trHeight w:val="238"/>
        </w:trPr>
        <w:tc>
          <w:tcPr>
            <w:tcW w:w="1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2"/>
          </w:tcPr>
          <w:p>
            <w:pPr>
              <w:ind w:left="380"/>
              <w:spacing w:after="0" w:line="237" w:lineRule="exact"/>
              <w:rPr>
                <w:sz w:val="20"/>
                <w:szCs w:val="20"/>
                <w:color w:val="auto"/>
              </w:rPr>
            </w:pPr>
            <w:r>
              <w:rPr>
                <w:rFonts w:ascii="Arial" w:cs="Arial" w:eastAsia="Arial" w:hAnsi="Arial"/>
                <w:sz w:val="16"/>
                <w:szCs w:val="16"/>
                <w:color w:val="auto"/>
              </w:rPr>
              <w:t>40</w:t>
            </w:r>
            <w:r>
              <w:rPr>
                <w:rFonts w:ascii="Arial" w:cs="Arial" w:eastAsia="Arial" w:hAnsi="Arial"/>
                <w:sz w:val="26"/>
                <w:szCs w:val="26"/>
                <w:color w:val="auto"/>
                <w:vertAlign w:val="superscript"/>
              </w:rPr>
              <w:t>th</w:t>
            </w:r>
          </w:p>
        </w:tc>
        <w:tc>
          <w:tcPr>
            <w:tcW w:w="1340" w:type="dxa"/>
            <w:vAlign w:val="bottom"/>
          </w:tcPr>
          <w:p>
            <w:pPr>
              <w:jc w:val="right"/>
              <w:ind w:right="481"/>
              <w:spacing w:after="0"/>
              <w:rPr>
                <w:sz w:val="20"/>
                <w:szCs w:val="20"/>
                <w:color w:val="auto"/>
              </w:rPr>
            </w:pPr>
            <w:r>
              <w:rPr>
                <w:rFonts w:ascii="Arial" w:cs="Arial" w:eastAsia="Arial" w:hAnsi="Arial"/>
                <w:sz w:val="16"/>
                <w:szCs w:val="16"/>
                <w:color w:val="auto"/>
              </w:rPr>
              <w:t>40%</w:t>
            </w:r>
          </w:p>
        </w:tc>
        <w:tc>
          <w:tcPr>
            <w:tcW w:w="680" w:type="dxa"/>
            <w:vAlign w:val="bottom"/>
          </w:tcPr>
          <w:p>
            <w:pPr>
              <w:spacing w:after="0"/>
              <w:rPr>
                <w:sz w:val="20"/>
                <w:szCs w:val="20"/>
                <w:color w:val="auto"/>
              </w:rPr>
            </w:pPr>
          </w:p>
        </w:tc>
      </w:tr>
      <w:tr>
        <w:trPr>
          <w:trHeight w:val="386"/>
        </w:trPr>
        <w:tc>
          <w:tcPr>
            <w:tcW w:w="1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2"/>
          </w:tcPr>
          <w:p>
            <w:pPr>
              <w:ind w:left="380"/>
              <w:spacing w:after="0"/>
              <w:rPr>
                <w:sz w:val="20"/>
                <w:szCs w:val="20"/>
                <w:color w:val="auto"/>
              </w:rPr>
            </w:pPr>
            <w:r>
              <w:rPr>
                <w:rFonts w:ascii="Arial" w:cs="Arial" w:eastAsia="Arial" w:hAnsi="Arial"/>
                <w:sz w:val="31"/>
                <w:szCs w:val="31"/>
                <w:color w:val="auto"/>
                <w:vertAlign w:val="subscript"/>
              </w:rPr>
              <w:t>35</w:t>
            </w:r>
            <w:r>
              <w:rPr>
                <w:rFonts w:ascii="Arial" w:cs="Arial" w:eastAsia="Arial" w:hAnsi="Arial"/>
                <w:sz w:val="13"/>
                <w:szCs w:val="13"/>
                <w:color w:val="auto"/>
              </w:rPr>
              <w:t>th</w:t>
            </w:r>
          </w:p>
        </w:tc>
        <w:tc>
          <w:tcPr>
            <w:tcW w:w="1340" w:type="dxa"/>
            <w:vAlign w:val="bottom"/>
          </w:tcPr>
          <w:p>
            <w:pPr>
              <w:jc w:val="right"/>
              <w:ind w:right="621"/>
              <w:spacing w:after="0"/>
              <w:rPr>
                <w:sz w:val="20"/>
                <w:szCs w:val="20"/>
                <w:color w:val="auto"/>
              </w:rPr>
            </w:pPr>
            <w:r>
              <w:rPr>
                <w:rFonts w:ascii="Arial" w:cs="Arial" w:eastAsia="Arial" w:hAnsi="Arial"/>
                <w:sz w:val="16"/>
                <w:szCs w:val="16"/>
                <w:color w:val="auto"/>
              </w:rPr>
              <w:t>0</w:t>
            </w:r>
          </w:p>
        </w:tc>
        <w:tc>
          <w:tcPr>
            <w:tcW w:w="680" w:type="dxa"/>
            <w:vAlign w:val="bottom"/>
          </w:tcPr>
          <w:p>
            <w:pPr>
              <w:spacing w:after="0"/>
              <w:rPr>
                <w:sz w:val="24"/>
                <w:szCs w:val="24"/>
                <w:color w:val="auto"/>
              </w:rPr>
            </w:pPr>
          </w:p>
        </w:tc>
      </w:tr>
      <w:tr>
        <w:trPr>
          <w:trHeight w:val="186"/>
        </w:trPr>
        <w:tc>
          <w:tcPr>
            <w:tcW w:w="1720" w:type="dxa"/>
            <w:vAlign w:val="bottom"/>
          </w:tcPr>
          <w:p>
            <w:pPr>
              <w:spacing w:after="0"/>
              <w:rPr>
                <w:sz w:val="16"/>
                <w:szCs w:val="16"/>
                <w:color w:val="auto"/>
              </w:rPr>
            </w:pPr>
          </w:p>
        </w:tc>
        <w:tc>
          <w:tcPr>
            <w:tcW w:w="5440" w:type="dxa"/>
            <w:vAlign w:val="bottom"/>
            <w:gridSpan w:val="6"/>
          </w:tcPr>
          <w:p>
            <w:pPr>
              <w:ind w:left="760"/>
              <w:spacing w:after="0"/>
              <w:rPr>
                <w:sz w:val="20"/>
                <w:szCs w:val="20"/>
                <w:color w:val="auto"/>
              </w:rPr>
            </w:pPr>
            <w:r>
              <w:rPr>
                <w:rFonts w:ascii="Arial" w:cs="Arial" w:eastAsia="Arial" w:hAnsi="Arial"/>
                <w:sz w:val="16"/>
                <w:szCs w:val="16"/>
                <w:color w:val="auto"/>
                <w:w w:val="95"/>
              </w:rPr>
              <w:t>If the percentile ranking does not equal a ranking shown in the above</w:t>
            </w:r>
          </w:p>
        </w:tc>
      </w:tr>
      <w:tr>
        <w:trPr>
          <w:trHeight w:val="186"/>
        </w:trPr>
        <w:tc>
          <w:tcPr>
            <w:tcW w:w="1720" w:type="dxa"/>
            <w:vAlign w:val="bottom"/>
          </w:tcPr>
          <w:p>
            <w:pPr>
              <w:spacing w:after="0"/>
              <w:rPr>
                <w:sz w:val="16"/>
                <w:szCs w:val="16"/>
                <w:color w:val="auto"/>
              </w:rPr>
            </w:pPr>
          </w:p>
        </w:tc>
        <w:tc>
          <w:tcPr>
            <w:tcW w:w="5440" w:type="dxa"/>
            <w:vAlign w:val="bottom"/>
            <w:gridSpan w:val="6"/>
          </w:tcPr>
          <w:p>
            <w:pPr>
              <w:ind w:left="760"/>
              <w:spacing w:after="0"/>
              <w:rPr>
                <w:sz w:val="20"/>
                <w:szCs w:val="20"/>
                <w:color w:val="auto"/>
              </w:rPr>
            </w:pPr>
            <w:r>
              <w:rPr>
                <w:rFonts w:ascii="Arial" w:cs="Arial" w:eastAsia="Arial" w:hAnsi="Arial"/>
                <w:sz w:val="16"/>
                <w:szCs w:val="16"/>
                <w:color w:val="auto"/>
                <w:w w:val="91"/>
              </w:rPr>
              <w:t>table, the percentage of your target number of restricted stock units that</w:t>
            </w:r>
          </w:p>
        </w:tc>
      </w:tr>
      <w:tr>
        <w:trPr>
          <w:trHeight w:val="186"/>
        </w:trPr>
        <w:tc>
          <w:tcPr>
            <w:tcW w:w="1720" w:type="dxa"/>
            <w:vAlign w:val="bottom"/>
          </w:tcPr>
          <w:p>
            <w:pPr>
              <w:spacing w:after="0"/>
              <w:rPr>
                <w:sz w:val="16"/>
                <w:szCs w:val="16"/>
                <w:color w:val="auto"/>
              </w:rPr>
            </w:pPr>
          </w:p>
        </w:tc>
        <w:tc>
          <w:tcPr>
            <w:tcW w:w="5440" w:type="dxa"/>
            <w:vAlign w:val="bottom"/>
            <w:gridSpan w:val="6"/>
          </w:tcPr>
          <w:p>
            <w:pPr>
              <w:ind w:left="760"/>
              <w:spacing w:after="0"/>
              <w:rPr>
                <w:sz w:val="20"/>
                <w:szCs w:val="20"/>
                <w:color w:val="auto"/>
              </w:rPr>
            </w:pPr>
            <w:r>
              <w:rPr>
                <w:rFonts w:ascii="Arial" w:cs="Arial" w:eastAsia="Arial" w:hAnsi="Arial"/>
                <w:sz w:val="16"/>
                <w:szCs w:val="16"/>
                <w:color w:val="auto"/>
                <w:w w:val="91"/>
              </w:rPr>
              <w:t>vest will be determined by a linear interpolation between the next lowest</w:t>
            </w:r>
          </w:p>
        </w:tc>
      </w:tr>
      <w:tr>
        <w:trPr>
          <w:trHeight w:val="186"/>
        </w:trPr>
        <w:tc>
          <w:tcPr>
            <w:tcW w:w="1720" w:type="dxa"/>
            <w:vAlign w:val="bottom"/>
          </w:tcPr>
          <w:p>
            <w:pPr>
              <w:spacing w:after="0"/>
              <w:rPr>
                <w:sz w:val="16"/>
                <w:szCs w:val="16"/>
                <w:color w:val="auto"/>
              </w:rPr>
            </w:pPr>
          </w:p>
        </w:tc>
        <w:tc>
          <w:tcPr>
            <w:tcW w:w="5440" w:type="dxa"/>
            <w:vAlign w:val="bottom"/>
            <w:gridSpan w:val="6"/>
          </w:tcPr>
          <w:p>
            <w:pPr>
              <w:ind w:left="760"/>
              <w:spacing w:after="0"/>
              <w:rPr>
                <w:sz w:val="20"/>
                <w:szCs w:val="20"/>
                <w:color w:val="auto"/>
              </w:rPr>
            </w:pPr>
            <w:r>
              <w:rPr>
                <w:rFonts w:ascii="Arial" w:cs="Arial" w:eastAsia="Arial" w:hAnsi="Arial"/>
                <w:sz w:val="16"/>
                <w:szCs w:val="16"/>
                <w:color w:val="auto"/>
                <w:w w:val="88"/>
              </w:rPr>
              <w:t>percentile shown in the table and the next highest percentile shown on the</w:t>
            </w:r>
          </w:p>
        </w:tc>
      </w:tr>
      <w:tr>
        <w:trPr>
          <w:trHeight w:val="201"/>
        </w:trPr>
        <w:tc>
          <w:tcPr>
            <w:tcW w:w="1720" w:type="dxa"/>
            <w:vAlign w:val="bottom"/>
          </w:tcPr>
          <w:p>
            <w:pPr>
              <w:spacing w:after="0"/>
              <w:rPr>
                <w:sz w:val="17"/>
                <w:szCs w:val="17"/>
                <w:color w:val="auto"/>
              </w:rPr>
            </w:pPr>
          </w:p>
        </w:tc>
        <w:tc>
          <w:tcPr>
            <w:tcW w:w="1140" w:type="dxa"/>
            <w:vAlign w:val="bottom"/>
          </w:tcPr>
          <w:p>
            <w:pPr>
              <w:ind w:left="760"/>
              <w:spacing w:after="0"/>
              <w:rPr>
                <w:sz w:val="20"/>
                <w:szCs w:val="20"/>
                <w:color w:val="auto"/>
              </w:rPr>
            </w:pPr>
            <w:r>
              <w:rPr>
                <w:rFonts w:ascii="Arial" w:cs="Arial" w:eastAsia="Arial" w:hAnsi="Arial"/>
                <w:sz w:val="16"/>
                <w:szCs w:val="16"/>
                <w:color w:val="auto"/>
                <w:w w:val="91"/>
              </w:rPr>
              <w:t>table.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388"/>
        </w:trPr>
        <w:tc>
          <w:tcPr>
            <w:tcW w:w="1720" w:type="dxa"/>
            <w:vAlign w:val="bottom"/>
          </w:tcPr>
          <w:p>
            <w:pPr>
              <w:spacing w:after="0"/>
              <w:rPr>
                <w:sz w:val="24"/>
                <w:szCs w:val="24"/>
                <w:color w:val="auto"/>
              </w:rPr>
            </w:pPr>
          </w:p>
        </w:tc>
        <w:tc>
          <w:tcPr>
            <w:tcW w:w="1140" w:type="dxa"/>
            <w:vAlign w:val="bottom"/>
          </w:tcPr>
          <w:p>
            <w:pPr>
              <w:ind w:left="960"/>
              <w:spacing w:after="0"/>
              <w:rPr>
                <w:sz w:val="20"/>
                <w:szCs w:val="20"/>
                <w:color w:val="auto"/>
              </w:rPr>
            </w:pPr>
            <w:r>
              <w:rPr>
                <w:rFonts w:ascii="Courier New" w:cs="Courier New" w:eastAsia="Courier New" w:hAnsi="Courier New"/>
                <w:sz w:val="16"/>
                <w:szCs w:val="16"/>
                <w:color w:val="auto"/>
              </w:rPr>
              <w:t>o</w:t>
            </w:r>
          </w:p>
        </w:tc>
        <w:tc>
          <w:tcPr>
            <w:tcW w:w="4300" w:type="dxa"/>
            <w:vAlign w:val="bottom"/>
            <w:gridSpan w:val="5"/>
          </w:tcPr>
          <w:p>
            <w:pPr>
              <w:ind w:left="60"/>
              <w:spacing w:after="0"/>
              <w:rPr>
                <w:sz w:val="20"/>
                <w:szCs w:val="20"/>
                <w:color w:val="auto"/>
              </w:rPr>
            </w:pPr>
            <w:r>
              <w:rPr>
                <w:rFonts w:ascii="Arial" w:cs="Arial" w:eastAsia="Arial" w:hAnsi="Arial"/>
                <w:sz w:val="16"/>
                <w:szCs w:val="16"/>
                <w:color w:val="auto"/>
                <w:w w:val="89"/>
              </w:rPr>
              <w:t>If the percentile ranking is at or above the 75</w:t>
            </w:r>
            <w:r>
              <w:rPr>
                <w:rFonts w:ascii="Arial" w:cs="Arial" w:eastAsia="Arial" w:hAnsi="Arial"/>
                <w:sz w:val="26"/>
                <w:szCs w:val="26"/>
                <w:color w:val="auto"/>
                <w:w w:val="89"/>
                <w:vertAlign w:val="superscript"/>
              </w:rPr>
              <w:t>th</w:t>
            </w:r>
            <w:r>
              <w:rPr>
                <w:rFonts w:ascii="Arial" w:cs="Arial" w:eastAsia="Arial" w:hAnsi="Arial"/>
                <w:sz w:val="16"/>
                <w:szCs w:val="16"/>
                <w:color w:val="auto"/>
                <w:w w:val="89"/>
              </w:rPr>
              <w:t xml:space="preserve"> percentile, 150% of</w:t>
            </w:r>
          </w:p>
        </w:tc>
      </w:tr>
      <w:tr>
        <w:trPr>
          <w:trHeight w:val="201"/>
        </w:trPr>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300" w:type="dxa"/>
            <w:vAlign w:val="bottom"/>
            <w:gridSpan w:val="5"/>
          </w:tcPr>
          <w:p>
            <w:pPr>
              <w:ind w:left="60"/>
              <w:spacing w:after="0"/>
              <w:rPr>
                <w:sz w:val="20"/>
                <w:szCs w:val="20"/>
                <w:color w:val="auto"/>
              </w:rPr>
            </w:pPr>
            <w:r>
              <w:rPr>
                <w:rFonts w:ascii="Arial" w:cs="Arial" w:eastAsia="Arial" w:hAnsi="Arial"/>
                <w:sz w:val="16"/>
                <w:szCs w:val="16"/>
                <w:color w:val="auto"/>
              </w:rPr>
              <w:t>your target number of restricted stock units will vest.</w:t>
            </w:r>
          </w:p>
        </w:tc>
      </w:tr>
      <w:tr>
        <w:trPr>
          <w:trHeight w:val="378"/>
        </w:trPr>
        <w:tc>
          <w:tcPr>
            <w:tcW w:w="1720" w:type="dxa"/>
            <w:vAlign w:val="bottom"/>
          </w:tcPr>
          <w:p>
            <w:pPr>
              <w:spacing w:after="0"/>
              <w:rPr>
                <w:sz w:val="24"/>
                <w:szCs w:val="24"/>
                <w:color w:val="auto"/>
              </w:rPr>
            </w:pPr>
          </w:p>
        </w:tc>
        <w:tc>
          <w:tcPr>
            <w:tcW w:w="1140" w:type="dxa"/>
            <w:vAlign w:val="bottom"/>
          </w:tcPr>
          <w:p>
            <w:pPr>
              <w:ind w:left="960"/>
              <w:spacing w:after="0"/>
              <w:rPr>
                <w:sz w:val="20"/>
                <w:szCs w:val="20"/>
                <w:color w:val="auto"/>
              </w:rPr>
            </w:pPr>
            <w:r>
              <w:rPr>
                <w:rFonts w:ascii="Courier New" w:cs="Courier New" w:eastAsia="Courier New" w:hAnsi="Courier New"/>
                <w:sz w:val="16"/>
                <w:szCs w:val="16"/>
                <w:color w:val="auto"/>
              </w:rPr>
              <w:t>o</w:t>
            </w:r>
          </w:p>
        </w:tc>
        <w:tc>
          <w:tcPr>
            <w:tcW w:w="4300" w:type="dxa"/>
            <w:vAlign w:val="bottom"/>
            <w:gridSpan w:val="5"/>
          </w:tcPr>
          <w:p>
            <w:pPr>
              <w:ind w:left="60"/>
              <w:spacing w:after="0"/>
              <w:rPr>
                <w:sz w:val="20"/>
                <w:szCs w:val="20"/>
                <w:color w:val="auto"/>
              </w:rPr>
            </w:pPr>
            <w:r>
              <w:rPr>
                <w:rFonts w:ascii="Arial" w:cs="Arial" w:eastAsia="Arial" w:hAnsi="Arial"/>
                <w:sz w:val="16"/>
                <w:szCs w:val="16"/>
                <w:color w:val="auto"/>
                <w:w w:val="90"/>
              </w:rPr>
              <w:t>If the percentile ranking is at or below the 35</w:t>
            </w:r>
            <w:r>
              <w:rPr>
                <w:rFonts w:ascii="Arial" w:cs="Arial" w:eastAsia="Arial" w:hAnsi="Arial"/>
                <w:sz w:val="26"/>
                <w:szCs w:val="26"/>
                <w:color w:val="auto"/>
                <w:w w:val="90"/>
                <w:vertAlign w:val="superscript"/>
              </w:rPr>
              <w:t>th</w:t>
            </w:r>
            <w:r>
              <w:rPr>
                <w:rFonts w:ascii="Arial" w:cs="Arial" w:eastAsia="Arial" w:hAnsi="Arial"/>
                <w:sz w:val="16"/>
                <w:szCs w:val="16"/>
                <w:color w:val="auto"/>
                <w:w w:val="90"/>
              </w:rPr>
              <w:t xml:space="preserve"> percentile, none of</w:t>
            </w:r>
          </w:p>
        </w:tc>
      </w:tr>
      <w:tr>
        <w:trPr>
          <w:trHeight w:val="201"/>
        </w:trPr>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300" w:type="dxa"/>
            <w:vAlign w:val="bottom"/>
            <w:gridSpan w:val="5"/>
          </w:tcPr>
          <w:p>
            <w:pPr>
              <w:ind w:left="60"/>
              <w:spacing w:after="0"/>
              <w:rPr>
                <w:sz w:val="20"/>
                <w:szCs w:val="20"/>
                <w:color w:val="auto"/>
              </w:rPr>
            </w:pPr>
            <w:r>
              <w:rPr>
                <w:rFonts w:ascii="Arial" w:cs="Arial" w:eastAsia="Arial" w:hAnsi="Arial"/>
                <w:sz w:val="16"/>
                <w:szCs w:val="16"/>
                <w:color w:val="auto"/>
              </w:rPr>
              <w:t>your restricted stock units will vest.</w:t>
            </w:r>
          </w:p>
        </w:tc>
      </w:tr>
    </w:tbl>
    <w:p>
      <w:pPr>
        <w:spacing w:after="0" w:line="150" w:lineRule="exact"/>
        <w:rPr>
          <w:sz w:val="20"/>
          <w:szCs w:val="20"/>
          <w:color w:val="auto"/>
        </w:rPr>
      </w:pPr>
    </w:p>
    <w:p>
      <w:pPr>
        <w:ind w:left="3620"/>
        <w:spacing w:after="0"/>
        <w:tabs>
          <w:tab w:leader="none" w:pos="3840" w:val="left"/>
        </w:tabs>
        <w:rPr>
          <w:sz w:val="20"/>
          <w:szCs w:val="20"/>
          <w:color w:val="auto"/>
        </w:rPr>
      </w:pPr>
      <w:r>
        <w:rPr>
          <w:rFonts w:ascii="Arial" w:cs="Arial" w:eastAsia="Arial" w:hAnsi="Arial"/>
          <w:sz w:val="14"/>
          <w:szCs w:val="14"/>
          <w:color w:val="auto"/>
        </w:rPr>
        <w:t>·</w:t>
        <w:tab/>
        <w:t>The Compensation Committee also will determine and certify the</w:t>
      </w:r>
    </w:p>
    <w:p>
      <w:pPr>
        <w:spacing w:after="0" w:line="39"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percentile ranking of Sempra Energy’s cumulative total</w:t>
      </w:r>
    </w:p>
    <w:p>
      <w:pPr>
        <w:spacing w:after="0" w:line="2"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shareholder return for the performance period (as measured at the</w:t>
      </w:r>
    </w:p>
    <w:p>
      <w:pPr>
        <w:spacing w:after="0" w:line="25"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end of the performance period) among the companies (ranking by</w:t>
      </w:r>
    </w:p>
    <w:p>
      <w:pPr>
        <w:spacing w:after="0" w:line="25" w:lineRule="exact"/>
        <w:rPr>
          <w:sz w:val="20"/>
          <w:szCs w:val="20"/>
          <w:color w:val="auto"/>
        </w:rPr>
      </w:pPr>
    </w:p>
    <w:p>
      <w:pPr>
        <w:ind w:left="3860"/>
        <w:spacing w:after="0"/>
        <w:rPr>
          <w:sz w:val="20"/>
          <w:szCs w:val="20"/>
          <w:color w:val="auto"/>
        </w:rPr>
      </w:pPr>
      <w:r>
        <w:rPr>
          <w:rFonts w:ascii="Arial" w:cs="Arial" w:eastAsia="Arial" w:hAnsi="Arial"/>
          <w:sz w:val="15"/>
          <w:szCs w:val="15"/>
          <w:color w:val="auto"/>
        </w:rPr>
        <w:t>cumulative total shareholder returns) in the S&amp;P 500 Composite</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5"/>
          <w:szCs w:val="15"/>
          <w:color w:val="auto"/>
        </w:rPr>
        <w:t>Index. If the Compensation Committee determines and certifies</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that Sempra Energy’s cumulative total shareholder return is at or</w:t>
      </w:r>
    </w:p>
    <w:p>
      <w:pPr>
        <w:ind w:left="3860"/>
        <w:spacing w:after="0" w:line="238" w:lineRule="auto"/>
        <w:rPr>
          <w:sz w:val="20"/>
          <w:szCs w:val="20"/>
          <w:color w:val="auto"/>
        </w:rPr>
      </w:pPr>
      <w:r>
        <w:rPr>
          <w:rFonts w:ascii="Arial" w:cs="Arial" w:eastAsia="Arial" w:hAnsi="Arial"/>
          <w:sz w:val="14"/>
          <w:szCs w:val="14"/>
          <w:color w:val="auto"/>
        </w:rPr>
        <w:t>above the 50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among the companies in the S&amp;P 500</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Composite Index, the percentage of your target number of</w:t>
      </w:r>
    </w:p>
    <w:p>
      <w:pPr>
        <w:spacing w:after="0" w:line="2"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restricted stock units that vest will be not less than 100%.</w:t>
      </w:r>
    </w:p>
    <w:p>
      <w:pPr>
        <w:spacing w:after="0" w:line="143" w:lineRule="exact"/>
        <w:rPr>
          <w:sz w:val="20"/>
          <w:szCs w:val="20"/>
          <w:color w:val="auto"/>
        </w:rPr>
      </w:pPr>
    </w:p>
    <w:p>
      <w:pPr>
        <w:ind w:left="3620"/>
        <w:spacing w:after="0"/>
        <w:tabs>
          <w:tab w:leader="none" w:pos="3840" w:val="left"/>
        </w:tabs>
        <w:rPr>
          <w:sz w:val="20"/>
          <w:szCs w:val="20"/>
          <w:color w:val="auto"/>
        </w:rPr>
      </w:pPr>
      <w:r>
        <w:rPr>
          <w:rFonts w:ascii="Arial" w:cs="Arial" w:eastAsia="Arial" w:hAnsi="Arial"/>
          <w:sz w:val="16"/>
          <w:szCs w:val="16"/>
          <w:color w:val="auto"/>
        </w:rPr>
        <w:t>·</w:t>
        <w:tab/>
        <w:t>As soon as reasonably practicable following the end of the</w:t>
      </w:r>
    </w:p>
    <w:p>
      <w:pPr>
        <w:spacing w:after="0" w:line="16"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performance period, the Compensation Committee will determine</w:t>
      </w:r>
    </w:p>
    <w:p>
      <w:pPr>
        <w:sectPr>
          <w:pgSz w:w="11900" w:h="16838" w:orient="portrait"/>
          <w:cols w:equalWidth="0" w:num="1">
            <w:col w:w="9019"/>
          </w:cols>
          <w:pgMar w:left="1440" w:top="125" w:right="1440" w:bottom="0" w:gutter="0" w:footer="0" w:header="0"/>
        </w:sectPr>
      </w:pPr>
    </w:p>
    <w:bookmarkStart w:id="61" w:name="page62"/>
    <w:bookmarkEnd w:id="61"/>
    <w:p>
      <w:pPr>
        <w:ind w:left="3860"/>
        <w:spacing w:after="0"/>
        <w:rPr>
          <w:sz w:val="20"/>
          <w:szCs w:val="20"/>
          <w:color w:val="auto"/>
        </w:rPr>
      </w:pPr>
      <w:r>
        <w:rPr>
          <w:rFonts w:ascii="Arial" w:cs="Arial" w:eastAsia="Arial" w:hAnsi="Arial"/>
          <w:sz w:val="16"/>
          <w:szCs w:val="16"/>
          <w:color w:val="auto"/>
        </w:rPr>
        <w:t>and certify the extent to which Sempra Energy has met the</w:t>
      </w:r>
    </w:p>
    <w:p>
      <w:pPr>
        <w:spacing w:after="0" w:line="16"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performance criteria and the extent, if any, as to which your</w:t>
      </w:r>
    </w:p>
    <w:p>
      <w:pPr>
        <w:spacing w:after="0" w:line="2"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restricted stock units have then vested. You will receive the</w:t>
      </w:r>
    </w:p>
    <w:p>
      <w:pPr>
        <w:spacing w:after="0" w:line="2"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number of shares of Common Stock equal to the number of your</w:t>
      </w:r>
    </w:p>
    <w:p>
      <w:pPr>
        <w:spacing w:after="0" w:line="25"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vested restricted stock units after the Compensation Committee’s</w:t>
      </w:r>
    </w:p>
    <w:p>
      <w:pPr>
        <w:spacing w:after="0" w:line="25"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determination and certification. Also, you will receive the number</w:t>
      </w:r>
    </w:p>
    <w:p>
      <w:pPr>
        <w:spacing w:after="0" w:line="25" w:lineRule="exact"/>
        <w:rPr>
          <w:sz w:val="20"/>
          <w:szCs w:val="20"/>
          <w:color w:val="auto"/>
        </w:rPr>
      </w:pPr>
    </w:p>
    <w:p>
      <w:pPr>
        <w:ind w:left="3860"/>
        <w:spacing w:after="0"/>
        <w:rPr>
          <w:sz w:val="20"/>
          <w:szCs w:val="20"/>
          <w:color w:val="auto"/>
        </w:rPr>
      </w:pPr>
      <w:r>
        <w:rPr>
          <w:rFonts w:ascii="Arial" w:cs="Arial" w:eastAsia="Arial" w:hAnsi="Arial"/>
          <w:sz w:val="15"/>
          <w:szCs w:val="15"/>
          <w:color w:val="auto"/>
        </w:rPr>
        <w:t>of shares of Common Stock equal to your dividend equivalents</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after the Compensation Committee’s determination and</w:t>
      </w:r>
    </w:p>
    <w:p>
      <w:pPr>
        <w:spacing w:after="0" w:line="2" w:lineRule="exact"/>
        <w:rPr>
          <w:sz w:val="20"/>
          <w:szCs w:val="20"/>
          <w:color w:val="auto"/>
        </w:rPr>
      </w:pPr>
    </w:p>
    <w:p>
      <w:pPr>
        <w:ind w:left="3860"/>
        <w:spacing w:after="0"/>
        <w:rPr>
          <w:sz w:val="20"/>
          <w:szCs w:val="20"/>
          <w:color w:val="auto"/>
        </w:rPr>
      </w:pPr>
      <w:r>
        <w:rPr>
          <w:rFonts w:ascii="Arial" w:cs="Arial" w:eastAsia="Arial" w:hAnsi="Arial"/>
          <w:sz w:val="15"/>
          <w:szCs w:val="15"/>
          <w:color w:val="auto"/>
        </w:rPr>
        <w:t>certification. Certificates for the shares will be issued to you or</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transferred to an account that you designate. When the shares of</w:t>
      </w:r>
    </w:p>
    <w:p>
      <w:pPr>
        <w:spacing w:after="0" w:line="25" w:lineRule="exact"/>
        <w:rPr>
          <w:sz w:val="20"/>
          <w:szCs w:val="20"/>
          <w:color w:val="auto"/>
        </w:rPr>
      </w:pPr>
    </w:p>
    <w:p>
      <w:pPr>
        <w:ind w:left="3860"/>
        <w:spacing w:after="0"/>
        <w:rPr>
          <w:sz w:val="20"/>
          <w:szCs w:val="20"/>
          <w:color w:val="auto"/>
        </w:rPr>
      </w:pPr>
      <w:r>
        <w:rPr>
          <w:rFonts w:ascii="Arial" w:cs="Arial" w:eastAsia="Arial" w:hAnsi="Arial"/>
          <w:sz w:val="15"/>
          <w:szCs w:val="15"/>
          <w:color w:val="auto"/>
        </w:rPr>
        <w:t>Common Stock are issued to you, your restricted stock units</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(vested and unvested) and your dividend equivalents will</w:t>
      </w:r>
    </w:p>
    <w:p>
      <w:pPr>
        <w:spacing w:after="0" w:line="2"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terminate.</w:t>
      </w:r>
    </w:p>
    <w:p>
      <w:pPr>
        <w:spacing w:after="0" w:line="143" w:lineRule="exact"/>
        <w:rPr>
          <w:sz w:val="20"/>
          <w:szCs w:val="20"/>
          <w:color w:val="auto"/>
        </w:rPr>
      </w:pPr>
    </w:p>
    <w:p>
      <w:pPr>
        <w:ind w:left="3860" w:right="999" w:hanging="249"/>
        <w:spacing w:after="0" w:line="298" w:lineRule="auto"/>
        <w:tabs>
          <w:tab w:leader="none" w:pos="38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 xml:space="preserve">Examples illustrating the application of the vesting provisions are shown in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to this Award Agreement.</w:t>
      </w:r>
    </w:p>
    <w:p>
      <w:pPr>
        <w:spacing w:after="0" w:line="43" w:lineRule="exact"/>
        <w:rPr>
          <w:sz w:val="20"/>
          <w:szCs w:val="20"/>
          <w:color w:val="auto"/>
        </w:rPr>
      </w:pPr>
    </w:p>
    <w:p>
      <w:pPr>
        <w:ind w:left="3120" w:right="979" w:hanging="2180"/>
        <w:spacing w:after="0" w:line="265" w:lineRule="auto"/>
        <w:tabs>
          <w:tab w:leader="none" w:pos="3100" w:val="left"/>
        </w:tabs>
        <w:rPr>
          <w:sz w:val="20"/>
          <w:szCs w:val="20"/>
          <w:color w:val="auto"/>
        </w:rPr>
      </w:pPr>
      <w:r>
        <w:rPr>
          <w:rFonts w:ascii="Arial" w:cs="Arial" w:eastAsia="Arial" w:hAnsi="Arial"/>
          <w:sz w:val="16"/>
          <w:szCs w:val="16"/>
          <w:b w:val="1"/>
          <w:bCs w:val="1"/>
          <w:color w:val="auto"/>
        </w:rPr>
        <w:t>Transfer Restrictions:</w:t>
      </w:r>
      <w:r>
        <w:rPr>
          <w:sz w:val="20"/>
          <w:szCs w:val="20"/>
          <w:color w:val="auto"/>
        </w:rPr>
        <w:tab/>
      </w:r>
      <w:r>
        <w:rPr>
          <w:rFonts w:ascii="Arial" w:cs="Arial" w:eastAsia="Arial" w:hAnsi="Arial"/>
          <w:sz w:val="16"/>
          <w:szCs w:val="16"/>
          <w:color w:val="auto"/>
        </w:rPr>
        <w:t>You may not sell or otherwise transfer or assign your restricted stock units (or your dividend equivalents).</w:t>
      </w:r>
    </w:p>
    <w:p>
      <w:pPr>
        <w:spacing w:after="0" w:line="69" w:lineRule="exact"/>
        <w:rPr>
          <w:sz w:val="20"/>
          <w:szCs w:val="20"/>
          <w:color w:val="auto"/>
        </w:rPr>
      </w:pPr>
    </w:p>
    <w:p>
      <w:pPr>
        <w:ind w:left="3120" w:right="959" w:hanging="2180"/>
        <w:spacing w:after="0" w:line="282" w:lineRule="auto"/>
        <w:tabs>
          <w:tab w:leader="none" w:pos="3100" w:val="left"/>
        </w:tabs>
        <w:rPr>
          <w:sz w:val="20"/>
          <w:szCs w:val="20"/>
          <w:color w:val="auto"/>
        </w:rPr>
      </w:pPr>
      <w:r>
        <w:rPr>
          <w:rFonts w:ascii="Arial" w:cs="Arial" w:eastAsia="Arial" w:hAnsi="Arial"/>
          <w:sz w:val="16"/>
          <w:szCs w:val="16"/>
          <w:b w:val="1"/>
          <w:bCs w:val="1"/>
          <w:color w:val="auto"/>
        </w:rPr>
        <w:t>Dividend Equivalents:</w:t>
      </w:r>
      <w:r>
        <w:rPr>
          <w:sz w:val="20"/>
          <w:szCs w:val="20"/>
          <w:color w:val="auto"/>
        </w:rPr>
        <w:tab/>
      </w:r>
      <w:r>
        <w:rPr>
          <w:rFonts w:ascii="Arial" w:cs="Arial" w:eastAsia="Arial" w:hAnsi="Arial"/>
          <w:sz w:val="14"/>
          <w:szCs w:val="14"/>
          <w:color w:val="auto"/>
        </w:rPr>
        <w:t>You also have been awarded dividend equivalents with respect to your restricted stock units. Your dividend equivalents represent the right to receive additional shares of Common Stock in the future, subject to the terms and conditions of your award. Your dividend equivalents will be determined based on the dividends that you would have received, had you held shares of Common Stock equal to the vested number of your restricted stock units from the date of your award to the date of the distribution of shares of Common Stock following the vesting of your restricted stock units, and assuming that the dividends were reinvested in Common Stock (and any dividends on such shares were reinvested in Common Stock). The dividends will be deemed reinvested in Common Stock in the same manner as dividends reinvested pursuant to the terms of the Sempra Dividend Reinvestment Plan.</w:t>
      </w:r>
    </w:p>
    <w:p>
      <w:pPr>
        <w:spacing w:after="0" w:line="70" w:lineRule="exact"/>
        <w:rPr>
          <w:sz w:val="20"/>
          <w:szCs w:val="20"/>
          <w:color w:val="auto"/>
        </w:rPr>
      </w:pPr>
    </w:p>
    <w:p>
      <w:pPr>
        <w:jc w:val="both"/>
        <w:ind w:left="3120" w:right="959"/>
        <w:spacing w:after="0" w:line="253" w:lineRule="auto"/>
        <w:rPr>
          <w:sz w:val="20"/>
          <w:szCs w:val="20"/>
          <w:color w:val="auto"/>
        </w:rPr>
      </w:pPr>
      <w:r>
        <w:rPr>
          <w:rFonts w:ascii="Arial" w:cs="Arial" w:eastAsia="Arial" w:hAnsi="Arial"/>
          <w:sz w:val="16"/>
          <w:szCs w:val="16"/>
          <w:color w:val="auto"/>
        </w:rPr>
        <w:t>Your dividend equivalents will be subject to the same transfer restrictions and forfeiture and vesting conditions as your restricted stock units. They will vest when your restricted stock units vest.</w:t>
      </w:r>
    </w:p>
    <w:p>
      <w:pPr>
        <w:spacing w:after="0" w:line="90" w:lineRule="exact"/>
        <w:rPr>
          <w:sz w:val="20"/>
          <w:szCs w:val="20"/>
          <w:color w:val="auto"/>
        </w:rPr>
      </w:pPr>
    </w:p>
    <w:p>
      <w:pPr>
        <w:ind w:left="3120" w:right="959"/>
        <w:spacing w:after="0" w:line="285" w:lineRule="auto"/>
        <w:rPr>
          <w:sz w:val="20"/>
          <w:szCs w:val="20"/>
          <w:color w:val="auto"/>
        </w:rPr>
      </w:pPr>
      <w:r>
        <w:rPr>
          <w:rFonts w:ascii="Arial" w:cs="Arial" w:eastAsia="Arial" w:hAnsi="Arial"/>
          <w:sz w:val="14"/>
          <w:szCs w:val="14"/>
          <w:color w:val="auto"/>
        </w:rPr>
        <w:t>Also, your restricted stock units (and dividend equivalents) will be adjusted to reflect stock dividends on shares of Common Stock or as the result of a stock-split, recapitalization, reorganization or other similar transaction in accordance with the terms and conditions of the 2008 Long Term Incentive Plan. Any additional restricted stock units (and dividend equivalents) awarded to you as a result of such an adjustment also will be subject to the same transfer restrictions, forfeiture and vesting conditions and other terms and conditions that are applicable to your restricted stock units.</w:t>
      </w:r>
    </w:p>
    <w:p>
      <w:pPr>
        <w:spacing w:after="0" w:line="58" w:lineRule="exact"/>
        <w:rPr>
          <w:sz w:val="20"/>
          <w:szCs w:val="20"/>
          <w:color w:val="auto"/>
        </w:rPr>
      </w:pPr>
    </w:p>
    <w:p>
      <w:pPr>
        <w:ind w:left="3120" w:right="1219" w:hanging="2180"/>
        <w:spacing w:after="0" w:line="268" w:lineRule="auto"/>
        <w:tabs>
          <w:tab w:leader="none" w:pos="3100" w:val="left"/>
        </w:tabs>
        <w:rPr>
          <w:sz w:val="20"/>
          <w:szCs w:val="20"/>
          <w:color w:val="auto"/>
        </w:rPr>
      </w:pPr>
      <w:r>
        <w:rPr>
          <w:rFonts w:ascii="Arial" w:cs="Arial" w:eastAsia="Arial" w:hAnsi="Arial"/>
          <w:sz w:val="16"/>
          <w:szCs w:val="16"/>
          <w:b w:val="1"/>
          <w:bCs w:val="1"/>
          <w:color w:val="auto"/>
        </w:rPr>
        <w:t>No Shareholder Rights:</w:t>
      </w:r>
      <w:r>
        <w:rPr>
          <w:sz w:val="20"/>
          <w:szCs w:val="20"/>
          <w:color w:val="auto"/>
        </w:rPr>
        <w:tab/>
      </w:r>
      <w:r>
        <w:rPr>
          <w:rFonts w:ascii="Arial" w:cs="Arial" w:eastAsia="Arial" w:hAnsi="Arial"/>
          <w:sz w:val="15"/>
          <w:szCs w:val="15"/>
          <w:color w:val="auto"/>
        </w:rPr>
        <w:t>Your restricted stock units (and dividend equivalents) are not shares of Common Stock. You will have no rights as a shareholder unless and until shares of Common Stock are issued to you following the vesting of your restricted stock units (and dividend equivalents) as provided in this Agreement and the 2008 Long Term Incentive Plan.</w:t>
      </w:r>
    </w:p>
    <w:p>
      <w:pPr>
        <w:spacing w:after="0" w:line="71" w:lineRule="exact"/>
        <w:rPr>
          <w:sz w:val="20"/>
          <w:szCs w:val="20"/>
          <w:color w:val="auto"/>
        </w:rPr>
      </w:pPr>
    </w:p>
    <w:p>
      <w:pPr>
        <w:ind w:left="3120" w:right="1119" w:hanging="2180"/>
        <w:spacing w:after="0" w:line="250" w:lineRule="auto"/>
        <w:tabs>
          <w:tab w:leader="none" w:pos="3100" w:val="left"/>
        </w:tabs>
        <w:rPr>
          <w:sz w:val="20"/>
          <w:szCs w:val="20"/>
          <w:color w:val="auto"/>
        </w:rPr>
      </w:pPr>
      <w:r>
        <w:rPr>
          <w:rFonts w:ascii="Arial" w:cs="Arial" w:eastAsia="Arial" w:hAnsi="Arial"/>
          <w:sz w:val="16"/>
          <w:szCs w:val="16"/>
          <w:b w:val="1"/>
          <w:bCs w:val="1"/>
          <w:color w:val="auto"/>
        </w:rPr>
        <w:t>Distribution of Shares:</w:t>
      </w:r>
      <w:r>
        <w:rPr>
          <w:sz w:val="20"/>
          <w:szCs w:val="20"/>
          <w:color w:val="auto"/>
        </w:rPr>
        <w:tab/>
      </w:r>
      <w:r>
        <w:rPr>
          <w:rFonts w:ascii="Arial" w:cs="Arial" w:eastAsia="Arial" w:hAnsi="Arial"/>
          <w:sz w:val="16"/>
          <w:szCs w:val="16"/>
          <w:color w:val="auto"/>
        </w:rPr>
        <w:t>As described in “Vesting/Forfeiture” above, the Compensation Committee will determine and certify the extent to which Sempra Energy has met the performance criteria and the extent, if any, as to which your restricted stock units have then vested.</w:t>
      </w:r>
    </w:p>
    <w:p>
      <w:pPr>
        <w:spacing w:after="0" w:line="85" w:lineRule="exact"/>
        <w:rPr>
          <w:sz w:val="20"/>
          <w:szCs w:val="20"/>
          <w:color w:val="auto"/>
        </w:rPr>
      </w:pPr>
    </w:p>
    <w:p>
      <w:pPr>
        <w:ind w:left="3120" w:right="999"/>
        <w:spacing w:after="0" w:line="285" w:lineRule="auto"/>
        <w:rPr>
          <w:sz w:val="20"/>
          <w:szCs w:val="20"/>
          <w:color w:val="auto"/>
        </w:rPr>
      </w:pPr>
      <w:r>
        <w:rPr>
          <w:rFonts w:ascii="Arial" w:cs="Arial" w:eastAsia="Arial" w:hAnsi="Arial"/>
          <w:sz w:val="14"/>
          <w:szCs w:val="14"/>
          <w:color w:val="auto"/>
        </w:rPr>
        <w:t>You will receive the number of shares of Common Stock equal to the number of your restricted stock units that have vested. However, in no event will you receive under this award, and other awards granted to you under the 2008 Long Term Incentive Plan in the same fiscal year of Sempra Energy, more than the maximum number of shares of Common Stock permitted under the 2008 Long Term Incentive Plan. Also, you will receive the number of shares of Common Stock equal to your dividend equivalents after the Compensation Committee’s determination and certification.</w:t>
      </w:r>
    </w:p>
    <w:p>
      <w:pPr>
        <w:spacing w:after="0" w:line="73" w:lineRule="exact"/>
        <w:rPr>
          <w:sz w:val="20"/>
          <w:szCs w:val="20"/>
          <w:color w:val="auto"/>
        </w:rPr>
      </w:pPr>
    </w:p>
    <w:p>
      <w:pPr>
        <w:ind w:left="3120" w:right="939"/>
        <w:spacing w:after="0" w:line="297" w:lineRule="auto"/>
        <w:rPr>
          <w:sz w:val="20"/>
          <w:szCs w:val="20"/>
          <w:color w:val="auto"/>
        </w:rPr>
      </w:pPr>
      <w:r>
        <w:rPr>
          <w:rFonts w:ascii="Arial" w:cs="Arial" w:eastAsia="Arial" w:hAnsi="Arial"/>
          <w:sz w:val="14"/>
          <w:szCs w:val="14"/>
          <w:color w:val="auto"/>
        </w:rPr>
        <w:t>You will receive the shares as soon as practicable following the Compensation Committee’s determination and certification (and in no event later than March 15, 2015). Once you receive the shares of Common Stock, your vested and unvested restricted stock units (and dividend equivalents) will terminate.</w:t>
      </w:r>
    </w:p>
    <w:p>
      <w:pPr>
        <w:spacing w:after="0" w:line="47"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Termination of Employment:</w:t>
      </w:r>
    </w:p>
    <w:p>
      <w:pPr>
        <w:spacing w:after="0" w:line="109" w:lineRule="exact"/>
        <w:rPr>
          <w:sz w:val="20"/>
          <w:szCs w:val="20"/>
          <w:color w:val="auto"/>
        </w:rPr>
      </w:pPr>
    </w:p>
    <w:p>
      <w:pPr>
        <w:ind w:left="3120" w:right="919" w:hanging="1951"/>
        <w:spacing w:after="0" w:line="246" w:lineRule="auto"/>
        <w:tabs>
          <w:tab w:leader="none" w:pos="1299" w:val="left"/>
        </w:tabs>
        <w:numPr>
          <w:ilvl w:val="0"/>
          <w:numId w:val="60"/>
        </w:numPr>
        <w:rPr>
          <w:rFonts w:ascii="Arial" w:cs="Arial" w:eastAsia="Arial" w:hAnsi="Arial"/>
          <w:sz w:val="16"/>
          <w:szCs w:val="16"/>
          <w:i w:val="1"/>
          <w:iCs w:val="1"/>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If your employment with Sempra Energy and its subsidiaries terminates for any reason prior to the vesting of your restricted stock units (and dividend equivalents) (other than under the circumstances set forth in the next paragraph), all of your restricted stock units (and dividend equivalents) will be forfeited. The vesting of your restricted stock units does not occur until the date of the Compensation Committee’s determination and certification described above.</w:t>
      </w:r>
    </w:p>
    <w:p>
      <w:pPr>
        <w:spacing w:after="0" w:line="86" w:lineRule="exact"/>
        <w:rPr>
          <w:sz w:val="20"/>
          <w:szCs w:val="20"/>
          <w:color w:val="auto"/>
        </w:rPr>
      </w:pPr>
    </w:p>
    <w:p>
      <w:pPr>
        <w:jc w:val="both"/>
        <w:ind w:left="3120" w:right="979"/>
        <w:spacing w:after="0" w:line="278" w:lineRule="auto"/>
        <w:rPr>
          <w:sz w:val="20"/>
          <w:szCs w:val="20"/>
          <w:color w:val="auto"/>
        </w:rPr>
      </w:pPr>
      <w:r>
        <w:rPr>
          <w:rFonts w:ascii="Arial" w:cs="Arial" w:eastAsia="Arial" w:hAnsi="Arial"/>
          <w:sz w:val="15"/>
          <w:szCs w:val="15"/>
          <w:color w:val="auto"/>
        </w:rPr>
        <w:t>If your employment terminates, other than by Termination for Cause, and you had both completed five years of continuous service with Sempra Energy and its subsidiaries AND met any of the following conditions:</w:t>
      </w:r>
    </w:p>
    <w:p>
      <w:pPr>
        <w:spacing w:after="0" w:line="72" w:lineRule="exact"/>
        <w:rPr>
          <w:sz w:val="20"/>
          <w:szCs w:val="20"/>
          <w:color w:val="auto"/>
        </w:rPr>
      </w:pPr>
    </w:p>
    <w:p>
      <w:pPr>
        <w:ind w:left="3620" w:right="1019" w:hanging="247"/>
        <w:spacing w:after="0" w:line="265" w:lineRule="auto"/>
        <w:rPr>
          <w:sz w:val="20"/>
          <w:szCs w:val="20"/>
          <w:color w:val="auto"/>
        </w:rPr>
      </w:pPr>
      <w:r>
        <w:rPr>
          <w:rFonts w:ascii="Arial" w:cs="Arial" w:eastAsia="Arial" w:hAnsi="Arial"/>
          <w:sz w:val="16"/>
          <w:szCs w:val="16"/>
          <w:color w:val="auto"/>
        </w:rPr>
        <w:t>1.) your employment terminates after December 31, 2011 and at the date of termination you had attained age 55; or</w:t>
      </w:r>
    </w:p>
    <w:p>
      <w:pPr>
        <w:spacing w:after="0" w:line="69" w:lineRule="exact"/>
        <w:rPr>
          <w:sz w:val="20"/>
          <w:szCs w:val="20"/>
          <w:color w:val="auto"/>
        </w:rPr>
      </w:pPr>
    </w:p>
    <w:p>
      <w:pPr>
        <w:ind w:left="3620" w:right="999" w:hanging="247"/>
        <w:spacing w:after="0" w:line="265" w:lineRule="auto"/>
        <w:rPr>
          <w:sz w:val="20"/>
          <w:szCs w:val="20"/>
          <w:color w:val="auto"/>
        </w:rPr>
      </w:pPr>
      <w:r>
        <w:rPr>
          <w:rFonts w:ascii="Arial" w:cs="Arial" w:eastAsia="Arial" w:hAnsi="Arial"/>
          <w:sz w:val="16"/>
          <w:szCs w:val="16"/>
          <w:color w:val="auto"/>
        </w:rPr>
        <w:t>2.) your employment terminates after November 30, 2011 and at the date of termination you had attained age 62; or</w:t>
      </w:r>
    </w:p>
    <w:p>
      <w:pPr>
        <w:spacing w:after="0" w:line="69" w:lineRule="exact"/>
        <w:rPr>
          <w:sz w:val="20"/>
          <w:szCs w:val="20"/>
          <w:color w:val="auto"/>
        </w:rPr>
      </w:pPr>
    </w:p>
    <w:p>
      <w:pPr>
        <w:ind w:left="3360"/>
        <w:spacing w:after="0"/>
        <w:rPr>
          <w:sz w:val="20"/>
          <w:szCs w:val="20"/>
          <w:color w:val="auto"/>
        </w:rPr>
      </w:pPr>
      <w:r>
        <w:rPr>
          <w:rFonts w:ascii="Arial" w:cs="Arial" w:eastAsia="Arial" w:hAnsi="Arial"/>
          <w:sz w:val="15"/>
          <w:szCs w:val="15"/>
          <w:color w:val="auto"/>
        </w:rPr>
        <w:t>3.) at the date of termination you had attained age 65 and you were an</w:t>
      </w:r>
    </w:p>
    <w:p>
      <w:pPr>
        <w:spacing w:after="0" w:line="28"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officer subject to the company’s mandatory retirement policy;</w:t>
      </w:r>
    </w:p>
    <w:p>
      <w:pPr>
        <w:sectPr>
          <w:pgSz w:w="11900" w:h="16838" w:orient="portrait"/>
          <w:cols w:equalWidth="0" w:num="1">
            <w:col w:w="9019"/>
          </w:cols>
          <w:pgMar w:left="1440" w:top="129" w:right="1440" w:bottom="0" w:gutter="0" w:footer="0" w:header="0"/>
        </w:sectPr>
      </w:pPr>
    </w:p>
    <w:bookmarkStart w:id="62" w:name="page63"/>
    <w:bookmarkEnd w:id="62"/>
    <w:p>
      <w:pPr>
        <w:spacing w:after="0" w:line="109" w:lineRule="exact"/>
        <w:rPr>
          <w:sz w:val="20"/>
          <w:szCs w:val="20"/>
          <w:color w:val="auto"/>
        </w:rPr>
      </w:pPr>
    </w:p>
    <w:p>
      <w:pPr>
        <w:ind w:left="3120" w:right="999"/>
        <w:spacing w:after="0" w:line="253" w:lineRule="auto"/>
        <w:rPr>
          <w:sz w:val="20"/>
          <w:szCs w:val="20"/>
          <w:color w:val="auto"/>
        </w:rPr>
      </w:pPr>
      <w:r>
        <w:rPr>
          <w:rFonts w:ascii="Arial" w:cs="Arial" w:eastAsia="Arial" w:hAnsi="Arial"/>
          <w:sz w:val="16"/>
          <w:szCs w:val="16"/>
          <w:color w:val="auto"/>
        </w:rPr>
        <w:t>your restricted stock units (and dividend equivalents) will not be forfeited but will continue to be subject to the transfer restrictions and vesting conditions and other terms and conditions of this Agreement</w:t>
      </w:r>
    </w:p>
    <w:p>
      <w:pPr>
        <w:spacing w:after="0" w:line="80" w:lineRule="exact"/>
        <w:rPr>
          <w:sz w:val="20"/>
          <w:szCs w:val="20"/>
          <w:color w:val="auto"/>
        </w:rPr>
      </w:pPr>
    </w:p>
    <w:p>
      <w:pPr>
        <w:ind w:left="3120" w:right="999" w:hanging="2075"/>
        <w:spacing w:after="0" w:line="297" w:lineRule="auto"/>
        <w:tabs>
          <w:tab w:leader="none" w:pos="1175"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Termination for Cause:</w:t>
      </w:r>
      <w:r>
        <w:rPr>
          <w:rFonts w:ascii="Arial" w:cs="Arial" w:eastAsia="Arial" w:hAnsi="Arial"/>
          <w:sz w:val="14"/>
          <w:szCs w:val="14"/>
          <w:color w:val="auto"/>
        </w:rPr>
        <w:t>If your employment with Sempra Energy and its subsidiaries terminates for cause, or your employment would have been subject to termination for cause, prior to the vesting of your restricted stock units (and dividend equivalents), all of your restricted stock units (and dividend equivalents) will be cancelled.</w:t>
      </w:r>
    </w:p>
    <w:p>
      <w:pPr>
        <w:spacing w:after="0" w:line="51" w:lineRule="exact"/>
        <w:rPr>
          <w:sz w:val="20"/>
          <w:szCs w:val="20"/>
          <w:color w:val="auto"/>
        </w:rPr>
      </w:pPr>
    </w:p>
    <w:p>
      <w:pPr>
        <w:ind w:left="3120" w:right="959"/>
        <w:spacing w:after="0" w:line="262" w:lineRule="auto"/>
        <w:rPr>
          <w:sz w:val="20"/>
          <w:szCs w:val="20"/>
          <w:color w:val="auto"/>
        </w:rPr>
      </w:pPr>
      <w:r>
        <w:rPr>
          <w:rFonts w:ascii="Arial" w:cs="Arial" w:eastAsia="Arial" w:hAnsi="Arial"/>
          <w:sz w:val="15"/>
          <w:szCs w:val="15"/>
          <w:color w:val="auto"/>
        </w:rPr>
        <w:t>A termination for cause is (i) the willful failure by you to substantially perform your duties with the Company (other than any such failure resulting from your incapacity due to physical or mental illness, (ii) the grossly negligent performance of such obligations referenced in clause (i) of this definition, (iii) your gross insubordination; and/or (iv) your commission of one or more acts of moral turpitude that constitute a violation of applicable law (including but not limited to a felony) which have or result in an adverse effect on the Company, monetarily or otherwise, or one or more significant acts of dishonesty. For purposes of clause (i), no act, or failure to act, on your part shall be deemed “willful” unless done, or omitted to be done, by you not in good faith and without reasonable belief that your act, or failure to act, was in the best interests of the Company.”</w:t>
      </w:r>
    </w:p>
    <w:p>
      <w:pPr>
        <w:spacing w:after="0" w:line="76" w:lineRule="exact"/>
        <w:rPr>
          <w:sz w:val="20"/>
          <w:szCs w:val="20"/>
          <w:color w:val="auto"/>
        </w:rPr>
      </w:pPr>
    </w:p>
    <w:p>
      <w:pPr>
        <w:ind w:left="3120" w:right="939" w:hanging="2075"/>
        <w:spacing w:after="0" w:line="287" w:lineRule="auto"/>
        <w:tabs>
          <w:tab w:leader="none" w:pos="1175" w:val="left"/>
        </w:tabs>
        <w:numPr>
          <w:ilvl w:val="0"/>
          <w:numId w:val="62"/>
        </w:numPr>
        <w:rPr>
          <w:rFonts w:ascii="Arial" w:cs="Arial" w:eastAsia="Arial" w:hAnsi="Arial"/>
          <w:sz w:val="16"/>
          <w:szCs w:val="16"/>
          <w:i w:val="1"/>
          <w:iCs w:val="1"/>
          <w:color w:val="auto"/>
        </w:rPr>
      </w:pPr>
      <w:r>
        <w:rPr>
          <w:rFonts w:ascii="Arial" w:cs="Arial" w:eastAsia="Arial" w:hAnsi="Arial"/>
          <w:sz w:val="16"/>
          <w:szCs w:val="16"/>
          <w:i w:val="1"/>
          <w:iCs w:val="1"/>
          <w:color w:val="auto"/>
        </w:rPr>
        <w:t>Leaves of Absence:</w:t>
      </w:r>
      <w:r>
        <w:rPr>
          <w:rFonts w:ascii="Arial" w:cs="Arial" w:eastAsia="Arial" w:hAnsi="Arial"/>
          <w:sz w:val="14"/>
          <w:szCs w:val="14"/>
          <w:color w:val="auto"/>
        </w:rPr>
        <w:t xml:space="preserve">Your employment does not terminate when you go on military leave, a sick leave or another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leave of absence, if the leave was approved by your employer in writing. But your employment will be treated as terminating 90 days after you went on leave, unless your right to return to active work is guaranteed by law or by a contract. And your employment terminates in any event when the approved leave ends, unless you immediately return to active work. Your employer determines which leaves count for this purpose.</w:t>
      </w:r>
    </w:p>
    <w:p>
      <w:pPr>
        <w:sectPr>
          <w:pgSz w:w="11900" w:h="16947" w:orient="portrait"/>
          <w:cols w:equalWidth="0" w:num="1">
            <w:col w:w="9019"/>
          </w:cols>
          <w:pgMar w:left="1440" w:top="129" w:right="1440" w:bottom="0" w:gutter="0" w:footer="0" w:header="0"/>
        </w:sectPr>
      </w:pPr>
    </w:p>
    <w:p>
      <w:pPr>
        <w:spacing w:after="0" w:line="54" w:lineRule="exact"/>
        <w:rPr>
          <w:sz w:val="20"/>
          <w:szCs w:val="20"/>
          <w:color w:val="auto"/>
        </w:rPr>
      </w:pPr>
    </w:p>
    <w:p>
      <w:pPr>
        <w:ind w:left="940"/>
        <w:spacing w:after="0"/>
        <w:rPr>
          <w:sz w:val="20"/>
          <w:szCs w:val="20"/>
          <w:color w:val="auto"/>
        </w:rPr>
      </w:pPr>
      <w:r>
        <w:rPr>
          <w:rFonts w:ascii="Arial" w:cs="Arial" w:eastAsia="Arial" w:hAnsi="Arial"/>
          <w:sz w:val="12"/>
          <w:szCs w:val="12"/>
          <w:b w:val="1"/>
          <w:bCs w:val="1"/>
          <w:color w:val="auto"/>
        </w:rPr>
        <w:t>Taxes:</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939"/>
        <w:spacing w:after="0" w:line="289" w:lineRule="auto"/>
        <w:rPr>
          <w:sz w:val="20"/>
          <w:szCs w:val="20"/>
          <w:color w:val="auto"/>
        </w:rPr>
      </w:pPr>
      <w:r>
        <w:rPr>
          <w:rFonts w:ascii="Arial" w:cs="Arial" w:eastAsia="Arial" w:hAnsi="Arial"/>
          <w:sz w:val="14"/>
          <w:szCs w:val="14"/>
          <w:i w:val="1"/>
          <w:iCs w:val="1"/>
          <w:color w:val="auto"/>
        </w:rPr>
        <w:t>The following is a general summary of the federal income tax consequences of your Restricted Stock Unit Award. The summary may not cover your particular circumstances because it does not consider foreign, state, local or other tax laws and does not describe future changes in tax rules. You are urged to consult your tax advisor regarding the specific tax consequences applicable to you rather than relying on this general summary.</w:t>
      </w:r>
    </w:p>
    <w:p>
      <w:pPr>
        <w:spacing w:after="0" w:line="56" w:lineRule="exact"/>
        <w:rPr>
          <w:sz w:val="20"/>
          <w:szCs w:val="20"/>
          <w:color w:val="auto"/>
        </w:rPr>
      </w:pPr>
    </w:p>
    <w:p>
      <w:pPr>
        <w:sectPr>
          <w:pgSz w:w="11900" w:h="16947" w:orient="portrait"/>
          <w:cols w:equalWidth="0" w:num="2">
            <w:col w:w="2400" w:space="720"/>
            <w:col w:w="5899"/>
          </w:cols>
          <w:pgMar w:left="1440" w:top="129" w:right="1440" w:bottom="0" w:gutter="0" w:footer="0" w:header="0"/>
          <w:type w:val="continuous"/>
        </w:sectPr>
      </w:pPr>
    </w:p>
    <w:p>
      <w:pPr>
        <w:jc w:val="center"/>
        <w:ind w:left="740"/>
        <w:spacing w:after="0"/>
        <w:rPr>
          <w:sz w:val="20"/>
          <w:szCs w:val="20"/>
          <w:color w:val="auto"/>
        </w:rPr>
      </w:pPr>
      <w:r>
        <w:rPr>
          <w:rFonts w:ascii="Arial" w:cs="Arial" w:eastAsia="Arial" w:hAnsi="Arial"/>
          <w:sz w:val="15"/>
          <w:szCs w:val="15"/>
          <w:i w:val="1"/>
          <w:iCs w:val="1"/>
          <w:color w:val="auto"/>
        </w:rPr>
        <w:t>§ Generally:</w:t>
      </w:r>
    </w:p>
    <w:p>
      <w:pPr>
        <w:spacing w:after="0" w:line="20" w:lineRule="exact"/>
        <w:rPr>
          <w:sz w:val="20"/>
          <w:szCs w:val="20"/>
          <w:color w:val="auto"/>
        </w:rPr>
      </w:pPr>
      <w:r>
        <w:rPr>
          <w:sz w:val="20"/>
          <w:szCs w:val="20"/>
          <w:color w:val="auto"/>
        </w:rPr>
        <w:br w:type="column"/>
      </w:r>
    </w:p>
    <w:p>
      <w:pPr>
        <w:jc w:val="both"/>
        <w:ind w:right="1299"/>
        <w:spacing w:after="0" w:line="253" w:lineRule="auto"/>
        <w:rPr>
          <w:sz w:val="20"/>
          <w:szCs w:val="20"/>
          <w:color w:val="auto"/>
        </w:rPr>
      </w:pPr>
      <w:r>
        <w:rPr>
          <w:rFonts w:ascii="Arial" w:cs="Arial" w:eastAsia="Arial" w:hAnsi="Arial"/>
          <w:sz w:val="16"/>
          <w:szCs w:val="16"/>
          <w:color w:val="auto"/>
        </w:rPr>
        <w:t>You will not be subject to federal income taxes on your award until you receive shares of Common Stock following the vesting of your restricted stock units.</w:t>
      </w:r>
    </w:p>
    <w:p>
      <w:pPr>
        <w:spacing w:after="0" w:line="111" w:lineRule="exact"/>
        <w:rPr>
          <w:sz w:val="20"/>
          <w:szCs w:val="20"/>
          <w:color w:val="auto"/>
        </w:rPr>
      </w:pPr>
    </w:p>
    <w:p>
      <w:pPr>
        <w:sectPr>
          <w:pgSz w:w="11900" w:h="16947" w:orient="portrait"/>
          <w:cols w:equalWidth="0" w:num="2">
            <w:col w:w="2400" w:space="720"/>
            <w:col w:w="5899"/>
          </w:cols>
          <w:pgMar w:left="1440" w:top="129" w:right="1440" w:bottom="0" w:gutter="0" w:footer="0" w:header="0"/>
          <w:type w:val="continuous"/>
        </w:sectPr>
      </w:pPr>
    </w:p>
    <w:p>
      <w:pPr>
        <w:ind w:left="3120" w:right="1079"/>
        <w:spacing w:after="0" w:line="298" w:lineRule="auto"/>
        <w:rPr>
          <w:sz w:val="20"/>
          <w:szCs w:val="20"/>
          <w:color w:val="auto"/>
        </w:rPr>
      </w:pPr>
      <w:r>
        <w:rPr>
          <w:rFonts w:ascii="Arial" w:cs="Arial" w:eastAsia="Arial" w:hAnsi="Arial"/>
          <w:sz w:val="15"/>
          <w:szCs w:val="15"/>
          <w:color w:val="auto"/>
        </w:rPr>
        <w:t>When you receive your shares, you will realize taxable income based on the fair market value of the shares at the time you receive the shares.</w:t>
      </w:r>
    </w:p>
    <w:p>
      <w:pPr>
        <w:spacing w:after="0" w:line="78" w:lineRule="exact"/>
        <w:rPr>
          <w:sz w:val="20"/>
          <w:szCs w:val="20"/>
          <w:color w:val="auto"/>
        </w:rPr>
      </w:pPr>
    </w:p>
    <w:p>
      <w:pPr>
        <w:ind w:left="3120" w:right="1099"/>
        <w:spacing w:after="0" w:line="253" w:lineRule="auto"/>
        <w:rPr>
          <w:sz w:val="20"/>
          <w:szCs w:val="20"/>
          <w:color w:val="auto"/>
        </w:rPr>
      </w:pPr>
      <w:r>
        <w:rPr>
          <w:rFonts w:ascii="Arial" w:cs="Arial" w:eastAsia="Arial" w:hAnsi="Arial"/>
          <w:sz w:val="16"/>
          <w:szCs w:val="16"/>
          <w:color w:val="auto"/>
        </w:rPr>
        <w:t>When you sell your shares you may also realize taxable gain (or loss) based upon the difference between the sales price and the amount that you have previously recognized as income.</w:t>
      </w:r>
    </w:p>
    <w:p>
      <w:pPr>
        <w:sectPr>
          <w:pgSz w:w="11900" w:h="16947" w:orient="portrait"/>
          <w:cols w:equalWidth="0" w:num="1">
            <w:col w:w="9019"/>
          </w:cols>
          <w:pgMar w:left="1440" w:top="129" w:right="1440" w:bottom="0" w:gutter="0" w:footer="0" w:header="0"/>
          <w:type w:val="continuous"/>
        </w:sectPr>
      </w:pPr>
    </w:p>
    <w:p>
      <w:pPr>
        <w:spacing w:after="0" w:line="80" w:lineRule="exact"/>
        <w:rPr>
          <w:sz w:val="20"/>
          <w:szCs w:val="20"/>
          <w:color w:val="auto"/>
        </w:rPr>
      </w:pPr>
    </w:p>
    <w:p>
      <w:pPr>
        <w:ind w:left="3120" w:right="939" w:hanging="1951"/>
        <w:spacing w:after="0" w:line="245" w:lineRule="auto"/>
        <w:tabs>
          <w:tab w:leader="none" w:pos="1299"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Withholding Taxes:</w:t>
      </w:r>
      <w:r>
        <w:rPr>
          <w:rFonts w:ascii="Arial" w:cs="Arial" w:eastAsia="Arial" w:hAnsi="Arial"/>
          <w:sz w:val="16"/>
          <w:szCs w:val="16"/>
          <w:color w:val="auto"/>
        </w:rPr>
        <w:t>When you become subject to income taxes upon your receipt of the shares of Common Stock, Sempra Energy or its subsidiary is required to withhold taxes. Unless you instruct otherwise and pay or make arrangements satisfactory to Sempra Energy to pay these taxes, upon the distribution of your shares, Sempra Energy will withhold a sufficient number of the shares (valued at the distribution date fair market value) to cover the minimum required withholding taxes and transfer to you only the remaining balance of your shares.</w:t>
      </w:r>
    </w:p>
    <w:p>
      <w:pPr>
        <w:sectPr>
          <w:pgSz w:w="11900" w:h="16947" w:orient="portrait"/>
          <w:cols w:equalWidth="0" w:num="1">
            <w:col w:w="9019"/>
          </w:cols>
          <w:pgMar w:left="1440" w:top="129" w:right="1440" w:bottom="0" w:gutter="0" w:footer="0" w:header="0"/>
          <w:type w:val="continuous"/>
        </w:sectPr>
      </w:pPr>
    </w:p>
    <w:p>
      <w:pPr>
        <w:spacing w:after="0" w:line="65"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Recoupment (“Clawback”)</w:t>
      </w:r>
    </w:p>
    <w:p>
      <w:pPr>
        <w:spacing w:after="0" w:line="43"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Policy:</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right="939"/>
        <w:spacing w:after="0" w:line="264" w:lineRule="auto"/>
        <w:rPr>
          <w:sz w:val="20"/>
          <w:szCs w:val="20"/>
          <w:color w:val="auto"/>
        </w:rPr>
      </w:pPr>
      <w:r>
        <w:rPr>
          <w:rFonts w:ascii="Arial" w:cs="Arial" w:eastAsia="Arial" w:hAnsi="Arial"/>
          <w:sz w:val="15"/>
          <w:szCs w:val="15"/>
          <w:color w:val="auto"/>
        </w:rPr>
        <w:t>The Company shall require the forfeiture, recovery or reimbursement of awards or compensation under this Plan as (i) required by applicable law, or (ii) required under any policy implemented or maintained by the Company pursuant to any applicable rules or requirements of a national securities exchange or national securities association on which any securities of the Company are listed. The Company reserves the right to recoup compensation paid if it determines that the results on which the compensation was paid were not actually achieved.</w:t>
      </w:r>
    </w:p>
    <w:p>
      <w:pPr>
        <w:spacing w:after="0" w:line="43" w:lineRule="exact"/>
        <w:rPr>
          <w:sz w:val="20"/>
          <w:szCs w:val="20"/>
          <w:color w:val="auto"/>
        </w:rPr>
      </w:pPr>
    </w:p>
    <w:p>
      <w:pPr>
        <w:sectPr>
          <w:pgSz w:w="11900" w:h="16947" w:orient="portrait"/>
          <w:cols w:equalWidth="0" w:num="2">
            <w:col w:w="2800" w:space="320"/>
            <w:col w:w="5899"/>
          </w:cols>
          <w:pgMar w:left="1440" w:top="129" w:right="1440" w:bottom="0" w:gutter="0" w:footer="0" w:header="0"/>
          <w:type w:val="continuous"/>
        </w:sectPr>
      </w:pPr>
    </w:p>
    <w:p>
      <w:pPr>
        <w:ind w:left="3120" w:right="959"/>
        <w:spacing w:after="0" w:line="297" w:lineRule="auto"/>
        <w:rPr>
          <w:sz w:val="20"/>
          <w:szCs w:val="20"/>
          <w:color w:val="auto"/>
        </w:rPr>
      </w:pPr>
      <w:r>
        <w:rPr>
          <w:rFonts w:ascii="Arial" w:cs="Arial" w:eastAsia="Arial" w:hAnsi="Arial"/>
          <w:sz w:val="14"/>
          <w:szCs w:val="14"/>
          <w:color w:val="auto"/>
        </w:rPr>
        <w:t>The Compensation Committee may, in its sole discretion, require the recovery or reimbursement of long-term incentive compensation awards from any employee whose fraudulent or intentional misconduct materially affects the operations or financial results of the Company or its subsidiaries.</w:t>
      </w:r>
    </w:p>
    <w:p>
      <w:pPr>
        <w:sectPr>
          <w:pgSz w:w="11900" w:h="16947" w:orient="portrait"/>
          <w:cols w:equalWidth="0" w:num="1">
            <w:col w:w="9019"/>
          </w:cols>
          <w:pgMar w:left="1440" w:top="129" w:right="1440" w:bottom="0" w:gutter="0" w:footer="0" w:header="0"/>
          <w:type w:val="continuous"/>
        </w:sectPr>
      </w:pPr>
    </w:p>
    <w:p>
      <w:pPr>
        <w:spacing w:after="0" w:line="26" w:lineRule="exact"/>
        <w:rPr>
          <w:sz w:val="20"/>
          <w:szCs w:val="20"/>
          <w:color w:val="auto"/>
        </w:rPr>
      </w:pPr>
    </w:p>
    <w:p>
      <w:pPr>
        <w:jc w:val="center"/>
        <w:ind w:left="660"/>
        <w:spacing w:after="0"/>
        <w:rPr>
          <w:sz w:val="20"/>
          <w:szCs w:val="20"/>
          <w:color w:val="auto"/>
        </w:rPr>
      </w:pPr>
      <w:r>
        <w:rPr>
          <w:rFonts w:ascii="Arial" w:cs="Arial" w:eastAsia="Arial" w:hAnsi="Arial"/>
          <w:sz w:val="14"/>
          <w:szCs w:val="14"/>
          <w:b w:val="1"/>
          <w:bCs w:val="1"/>
          <w:color w:val="auto"/>
        </w:rPr>
        <w:t>Retention Rights: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right="1039"/>
        <w:spacing w:after="0" w:line="266" w:lineRule="auto"/>
        <w:rPr>
          <w:sz w:val="20"/>
          <w:szCs w:val="20"/>
          <w:color w:val="auto"/>
        </w:rPr>
      </w:pPr>
      <w:r>
        <w:rPr>
          <w:rFonts w:ascii="Arial" w:cs="Arial" w:eastAsia="Arial" w:hAnsi="Arial"/>
          <w:sz w:val="15"/>
          <w:szCs w:val="15"/>
          <w:color w:val="auto"/>
        </w:rPr>
        <w:t>Neither your restricted stock unit award nor this Agreement gives you any right to be retained by Sempra Energy or any of its subsidiaries in any capacity and your employer reserves the right to terminate your employment at any time, with or without cause. The value of your award will not be included as compensation or earnings for purposes of any other benefit plan offered by Sempra Energy or any of its subsidiaries.</w:t>
      </w:r>
    </w:p>
    <w:p>
      <w:pPr>
        <w:spacing w:after="0" w:line="48" w:lineRule="exact"/>
        <w:rPr>
          <w:sz w:val="20"/>
          <w:szCs w:val="20"/>
          <w:color w:val="auto"/>
        </w:rPr>
      </w:pPr>
    </w:p>
    <w:p>
      <w:pPr>
        <w:sectPr>
          <w:pgSz w:w="11900" w:h="16947" w:orient="portrait"/>
          <w:cols w:equalWidth="0" w:num="2">
            <w:col w:w="2400" w:space="720"/>
            <w:col w:w="5899"/>
          </w:cols>
          <w:pgMar w:left="1440" w:top="129" w:right="1440" w:bottom="0" w:gutter="0" w:footer="0" w:header="0"/>
          <w:type w:val="continuous"/>
        </w:sectPr>
      </w:pPr>
    </w:p>
    <w:p>
      <w:pPr>
        <w:jc w:val="center"/>
        <w:ind w:left="780"/>
        <w:spacing w:after="0"/>
        <w:rPr>
          <w:sz w:val="20"/>
          <w:szCs w:val="20"/>
          <w:color w:val="auto"/>
        </w:rPr>
      </w:pPr>
      <w:r>
        <w:rPr>
          <w:rFonts w:ascii="Arial" w:cs="Arial" w:eastAsia="Arial" w:hAnsi="Arial"/>
          <w:sz w:val="14"/>
          <w:szCs w:val="14"/>
          <w:b w:val="1"/>
          <w:bCs w:val="1"/>
          <w:color w:val="auto"/>
        </w:rPr>
        <w:t>Change in Control:</w:t>
      </w:r>
    </w:p>
    <w:p>
      <w:pPr>
        <w:spacing w:after="0" w:line="20" w:lineRule="exact"/>
        <w:rPr>
          <w:sz w:val="20"/>
          <w:szCs w:val="20"/>
          <w:color w:val="auto"/>
        </w:rPr>
      </w:pPr>
      <w:r>
        <w:rPr>
          <w:sz w:val="20"/>
          <w:szCs w:val="20"/>
          <w:color w:val="auto"/>
        </w:rPr>
        <w:br w:type="column"/>
      </w:r>
    </w:p>
    <w:p>
      <w:pPr>
        <w:ind w:right="939"/>
        <w:spacing w:after="0" w:line="261" w:lineRule="auto"/>
        <w:rPr>
          <w:sz w:val="20"/>
          <w:szCs w:val="20"/>
          <w:color w:val="auto"/>
        </w:rPr>
      </w:pPr>
      <w:r>
        <w:rPr>
          <w:rFonts w:ascii="Arial" w:cs="Arial" w:eastAsia="Arial" w:hAnsi="Arial"/>
          <w:sz w:val="15"/>
          <w:szCs w:val="15"/>
          <w:color w:val="auto"/>
        </w:rPr>
        <w:t>Subject to certain limitations set forth in the 2008 Long Term Incentive Plan, in the event of a Change in Control (as defined in the plan) of Sempra Energy during the portion of the performance period beginning on January 1, 2011 and ending on December 31, 2012, unless your restricted stock units have been forfeited prior to the Change in Control, 100% of your target number of restricted stock units will vest in the event of a Change in Control. In the event of a Change in Control of Sempra Energy during the portion of the performance period beginning on January 1, 2013 and ending on the first New York Stock Exchange trading day of 2015, unless your restricted stock units have been forfeited prior to the Change in Control, your restricted stock units will vest or be forfeited on the basis of the total shareholder return performance criteria set forth above under “Vesting/Forfeiture” as if the performance period had ended on the date immediately preceeding the date of the Change in Control.</w:t>
      </w:r>
    </w:p>
    <w:p>
      <w:pPr>
        <w:spacing w:after="0" w:line="51" w:lineRule="exact"/>
        <w:rPr>
          <w:sz w:val="20"/>
          <w:szCs w:val="20"/>
          <w:color w:val="auto"/>
        </w:rPr>
      </w:pPr>
    </w:p>
    <w:p>
      <w:pPr>
        <w:sectPr>
          <w:pgSz w:w="11900" w:h="16947" w:orient="portrait"/>
          <w:cols w:equalWidth="0" w:num="2">
            <w:col w:w="2400" w:space="720"/>
            <w:col w:w="5899"/>
          </w:cols>
          <w:pgMar w:left="1440" w:top="129" w:right="1440" w:bottom="0" w:gutter="0" w:footer="0" w:header="0"/>
          <w:type w:val="continuous"/>
        </w:sectPr>
      </w:pPr>
    </w:p>
    <w:p>
      <w:pPr>
        <w:ind w:left="3120" w:right="999"/>
        <w:spacing w:after="0" w:line="337" w:lineRule="auto"/>
        <w:rPr>
          <w:sz w:val="20"/>
          <w:szCs w:val="20"/>
          <w:color w:val="auto"/>
        </w:rPr>
      </w:pPr>
      <w:r>
        <w:rPr>
          <w:rFonts w:ascii="Arial" w:cs="Arial" w:eastAsia="Arial" w:hAnsi="Arial"/>
          <w:sz w:val="14"/>
          <w:szCs w:val="14"/>
          <w:color w:val="auto"/>
        </w:rPr>
        <w:t>You will receive the number of shares of Common Stock equal to the number of your restricted stock units that have vested. Also, you will receive the</w:t>
      </w:r>
    </w:p>
    <w:p>
      <w:pPr>
        <w:sectPr>
          <w:pgSz w:w="11900" w:h="16947" w:orient="portrait"/>
          <w:cols w:equalWidth="0" w:num="1">
            <w:col w:w="9019"/>
          </w:cols>
          <w:pgMar w:left="1440" w:top="129" w:right="1440" w:bottom="0" w:gutter="0" w:footer="0" w:header="0"/>
          <w:type w:val="continuous"/>
        </w:sectPr>
      </w:pPr>
    </w:p>
    <w:bookmarkStart w:id="63" w:name="page64"/>
    <w:bookmarkEnd w:id="63"/>
    <w:p>
      <w:pPr>
        <w:jc w:val="both"/>
        <w:ind w:left="3120" w:right="999"/>
        <w:spacing w:after="0" w:line="253" w:lineRule="auto"/>
        <w:rPr>
          <w:sz w:val="20"/>
          <w:szCs w:val="20"/>
          <w:color w:val="auto"/>
        </w:rPr>
      </w:pPr>
      <w:r>
        <w:rPr>
          <w:rFonts w:ascii="Arial" w:cs="Arial" w:eastAsia="Arial" w:hAnsi="Arial"/>
          <w:sz w:val="16"/>
          <w:szCs w:val="16"/>
          <w:color w:val="auto"/>
        </w:rPr>
        <w:t>number of shares of Common Stock equal to your dividend equivalents. You will receive the shares of Common Stock immediately prior to the date of the Change in Control.</w:t>
      </w:r>
    </w:p>
    <w:p>
      <w:pPr>
        <w:spacing w:after="0" w:line="59" w:lineRule="exact"/>
        <w:rPr>
          <w:sz w:val="20"/>
          <w:szCs w:val="20"/>
          <w:color w:val="auto"/>
        </w:rPr>
      </w:pPr>
    </w:p>
    <w:p>
      <w:pPr>
        <w:ind w:left="3120" w:right="1319"/>
        <w:spacing w:after="0" w:line="336" w:lineRule="auto"/>
        <w:rPr>
          <w:sz w:val="20"/>
          <w:szCs w:val="20"/>
          <w:color w:val="auto"/>
        </w:rPr>
      </w:pPr>
      <w:r>
        <w:rPr>
          <w:rFonts w:ascii="Arial" w:cs="Arial" w:eastAsia="Arial" w:hAnsi="Arial"/>
          <w:sz w:val="14"/>
          <w:szCs w:val="14"/>
          <w:color w:val="auto"/>
        </w:rPr>
        <w:t>Immediately following the Change in Control, your vested and unvested restricted stock units (and dividend equivalents) will terminate.</w:t>
      </w:r>
    </w:p>
    <w:p>
      <w:pPr>
        <w:sectPr>
          <w:pgSz w:w="11900" w:h="16838" w:orient="portrait"/>
          <w:cols w:equalWidth="0" w:num="1">
            <w:col w:w="9019"/>
          </w:cols>
          <w:pgMar w:left="1440" w:top="129" w:right="1440" w:bottom="1440" w:gutter="0" w:footer="0" w:header="0"/>
        </w:sectPr>
      </w:pPr>
    </w:p>
    <w:p>
      <w:pPr>
        <w:ind w:left="940"/>
        <w:spacing w:after="0"/>
        <w:rPr>
          <w:sz w:val="20"/>
          <w:szCs w:val="20"/>
          <w:color w:val="auto"/>
        </w:rPr>
      </w:pPr>
      <w:r>
        <w:rPr>
          <w:rFonts w:ascii="Arial" w:cs="Arial" w:eastAsia="Arial" w:hAnsi="Arial"/>
          <w:sz w:val="14"/>
          <w:szCs w:val="14"/>
          <w:b w:val="1"/>
          <w:bCs w:val="1"/>
          <w:color w:val="auto"/>
        </w:rPr>
        <w:t>Further Actions:</w:t>
      </w:r>
    </w:p>
    <w:p>
      <w:pPr>
        <w:spacing w:after="0" w:line="20" w:lineRule="exact"/>
        <w:rPr>
          <w:sz w:val="20"/>
          <w:szCs w:val="20"/>
          <w:color w:val="auto"/>
        </w:rPr>
      </w:pPr>
      <w:r>
        <w:rPr>
          <w:sz w:val="20"/>
          <w:szCs w:val="20"/>
          <w:color w:val="auto"/>
        </w:rPr>
        <w:br w:type="column"/>
      </w:r>
    </w:p>
    <w:p>
      <w:pPr>
        <w:ind w:right="1099"/>
        <w:spacing w:after="0" w:line="265" w:lineRule="auto"/>
        <w:rPr>
          <w:sz w:val="20"/>
          <w:szCs w:val="20"/>
          <w:color w:val="auto"/>
        </w:rPr>
      </w:pPr>
      <w:r>
        <w:rPr>
          <w:rFonts w:ascii="Arial" w:cs="Arial" w:eastAsia="Arial" w:hAnsi="Arial"/>
          <w:sz w:val="16"/>
          <w:szCs w:val="16"/>
          <w:color w:val="auto"/>
        </w:rPr>
        <w:t>You agree to take all actions and execute all documents appropriate to carry out the provisions of this Agreement.</w:t>
      </w:r>
    </w:p>
    <w:p>
      <w:pPr>
        <w:spacing w:after="0" w:line="38" w:lineRule="exact"/>
        <w:rPr>
          <w:sz w:val="20"/>
          <w:szCs w:val="20"/>
          <w:color w:val="auto"/>
        </w:rPr>
      </w:pPr>
    </w:p>
    <w:p>
      <w:pPr>
        <w:sectPr>
          <w:pgSz w:w="11900" w:h="16838" w:orient="portrait"/>
          <w:cols w:equalWidth="0" w:num="2">
            <w:col w:w="2400" w:space="720"/>
            <w:col w:w="5899"/>
          </w:cols>
          <w:pgMar w:left="1440" w:top="129" w:right="1440" w:bottom="1440" w:gutter="0" w:footer="0" w:header="0"/>
          <w:type w:val="continuous"/>
        </w:sectPr>
      </w:pPr>
    </w:p>
    <w:p>
      <w:pPr>
        <w:ind w:left="3120" w:right="1079"/>
        <w:spacing w:after="0" w:line="265" w:lineRule="auto"/>
        <w:rPr>
          <w:sz w:val="20"/>
          <w:szCs w:val="20"/>
          <w:color w:val="auto"/>
        </w:rPr>
      </w:pPr>
      <w:r>
        <w:rPr>
          <w:rFonts w:ascii="Arial" w:cs="Arial" w:eastAsia="Arial" w:hAnsi="Arial"/>
          <w:sz w:val="16"/>
          <w:szCs w:val="16"/>
          <w:color w:val="auto"/>
        </w:rPr>
        <w:t>You shall not be deemed to have accepted this award unless you execute the attached Arbitration Agreement.</w:t>
      </w:r>
    </w:p>
    <w:p>
      <w:pPr>
        <w:spacing w:after="0" w:line="48" w:lineRule="exact"/>
        <w:rPr>
          <w:sz w:val="20"/>
          <w:szCs w:val="20"/>
          <w:color w:val="auto"/>
        </w:rPr>
      </w:pPr>
    </w:p>
    <w:p>
      <w:pPr>
        <w:ind w:left="3120" w:right="919"/>
        <w:spacing w:after="0" w:line="248" w:lineRule="auto"/>
        <w:rPr>
          <w:sz w:val="20"/>
          <w:szCs w:val="20"/>
          <w:color w:val="auto"/>
        </w:rPr>
      </w:pPr>
      <w:r>
        <w:rPr>
          <w:rFonts w:ascii="Arial" w:cs="Arial" w:eastAsia="Arial" w:hAnsi="Arial"/>
          <w:sz w:val="16"/>
          <w:szCs w:val="16"/>
          <w:color w:val="auto"/>
        </w:rPr>
        <w:t>You also appoint as your attorney-in-fact each individual who at the time of so acting is the Secretary or an Assistant Secretary of Sempra Energy with full authority to effect any transfer of any shares of Common Stock distributable to you, including any transfer to pay withholding taxes, that is authorized by this Agreement.</w:t>
      </w:r>
    </w:p>
    <w:p>
      <w:pPr>
        <w:sectPr>
          <w:pgSz w:w="11900" w:h="16838" w:orient="portrait"/>
          <w:cols w:equalWidth="0" w:num="1">
            <w:col w:w="9019"/>
          </w:cols>
          <w:pgMar w:left="1440" w:top="129" w:right="1440" w:bottom="1440" w:gutter="0" w:footer="0" w:header="0"/>
          <w:type w:val="continuous"/>
        </w:sectPr>
      </w:pPr>
    </w:p>
    <w:p>
      <w:pPr>
        <w:spacing w:after="0" w:line="79"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Applicable Law:</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right="1099"/>
        <w:spacing w:after="0" w:line="265" w:lineRule="auto"/>
        <w:rPr>
          <w:sz w:val="20"/>
          <w:szCs w:val="20"/>
          <w:color w:val="auto"/>
        </w:rPr>
      </w:pPr>
      <w:r>
        <w:rPr>
          <w:rFonts w:ascii="Arial" w:cs="Arial" w:eastAsia="Arial" w:hAnsi="Arial"/>
          <w:sz w:val="16"/>
          <w:szCs w:val="16"/>
          <w:color w:val="auto"/>
        </w:rPr>
        <w:t>This Agreement will be interpreted and enforced under the laws of the State of California.</w:t>
      </w:r>
    </w:p>
    <w:p>
      <w:pPr>
        <w:spacing w:after="0" w:line="65" w:lineRule="exact"/>
        <w:rPr>
          <w:sz w:val="20"/>
          <w:szCs w:val="20"/>
          <w:color w:val="auto"/>
        </w:rPr>
      </w:pPr>
    </w:p>
    <w:p>
      <w:pPr>
        <w:sectPr>
          <w:pgSz w:w="11900" w:h="16838" w:orient="portrait"/>
          <w:cols w:equalWidth="0" w:num="2">
            <w:col w:w="2400" w:space="720"/>
            <w:col w:w="5899"/>
          </w:cols>
          <w:pgMar w:left="1440" w:top="129" w:right="1440" w:bottom="1440" w:gutter="0" w:footer="0" w:header="0"/>
          <w:type w:val="continuous"/>
        </w:sectPr>
      </w:pPr>
    </w:p>
    <w:p>
      <w:pPr>
        <w:jc w:val="center"/>
        <w:ind w:left="780"/>
        <w:spacing w:after="0"/>
        <w:rPr>
          <w:sz w:val="20"/>
          <w:szCs w:val="20"/>
          <w:color w:val="auto"/>
        </w:rPr>
      </w:pPr>
      <w:r>
        <w:rPr>
          <w:rFonts w:ascii="Arial" w:cs="Arial" w:eastAsia="Arial" w:hAnsi="Arial"/>
          <w:sz w:val="14"/>
          <w:szCs w:val="14"/>
          <w:b w:val="1"/>
          <w:bCs w:val="1"/>
          <w:color w:val="auto"/>
        </w:rPr>
        <w:t>Other Agreements:</w:t>
      </w:r>
    </w:p>
    <w:p>
      <w:pPr>
        <w:spacing w:after="0" w:line="20" w:lineRule="exact"/>
        <w:rPr>
          <w:sz w:val="20"/>
          <w:szCs w:val="20"/>
          <w:color w:val="auto"/>
        </w:rPr>
      </w:pPr>
      <w:r>
        <w:rPr>
          <w:sz w:val="20"/>
          <w:szCs w:val="20"/>
          <w:color w:val="auto"/>
        </w:rPr>
        <w:br w:type="column"/>
      </w:r>
    </w:p>
    <w:p>
      <w:pPr>
        <w:ind w:right="959"/>
        <w:spacing w:after="0" w:line="297" w:lineRule="auto"/>
        <w:rPr>
          <w:sz w:val="20"/>
          <w:szCs w:val="20"/>
          <w:color w:val="auto"/>
        </w:rPr>
      </w:pPr>
      <w:r>
        <w:rPr>
          <w:rFonts w:ascii="Arial" w:cs="Arial" w:eastAsia="Arial" w:hAnsi="Arial"/>
          <w:sz w:val="14"/>
          <w:szCs w:val="14"/>
          <w:color w:val="auto"/>
        </w:rPr>
        <w:t>In the event of any conflict between the terms of this Agreement and any written employment, severance or other employment-related agreement between you and Sempra Energy, the terms of this Agreement, or the terms of such other agreement, whichever are more favorable to you, shall prevail.</w:t>
      </w:r>
    </w:p>
    <w:p>
      <w:pPr>
        <w:spacing w:after="0" w:line="133" w:lineRule="exact"/>
        <w:rPr>
          <w:sz w:val="20"/>
          <w:szCs w:val="20"/>
          <w:color w:val="auto"/>
        </w:rPr>
      </w:pPr>
    </w:p>
    <w:p>
      <w:pPr>
        <w:sectPr>
          <w:pgSz w:w="11900" w:h="16838" w:orient="portrait"/>
          <w:cols w:equalWidth="0" w:num="2">
            <w:col w:w="2400" w:space="720"/>
            <w:col w:w="5899"/>
          </w:cols>
          <w:pgMar w:left="1440" w:top="129" w:right="1440"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i w:val="1"/>
          <w:iCs w:val="1"/>
          <w:color w:val="auto"/>
        </w:rPr>
        <w:t>By signing the Cover Sheet/Summary of this Agreement, you agree</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to all of the terms and conditions described above and in the 2008 Long Term Incentive Plan</w:t>
      </w:r>
    </w:p>
    <w:p>
      <w:pPr>
        <w:sectPr>
          <w:pgSz w:w="11900" w:h="16838" w:orient="portrait"/>
          <w:cols w:equalWidth="0" w:num="1">
            <w:col w:w="9019"/>
          </w:cols>
          <w:pgMar w:left="1440" w:top="129" w:right="1440" w:bottom="1440" w:gutter="0" w:footer="0" w:header="0"/>
          <w:type w:val="continuous"/>
        </w:sectPr>
      </w:pPr>
    </w:p>
    <w:bookmarkStart w:id="64" w:name="page65"/>
    <w:bookmarkEnd w:id="64"/>
    <w:p>
      <w:pPr>
        <w:jc w:val="right"/>
        <w:spacing w:after="0"/>
        <w:rPr>
          <w:sz w:val="20"/>
          <w:szCs w:val="20"/>
          <w:color w:val="auto"/>
        </w:rPr>
      </w:pPr>
      <w:r>
        <w:rPr>
          <w:rFonts w:ascii="Arial" w:cs="Arial" w:eastAsia="Arial" w:hAnsi="Arial"/>
          <w:sz w:val="16"/>
          <w:szCs w:val="16"/>
          <w:b w:val="1"/>
          <w:bCs w:val="1"/>
          <w:u w:val="single" w:color="auto"/>
          <w:color w:val="auto"/>
        </w:rPr>
        <w:t>Exhibit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Examples Illustrating the Determination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Vested Percentage of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Target Number of Restricted Stock Units</w:t>
      </w:r>
    </w:p>
    <w:p>
      <w:pPr>
        <w:spacing w:after="0" w:line="360" w:lineRule="exact"/>
        <w:rPr>
          <w:sz w:val="20"/>
          <w:szCs w:val="20"/>
          <w:color w:val="auto"/>
        </w:rPr>
      </w:pPr>
    </w:p>
    <w:p>
      <w:pPr>
        <w:ind w:right="80" w:firstLine="496"/>
        <w:spacing w:after="0" w:line="250" w:lineRule="auto"/>
        <w:rPr>
          <w:sz w:val="20"/>
          <w:szCs w:val="20"/>
          <w:color w:val="auto"/>
        </w:rPr>
      </w:pPr>
      <w:r>
        <w:rPr>
          <w:rFonts w:ascii="Arial" w:cs="Arial" w:eastAsia="Arial" w:hAnsi="Arial"/>
          <w:sz w:val="16"/>
          <w:szCs w:val="16"/>
          <w:color w:val="auto"/>
        </w:rPr>
        <w:t>The following examples illustrate how the percentage of the target number of restricted stock units is to be determined. The examples assume that Sempra Energy achieves certain total cumulative shareholder returns for the performance period. The vested percentage of your target number of restricted stock units will be determined based on Sempra Energy’s actual cumulative total shareholder return for the performance period as measured at the end of the performance period. No assurance is given that Sempra Energy will achieve the cumulative total shareholder returns shown in the examples.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Example 1</w:t>
      </w:r>
    </w:p>
    <w:p>
      <w:pPr>
        <w:spacing w:after="0" w:line="167" w:lineRule="exact"/>
        <w:rPr>
          <w:sz w:val="20"/>
          <w:szCs w:val="20"/>
          <w:color w:val="auto"/>
        </w:rPr>
      </w:pPr>
    </w:p>
    <w:p>
      <w:pPr>
        <w:ind w:right="20" w:firstLine="496"/>
        <w:spacing w:after="0" w:line="290" w:lineRule="auto"/>
        <w:rPr>
          <w:sz w:val="20"/>
          <w:szCs w:val="20"/>
          <w:color w:val="auto"/>
        </w:rPr>
      </w:pPr>
      <w:r>
        <w:rPr>
          <w:rFonts w:ascii="Arial" w:cs="Arial" w:eastAsia="Arial" w:hAnsi="Arial"/>
          <w:sz w:val="16"/>
          <w:szCs w:val="16"/>
          <w:color w:val="auto"/>
        </w:rPr>
        <w:t xml:space="preserve">Sempra Energy’s total cumulative shareholder return for the performance period among the companies (ranked by total shareholder returns) in the </w:t>
      </w:r>
      <w:r>
        <w:rPr>
          <w:rFonts w:ascii="Arial" w:cs="Arial" w:eastAsia="Arial" w:hAnsi="Arial"/>
          <w:sz w:val="16"/>
          <w:szCs w:val="16"/>
          <w:u w:val="single" w:color="auto"/>
          <w:color w:val="auto"/>
        </w:rPr>
        <w:t>S&amp;P 500 Utility Index</w:t>
      </w:r>
      <w:r>
        <w:rPr>
          <w:rFonts w:ascii="Arial" w:cs="Arial" w:eastAsia="Arial" w:hAnsi="Arial"/>
          <w:sz w:val="16"/>
          <w:szCs w:val="16"/>
          <w:color w:val="auto"/>
        </w:rPr>
        <w:t xml:space="preserve">, as determined and certified by the Compensation Committee, is at the </w:t>
      </w:r>
      <w:r>
        <w:rPr>
          <w:rFonts w:ascii="Arial" w:cs="Arial" w:eastAsia="Arial" w:hAnsi="Arial"/>
          <w:sz w:val="16"/>
          <w:szCs w:val="16"/>
          <w:u w:val="single" w:color="auto"/>
          <w:color w:val="auto"/>
        </w:rPr>
        <w:t>80</w:t>
      </w:r>
      <w:r>
        <w:rPr>
          <w:rFonts w:ascii="Arial" w:cs="Arial" w:eastAsia="Arial" w:hAnsi="Arial"/>
          <w:sz w:val="26"/>
          <w:szCs w:val="26"/>
          <w:u w:val="single" w:color="auto"/>
          <w:color w:val="auto"/>
          <w:vertAlign w:val="superscript"/>
        </w:rPr>
        <w:t>th</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percentile</w:t>
      </w:r>
      <w:r>
        <w:rPr>
          <w:rFonts w:ascii="Arial" w:cs="Arial" w:eastAsia="Arial" w:hAnsi="Arial"/>
          <w:sz w:val="16"/>
          <w:szCs w:val="16"/>
          <w:color w:val="auto"/>
        </w:rPr>
        <w:t>.</w:t>
      </w:r>
    </w:p>
    <w:p>
      <w:pPr>
        <w:spacing w:after="0" w:line="12" w:lineRule="exact"/>
        <w:rPr>
          <w:sz w:val="20"/>
          <w:szCs w:val="20"/>
          <w:color w:val="auto"/>
        </w:rPr>
      </w:pPr>
    </w:p>
    <w:p>
      <w:pPr>
        <w:ind w:right="180" w:firstLine="496"/>
        <w:spacing w:after="0" w:line="209" w:lineRule="auto"/>
        <w:rPr>
          <w:sz w:val="20"/>
          <w:szCs w:val="20"/>
          <w:color w:val="auto"/>
        </w:rPr>
      </w:pPr>
      <w:r>
        <w:rPr>
          <w:rFonts w:ascii="Arial" w:cs="Arial" w:eastAsia="Arial" w:hAnsi="Arial"/>
          <w:sz w:val="16"/>
          <w:szCs w:val="16"/>
          <w:color w:val="auto"/>
        </w:rPr>
        <w:t xml:space="preserve">Because Sempra Energy’s cumulative total cumulative shareholder return is </w:t>
      </w:r>
      <w:r>
        <w:rPr>
          <w:rFonts w:ascii="Arial" w:cs="Arial" w:eastAsia="Arial" w:hAnsi="Arial"/>
          <w:sz w:val="16"/>
          <w:szCs w:val="16"/>
          <w:u w:val="single" w:color="auto"/>
          <w:color w:val="auto"/>
        </w:rPr>
        <w:t>above the 75</w:t>
      </w:r>
      <w:r>
        <w:rPr>
          <w:rFonts w:ascii="Arial" w:cs="Arial" w:eastAsia="Arial" w:hAnsi="Arial"/>
          <w:sz w:val="26"/>
          <w:szCs w:val="26"/>
          <w:u w:val="single" w:color="auto"/>
          <w:color w:val="auto"/>
          <w:vertAlign w:val="superscript"/>
        </w:rPr>
        <w:t>th</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percentile</w:t>
      </w:r>
      <w:r>
        <w:rPr>
          <w:rFonts w:ascii="Arial" w:cs="Arial" w:eastAsia="Arial" w:hAnsi="Arial"/>
          <w:sz w:val="16"/>
          <w:szCs w:val="16"/>
          <w:color w:val="auto"/>
        </w:rPr>
        <w:t>, 150% of the target number of restricted stock units vest. This is the maximum number of restricted stock units under the award.</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Example 2</w:t>
      </w:r>
    </w:p>
    <w:p>
      <w:pPr>
        <w:spacing w:after="0" w:line="167" w:lineRule="exact"/>
        <w:rPr>
          <w:sz w:val="20"/>
          <w:szCs w:val="20"/>
          <w:color w:val="auto"/>
        </w:rPr>
      </w:pPr>
    </w:p>
    <w:p>
      <w:pPr>
        <w:ind w:right="20" w:firstLine="496"/>
        <w:spacing w:after="0" w:line="290" w:lineRule="auto"/>
        <w:rPr>
          <w:sz w:val="20"/>
          <w:szCs w:val="20"/>
          <w:color w:val="auto"/>
        </w:rPr>
      </w:pPr>
      <w:r>
        <w:rPr>
          <w:rFonts w:ascii="Arial" w:cs="Arial" w:eastAsia="Arial" w:hAnsi="Arial"/>
          <w:sz w:val="16"/>
          <w:szCs w:val="16"/>
          <w:color w:val="auto"/>
        </w:rPr>
        <w:t xml:space="preserve">Sempra Energy’s cumulative total shareholder return for the performance period among the companies (ranked by total shareholder returns) in the </w:t>
      </w:r>
      <w:r>
        <w:rPr>
          <w:rFonts w:ascii="Arial" w:cs="Arial" w:eastAsia="Arial" w:hAnsi="Arial"/>
          <w:sz w:val="16"/>
          <w:szCs w:val="16"/>
          <w:u w:val="single" w:color="auto"/>
          <w:color w:val="auto"/>
        </w:rPr>
        <w:t>S&amp;P 500 Utility Index</w:t>
      </w:r>
      <w:r>
        <w:rPr>
          <w:rFonts w:ascii="Arial" w:cs="Arial" w:eastAsia="Arial" w:hAnsi="Arial"/>
          <w:sz w:val="16"/>
          <w:szCs w:val="16"/>
          <w:color w:val="auto"/>
        </w:rPr>
        <w:t xml:space="preserve">, as determined and certified by the Compensation Committee, is at the </w:t>
      </w:r>
      <w:r>
        <w:rPr>
          <w:rFonts w:ascii="Arial" w:cs="Arial" w:eastAsia="Arial" w:hAnsi="Arial"/>
          <w:sz w:val="16"/>
          <w:szCs w:val="16"/>
          <w:u w:val="single" w:color="auto"/>
          <w:color w:val="auto"/>
        </w:rPr>
        <w:t>67</w:t>
      </w:r>
      <w:r>
        <w:rPr>
          <w:rFonts w:ascii="Arial" w:cs="Arial" w:eastAsia="Arial" w:hAnsi="Arial"/>
          <w:sz w:val="26"/>
          <w:szCs w:val="26"/>
          <w:u w:val="single" w:color="auto"/>
          <w:color w:val="auto"/>
          <w:vertAlign w:val="superscript"/>
        </w:rPr>
        <w:t>th</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percentile</w:t>
      </w:r>
      <w:r>
        <w:rPr>
          <w:rFonts w:ascii="Arial" w:cs="Arial" w:eastAsia="Arial" w:hAnsi="Arial"/>
          <w:sz w:val="16"/>
          <w:szCs w:val="16"/>
          <w:color w:val="auto"/>
        </w:rPr>
        <w:t>.</w:t>
      </w:r>
    </w:p>
    <w:p>
      <w:pPr>
        <w:spacing w:after="0" w:line="12" w:lineRule="exact"/>
        <w:rPr>
          <w:sz w:val="20"/>
          <w:szCs w:val="20"/>
          <w:color w:val="auto"/>
        </w:rPr>
      </w:pPr>
    </w:p>
    <w:p>
      <w:pPr>
        <w:ind w:right="220" w:firstLine="496"/>
        <w:spacing w:after="0" w:line="304" w:lineRule="auto"/>
        <w:rPr>
          <w:sz w:val="20"/>
          <w:szCs w:val="20"/>
          <w:color w:val="auto"/>
        </w:rPr>
      </w:pPr>
      <w:r>
        <w:rPr>
          <w:rFonts w:ascii="Arial" w:cs="Arial" w:eastAsia="Arial" w:hAnsi="Arial"/>
          <w:sz w:val="16"/>
          <w:szCs w:val="16"/>
          <w:color w:val="auto"/>
        </w:rPr>
        <w:t xml:space="preserve">The percentage of the target number of restricted stock units that vest is determined by a linear interpolation between the percentage based on the achievement of the </w:t>
      </w:r>
      <w:r>
        <w:rPr>
          <w:rFonts w:ascii="Arial" w:cs="Arial" w:eastAsia="Arial" w:hAnsi="Arial"/>
          <w:sz w:val="16"/>
          <w:szCs w:val="16"/>
          <w:u w:val="single" w:color="auto"/>
          <w:color w:val="auto"/>
        </w:rPr>
        <w:t>65</w:t>
      </w:r>
      <w:r>
        <w:rPr>
          <w:rFonts w:ascii="Arial" w:cs="Arial" w:eastAsia="Arial" w:hAnsi="Arial"/>
          <w:sz w:val="26"/>
          <w:szCs w:val="26"/>
          <w:u w:val="single" w:color="auto"/>
          <w:color w:val="auto"/>
          <w:vertAlign w:val="superscript"/>
        </w:rPr>
        <w:t>th</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percentile</w:t>
      </w:r>
      <w:r>
        <w:rPr>
          <w:rFonts w:ascii="Arial" w:cs="Arial" w:eastAsia="Arial" w:hAnsi="Arial"/>
          <w:sz w:val="16"/>
          <w:szCs w:val="16"/>
          <w:color w:val="auto"/>
        </w:rPr>
        <w:t xml:space="preserve"> (130%) and the percentage based on the achievement of the </w:t>
      </w:r>
      <w:r>
        <w:rPr>
          <w:rFonts w:ascii="Arial" w:cs="Arial" w:eastAsia="Arial" w:hAnsi="Arial"/>
          <w:sz w:val="16"/>
          <w:szCs w:val="16"/>
          <w:u w:val="single" w:color="auto"/>
          <w:color w:val="auto"/>
        </w:rPr>
        <w:t>70</w:t>
      </w:r>
      <w:r>
        <w:rPr>
          <w:rFonts w:ascii="Arial" w:cs="Arial" w:eastAsia="Arial" w:hAnsi="Arial"/>
          <w:sz w:val="26"/>
          <w:szCs w:val="26"/>
          <w:u w:val="single" w:color="auto"/>
          <w:color w:val="auto"/>
          <w:vertAlign w:val="superscript"/>
        </w:rPr>
        <w:t>th</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percentile</w:t>
      </w:r>
      <w:r>
        <w:rPr>
          <w:rFonts w:ascii="Arial" w:cs="Arial" w:eastAsia="Arial" w:hAnsi="Arial"/>
          <w:sz w:val="16"/>
          <w:szCs w:val="16"/>
          <w:color w:val="auto"/>
        </w:rPr>
        <w:t xml:space="preserve"> (140%).</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percentage is determined as follows:</w:t>
      </w:r>
    </w:p>
    <w:p>
      <w:pPr>
        <w:spacing w:after="0" w:line="159" w:lineRule="exact"/>
        <w:rPr>
          <w:sz w:val="20"/>
          <w:szCs w:val="20"/>
          <w:color w:val="auto"/>
        </w:rPr>
      </w:pPr>
    </w:p>
    <w:p>
      <w:pPr>
        <w:ind w:left="1500" w:hanging="505"/>
        <w:spacing w:after="0"/>
        <w:tabs>
          <w:tab w:leader="none" w:pos="1500" w:val="left"/>
        </w:tabs>
        <w:numPr>
          <w:ilvl w:val="0"/>
          <w:numId w:val="64"/>
        </w:numPr>
        <w:rPr>
          <w:rFonts w:ascii="Arial" w:cs="Arial" w:eastAsia="Arial" w:hAnsi="Arial"/>
          <w:sz w:val="32"/>
          <w:szCs w:val="32"/>
          <w:color w:val="auto"/>
          <w:vertAlign w:val="superscript"/>
        </w:rPr>
      </w:pPr>
      <w:r>
        <w:rPr>
          <w:rFonts w:ascii="Arial" w:cs="Arial" w:eastAsia="Arial" w:hAnsi="Arial"/>
          <w:sz w:val="16"/>
          <w:szCs w:val="16"/>
          <w:color w:val="auto"/>
        </w:rPr>
        <w:t xml:space="preserve">130% (the percentage based on the achievement of the </w:t>
      </w:r>
      <w:r>
        <w:rPr>
          <w:rFonts w:ascii="Arial" w:cs="Arial" w:eastAsia="Arial" w:hAnsi="Arial"/>
          <w:sz w:val="16"/>
          <w:szCs w:val="16"/>
          <w:u w:val="single" w:color="auto"/>
          <w:color w:val="auto"/>
        </w:rPr>
        <w:t>65</w:t>
      </w:r>
      <w:r>
        <w:rPr>
          <w:rFonts w:ascii="Arial" w:cs="Arial" w:eastAsia="Arial" w:hAnsi="Arial"/>
          <w:sz w:val="26"/>
          <w:szCs w:val="26"/>
          <w:u w:val="single" w:color="auto"/>
          <w:color w:val="auto"/>
          <w:vertAlign w:val="superscript"/>
        </w:rPr>
        <w:t>th</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percentile</w:t>
      </w:r>
      <w:r>
        <w:rPr>
          <w:rFonts w:ascii="Arial" w:cs="Arial" w:eastAsia="Arial" w:hAnsi="Arial"/>
          <w:sz w:val="16"/>
          <w:szCs w:val="16"/>
          <w:color w:val="auto"/>
        </w:rPr>
        <w:t>), plus</w:t>
      </w:r>
    </w:p>
    <w:p>
      <w:pPr>
        <w:spacing w:after="0" w:line="53" w:lineRule="exact"/>
        <w:rPr>
          <w:rFonts w:ascii="Arial" w:cs="Arial" w:eastAsia="Arial" w:hAnsi="Arial"/>
          <w:sz w:val="32"/>
          <w:szCs w:val="32"/>
          <w:color w:val="auto"/>
          <w:vertAlign w:val="superscript"/>
        </w:rPr>
      </w:pPr>
    </w:p>
    <w:p>
      <w:pPr>
        <w:ind w:left="500" w:right="140" w:firstLine="495"/>
        <w:spacing w:after="0" w:line="182" w:lineRule="auto"/>
        <w:tabs>
          <w:tab w:leader="none" w:pos="1492" w:val="left"/>
        </w:tabs>
        <w:numPr>
          <w:ilvl w:val="0"/>
          <w:numId w:val="64"/>
        </w:numPr>
        <w:rPr>
          <w:rFonts w:ascii="Arial" w:cs="Arial" w:eastAsia="Arial" w:hAnsi="Arial"/>
          <w:sz w:val="32"/>
          <w:szCs w:val="32"/>
          <w:color w:val="auto"/>
          <w:vertAlign w:val="superscript"/>
        </w:rPr>
      </w:pPr>
      <w:r>
        <w:rPr>
          <w:rFonts w:ascii="Arial" w:cs="Arial" w:eastAsia="Arial" w:hAnsi="Arial"/>
          <w:sz w:val="16"/>
          <w:szCs w:val="16"/>
          <w:color w:val="auto"/>
        </w:rPr>
        <w:t xml:space="preserve">10% (the percentage based on the achievement of the </w:t>
      </w:r>
      <w:r>
        <w:rPr>
          <w:rFonts w:ascii="Arial" w:cs="Arial" w:eastAsia="Arial" w:hAnsi="Arial"/>
          <w:sz w:val="16"/>
          <w:szCs w:val="16"/>
          <w:u w:val="single" w:color="auto"/>
          <w:color w:val="auto"/>
        </w:rPr>
        <w:t>75</w:t>
      </w:r>
      <w:r>
        <w:rPr>
          <w:rFonts w:ascii="Arial" w:cs="Arial" w:eastAsia="Arial" w:hAnsi="Arial"/>
          <w:sz w:val="26"/>
          <w:szCs w:val="26"/>
          <w:u w:val="single" w:color="auto"/>
          <w:color w:val="auto"/>
          <w:vertAlign w:val="superscript"/>
        </w:rPr>
        <w:t>th</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percentile</w:t>
      </w:r>
      <w:r>
        <w:rPr>
          <w:rFonts w:ascii="Arial" w:cs="Arial" w:eastAsia="Arial" w:hAnsi="Arial"/>
          <w:sz w:val="16"/>
          <w:szCs w:val="16"/>
          <w:color w:val="auto"/>
        </w:rPr>
        <w:t xml:space="preserve">, less the percentage based on the achievement of the </w:t>
      </w:r>
      <w:r>
        <w:rPr>
          <w:rFonts w:ascii="Arial" w:cs="Arial" w:eastAsia="Arial" w:hAnsi="Arial"/>
          <w:sz w:val="16"/>
          <w:szCs w:val="16"/>
          <w:u w:val="single" w:color="auto"/>
          <w:color w:val="auto"/>
        </w:rPr>
        <w:t>65</w:t>
      </w:r>
      <w:r>
        <w:rPr>
          <w:rFonts w:ascii="Arial" w:cs="Arial" w:eastAsia="Arial" w:hAnsi="Arial"/>
          <w:sz w:val="26"/>
          <w:szCs w:val="26"/>
          <w:u w:val="single" w:color="auto"/>
          <w:color w:val="auto"/>
          <w:vertAlign w:val="superscript"/>
        </w:rPr>
        <w:t>th</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percentile</w:t>
      </w:r>
      <w:r>
        <w:rPr>
          <w:rFonts w:ascii="Arial" w:cs="Arial" w:eastAsia="Arial" w:hAnsi="Arial"/>
          <w:sz w:val="16"/>
          <w:szCs w:val="16"/>
          <w:color w:val="auto"/>
        </w:rPr>
        <w:t>), multiplied by an interpolation factor.</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interpolation factor equals (67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less 65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divided by (70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less 65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or two fifths (2/5).</w:t>
      </w:r>
    </w:p>
    <w:p>
      <w:pPr>
        <w:spacing w:after="0" w:line="104" w:lineRule="exact"/>
        <w:rPr>
          <w:sz w:val="20"/>
          <w:szCs w:val="20"/>
          <w:color w:val="auto"/>
        </w:rPr>
      </w:pPr>
    </w:p>
    <w:p>
      <w:pPr>
        <w:ind w:right="180" w:firstLine="496"/>
        <w:spacing w:after="0" w:line="209" w:lineRule="auto"/>
        <w:rPr>
          <w:sz w:val="20"/>
          <w:szCs w:val="20"/>
          <w:color w:val="auto"/>
        </w:rPr>
      </w:pPr>
      <w:r>
        <w:rPr>
          <w:rFonts w:ascii="Arial" w:cs="Arial" w:eastAsia="Arial" w:hAnsi="Arial"/>
          <w:sz w:val="16"/>
          <w:szCs w:val="16"/>
          <w:color w:val="auto"/>
        </w:rPr>
        <w:t xml:space="preserve">The percentage based on the achievement of the </w:t>
      </w:r>
      <w:r>
        <w:rPr>
          <w:rFonts w:ascii="Arial" w:cs="Arial" w:eastAsia="Arial" w:hAnsi="Arial"/>
          <w:sz w:val="16"/>
          <w:szCs w:val="16"/>
          <w:u w:val="single" w:color="auto"/>
          <w:color w:val="auto"/>
        </w:rPr>
        <w:t>67</w:t>
      </w:r>
      <w:r>
        <w:rPr>
          <w:rFonts w:ascii="Arial" w:cs="Arial" w:eastAsia="Arial" w:hAnsi="Arial"/>
          <w:sz w:val="26"/>
          <w:szCs w:val="26"/>
          <w:u w:val="single" w:color="auto"/>
          <w:color w:val="auto"/>
          <w:vertAlign w:val="superscript"/>
        </w:rPr>
        <w:t>th</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percentile</w:t>
      </w:r>
      <w:r>
        <w:rPr>
          <w:rFonts w:ascii="Arial" w:cs="Arial" w:eastAsia="Arial" w:hAnsi="Arial"/>
          <w:sz w:val="16"/>
          <w:szCs w:val="16"/>
          <w:color w:val="auto"/>
        </w:rPr>
        <w:t xml:space="preserve"> equals: (a) 130%, plus (b) 10%, multiplied by 2/5, or 134%. Based on Sempra Energy’s cumulative total shareholder return, 134% of the target number of restricted stock units vest.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Example 3</w:t>
      </w:r>
    </w:p>
    <w:p>
      <w:pPr>
        <w:spacing w:after="0" w:line="157" w:lineRule="exact"/>
        <w:rPr>
          <w:sz w:val="20"/>
          <w:szCs w:val="20"/>
          <w:color w:val="auto"/>
        </w:rPr>
      </w:pPr>
    </w:p>
    <w:p>
      <w:pPr>
        <w:ind w:right="20" w:firstLine="496"/>
        <w:spacing w:after="0" w:line="265" w:lineRule="auto"/>
        <w:rPr>
          <w:sz w:val="20"/>
          <w:szCs w:val="20"/>
          <w:color w:val="auto"/>
        </w:rPr>
      </w:pPr>
      <w:r>
        <w:rPr>
          <w:rFonts w:ascii="Arial" w:cs="Arial" w:eastAsia="Arial" w:hAnsi="Arial"/>
          <w:sz w:val="16"/>
          <w:szCs w:val="16"/>
          <w:color w:val="auto"/>
        </w:rPr>
        <w:t xml:space="preserve">Sempra Energy’s cumulative total shareholder return for the performance period among the companies (ranked by total shareholder returns) in the </w:t>
      </w:r>
      <w:r>
        <w:rPr>
          <w:rFonts w:ascii="Arial" w:cs="Arial" w:eastAsia="Arial" w:hAnsi="Arial"/>
          <w:sz w:val="16"/>
          <w:szCs w:val="16"/>
          <w:u w:val="single" w:color="auto"/>
          <w:color w:val="auto"/>
        </w:rPr>
        <w:t>S&amp;P 500 Utility Index</w:t>
      </w:r>
      <w:r>
        <w:rPr>
          <w:rFonts w:ascii="Arial" w:cs="Arial" w:eastAsia="Arial" w:hAnsi="Arial"/>
          <w:sz w:val="16"/>
          <w:szCs w:val="16"/>
          <w:color w:val="auto"/>
        </w:rPr>
        <w:t xml:space="preserve">, as determined and certified by the Compensation Committee, is at the </w:t>
      </w:r>
      <w:r>
        <w:rPr>
          <w:rFonts w:ascii="Arial" w:cs="Arial" w:eastAsia="Arial" w:hAnsi="Arial"/>
          <w:sz w:val="16"/>
          <w:szCs w:val="16"/>
          <w:u w:val="single" w:color="auto"/>
          <w:color w:val="auto"/>
        </w:rPr>
        <w:t>45th percentile</w:t>
      </w:r>
      <w:r>
        <w:rPr>
          <w:rFonts w:ascii="Arial" w:cs="Arial" w:eastAsia="Arial" w:hAnsi="Arial"/>
          <w:sz w:val="16"/>
          <w:szCs w:val="16"/>
          <w:color w:val="auto"/>
        </w:rPr>
        <w:t>.</w:t>
      </w:r>
    </w:p>
    <w:p>
      <w:pPr>
        <w:spacing w:after="0" w:line="131" w:lineRule="exact"/>
        <w:rPr>
          <w:sz w:val="20"/>
          <w:szCs w:val="20"/>
          <w:color w:val="auto"/>
        </w:rPr>
      </w:pPr>
    </w:p>
    <w:p>
      <w:pPr>
        <w:ind w:right="360" w:firstLine="496"/>
        <w:spacing w:after="0" w:line="290" w:lineRule="auto"/>
        <w:rPr>
          <w:sz w:val="20"/>
          <w:szCs w:val="20"/>
          <w:color w:val="auto"/>
        </w:rPr>
      </w:pPr>
      <w:r>
        <w:rPr>
          <w:rFonts w:ascii="Arial" w:cs="Arial" w:eastAsia="Arial" w:hAnsi="Arial"/>
          <w:sz w:val="16"/>
          <w:szCs w:val="16"/>
          <w:color w:val="auto"/>
        </w:rPr>
        <w:t xml:space="preserve">Sempra Energy’s cumulative total shareholder return for the performance period among the companies (ranked by total shareholder returns) in the </w:t>
      </w:r>
      <w:r>
        <w:rPr>
          <w:rFonts w:ascii="Arial" w:cs="Arial" w:eastAsia="Arial" w:hAnsi="Arial"/>
          <w:sz w:val="16"/>
          <w:szCs w:val="16"/>
          <w:u w:val="single" w:color="auto"/>
          <w:color w:val="auto"/>
        </w:rPr>
        <w:t>S&amp;P 500 Composite</w:t>
      </w:r>
      <w:r>
        <w:rPr>
          <w:rFonts w:ascii="Arial" w:cs="Arial" w:eastAsia="Arial" w:hAnsi="Arial"/>
          <w:sz w:val="16"/>
          <w:szCs w:val="16"/>
          <w:color w:val="auto"/>
        </w:rPr>
        <w:t xml:space="preserve"> </w:t>
      </w:r>
      <w:r>
        <w:rPr>
          <w:rFonts w:ascii="Arial" w:cs="Arial" w:eastAsia="Arial" w:hAnsi="Arial"/>
          <w:sz w:val="16"/>
          <w:szCs w:val="16"/>
          <w:u w:val="single" w:color="auto"/>
          <w:color w:val="auto"/>
        </w:rPr>
        <w:t>Index</w:t>
      </w:r>
      <w:r>
        <w:rPr>
          <w:rFonts w:ascii="Arial" w:cs="Arial" w:eastAsia="Arial" w:hAnsi="Arial"/>
          <w:sz w:val="16"/>
          <w:szCs w:val="16"/>
          <w:color w:val="auto"/>
        </w:rPr>
        <w:t xml:space="preserve">, as determined and certified by the Compensation, is </w:t>
      </w:r>
      <w:r>
        <w:rPr>
          <w:rFonts w:ascii="Arial" w:cs="Arial" w:eastAsia="Arial" w:hAnsi="Arial"/>
          <w:sz w:val="16"/>
          <w:szCs w:val="16"/>
          <w:u w:val="single" w:color="auto"/>
          <w:color w:val="auto"/>
        </w:rPr>
        <w:t>at or above</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50</w:t>
      </w:r>
      <w:r>
        <w:rPr>
          <w:rFonts w:ascii="Arial" w:cs="Arial" w:eastAsia="Arial" w:hAnsi="Arial"/>
          <w:sz w:val="26"/>
          <w:szCs w:val="26"/>
          <w:u w:val="single" w:color="auto"/>
          <w:color w:val="auto"/>
          <w:vertAlign w:val="superscript"/>
        </w:rPr>
        <w:t>th</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percentile</w:t>
      </w:r>
      <w:r>
        <w:rPr>
          <w:rFonts w:ascii="Arial" w:cs="Arial" w:eastAsia="Arial" w:hAnsi="Arial"/>
          <w:sz w:val="16"/>
          <w:szCs w:val="16"/>
          <w:color w:val="auto"/>
        </w:rPr>
        <w:t>.</w:t>
      </w:r>
    </w:p>
    <w:p>
      <w:pPr>
        <w:spacing w:after="0" w:line="12" w:lineRule="exact"/>
        <w:rPr>
          <w:sz w:val="20"/>
          <w:szCs w:val="20"/>
          <w:color w:val="auto"/>
        </w:rPr>
      </w:pPr>
    </w:p>
    <w:p>
      <w:pPr>
        <w:ind w:right="240" w:firstLine="496"/>
        <w:spacing w:after="0" w:line="220" w:lineRule="auto"/>
        <w:rPr>
          <w:sz w:val="20"/>
          <w:szCs w:val="20"/>
          <w:color w:val="auto"/>
        </w:rPr>
      </w:pPr>
      <w:r>
        <w:rPr>
          <w:rFonts w:ascii="Arial" w:cs="Arial" w:eastAsia="Arial" w:hAnsi="Arial"/>
          <w:sz w:val="15"/>
          <w:szCs w:val="15"/>
          <w:color w:val="auto"/>
        </w:rPr>
        <w:t xml:space="preserve">Because Sempra Energy’s cumulative total shareholder return is at the </w:t>
      </w:r>
      <w:r>
        <w:rPr>
          <w:rFonts w:ascii="Arial" w:cs="Arial" w:eastAsia="Arial" w:hAnsi="Arial"/>
          <w:sz w:val="15"/>
          <w:szCs w:val="15"/>
          <w:u w:val="single" w:color="auto"/>
          <w:color w:val="auto"/>
        </w:rPr>
        <w:t>45</w:t>
      </w:r>
      <w:r>
        <w:rPr>
          <w:rFonts w:ascii="Arial" w:cs="Arial" w:eastAsia="Arial" w:hAnsi="Arial"/>
          <w:sz w:val="25"/>
          <w:szCs w:val="25"/>
          <w:u w:val="single" w:color="auto"/>
          <w:color w:val="auto"/>
          <w:vertAlign w:val="superscript"/>
        </w:rPr>
        <w:t>th</w:t>
      </w:r>
      <w:r>
        <w:rPr>
          <w:rFonts w:ascii="Arial" w:cs="Arial" w:eastAsia="Arial" w:hAnsi="Arial"/>
          <w:sz w:val="15"/>
          <w:szCs w:val="15"/>
          <w:color w:val="auto"/>
        </w:rPr>
        <w:t xml:space="preserve"> </w:t>
      </w:r>
      <w:r>
        <w:rPr>
          <w:rFonts w:ascii="Arial" w:cs="Arial" w:eastAsia="Arial" w:hAnsi="Arial"/>
          <w:sz w:val="15"/>
          <w:szCs w:val="15"/>
          <w:u w:val="single" w:color="auto"/>
          <w:color w:val="auto"/>
        </w:rPr>
        <w:t>percentile</w:t>
      </w:r>
      <w:r>
        <w:rPr>
          <w:rFonts w:ascii="Arial" w:cs="Arial" w:eastAsia="Arial" w:hAnsi="Arial"/>
          <w:sz w:val="15"/>
          <w:szCs w:val="15"/>
          <w:color w:val="auto"/>
        </w:rPr>
        <w:t xml:space="preserve"> when ranked among the companies in the </w:t>
      </w:r>
      <w:r>
        <w:rPr>
          <w:rFonts w:ascii="Arial" w:cs="Arial" w:eastAsia="Arial" w:hAnsi="Arial"/>
          <w:sz w:val="15"/>
          <w:szCs w:val="15"/>
          <w:u w:val="single" w:color="auto"/>
          <w:color w:val="auto"/>
        </w:rPr>
        <w:t>S&amp;P 500 Utility Index</w:t>
      </w:r>
      <w:r>
        <w:rPr>
          <w:rFonts w:ascii="Arial" w:cs="Arial" w:eastAsia="Arial" w:hAnsi="Arial"/>
          <w:sz w:val="15"/>
          <w:szCs w:val="15"/>
          <w:color w:val="auto"/>
        </w:rPr>
        <w:t xml:space="preserve">, 70% of the target number of restricted stock units would vest (before taking into account Sempra Energy’s performance among the companies in the </w:t>
      </w:r>
      <w:r>
        <w:rPr>
          <w:rFonts w:ascii="Arial" w:cs="Arial" w:eastAsia="Arial" w:hAnsi="Arial"/>
          <w:sz w:val="15"/>
          <w:szCs w:val="15"/>
          <w:u w:val="single" w:color="auto"/>
          <w:color w:val="auto"/>
        </w:rPr>
        <w:t>S&amp;P 500 Composite Index</w:t>
      </w:r>
      <w:r>
        <w:rPr>
          <w:rFonts w:ascii="Arial" w:cs="Arial" w:eastAsia="Arial" w:hAnsi="Arial"/>
          <w:sz w:val="15"/>
          <w:szCs w:val="15"/>
          <w:color w:val="auto"/>
        </w:rPr>
        <w:t>).</w:t>
      </w:r>
    </w:p>
    <w:p>
      <w:pPr>
        <w:spacing w:after="0" w:line="157" w:lineRule="exact"/>
        <w:rPr>
          <w:sz w:val="20"/>
          <w:szCs w:val="20"/>
          <w:color w:val="auto"/>
        </w:rPr>
      </w:pPr>
    </w:p>
    <w:p>
      <w:pPr>
        <w:ind w:right="320" w:firstLine="496"/>
        <w:spacing w:after="0" w:line="209" w:lineRule="auto"/>
        <w:rPr>
          <w:sz w:val="20"/>
          <w:szCs w:val="20"/>
          <w:color w:val="auto"/>
        </w:rPr>
      </w:pPr>
      <w:r>
        <w:rPr>
          <w:rFonts w:ascii="Arial" w:cs="Arial" w:eastAsia="Arial" w:hAnsi="Arial"/>
          <w:sz w:val="16"/>
          <w:szCs w:val="16"/>
          <w:color w:val="auto"/>
        </w:rPr>
        <w:t xml:space="preserve">However, because Sempra Energy’s cumulative total shareholder return is </w:t>
      </w:r>
      <w:r>
        <w:rPr>
          <w:rFonts w:ascii="Arial" w:cs="Arial" w:eastAsia="Arial" w:hAnsi="Arial"/>
          <w:sz w:val="16"/>
          <w:szCs w:val="16"/>
          <w:u w:val="single" w:color="auto"/>
          <w:color w:val="auto"/>
        </w:rPr>
        <w:t>at or above the 50</w:t>
      </w:r>
      <w:r>
        <w:rPr>
          <w:rFonts w:ascii="Arial" w:cs="Arial" w:eastAsia="Arial" w:hAnsi="Arial"/>
          <w:sz w:val="26"/>
          <w:szCs w:val="26"/>
          <w:u w:val="single" w:color="auto"/>
          <w:color w:val="auto"/>
          <w:vertAlign w:val="superscript"/>
        </w:rPr>
        <w:t>th</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percentile</w:t>
      </w:r>
      <w:r>
        <w:rPr>
          <w:rFonts w:ascii="Arial" w:cs="Arial" w:eastAsia="Arial" w:hAnsi="Arial"/>
          <w:sz w:val="16"/>
          <w:szCs w:val="16"/>
          <w:color w:val="auto"/>
        </w:rPr>
        <w:t xml:space="preserve"> when ranked among the companies in the </w:t>
      </w:r>
      <w:r>
        <w:rPr>
          <w:rFonts w:ascii="Arial" w:cs="Arial" w:eastAsia="Arial" w:hAnsi="Arial"/>
          <w:sz w:val="16"/>
          <w:szCs w:val="16"/>
          <w:u w:val="single" w:color="auto"/>
          <w:color w:val="auto"/>
        </w:rPr>
        <w:t>S&amp;P 500 Composite</w:t>
      </w:r>
      <w:r>
        <w:rPr>
          <w:rFonts w:ascii="Arial" w:cs="Arial" w:eastAsia="Arial" w:hAnsi="Arial"/>
          <w:sz w:val="16"/>
          <w:szCs w:val="16"/>
          <w:color w:val="auto"/>
        </w:rPr>
        <w:t xml:space="preserve"> </w:t>
      </w:r>
      <w:r>
        <w:rPr>
          <w:rFonts w:ascii="Arial" w:cs="Arial" w:eastAsia="Arial" w:hAnsi="Arial"/>
          <w:sz w:val="16"/>
          <w:szCs w:val="16"/>
          <w:u w:val="single" w:color="auto"/>
          <w:color w:val="auto"/>
        </w:rPr>
        <w:t>Index</w:t>
      </w:r>
      <w:r>
        <w:rPr>
          <w:rFonts w:ascii="Arial" w:cs="Arial" w:eastAsia="Arial" w:hAnsi="Arial"/>
          <w:sz w:val="16"/>
          <w:szCs w:val="16"/>
          <w:color w:val="auto"/>
        </w:rPr>
        <w:t>, 100% of the target number of restricted stock units vest.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Example 4</w:t>
      </w:r>
    </w:p>
    <w:p>
      <w:pPr>
        <w:spacing w:after="0" w:line="157" w:lineRule="exact"/>
        <w:rPr>
          <w:sz w:val="20"/>
          <w:szCs w:val="20"/>
          <w:color w:val="auto"/>
        </w:rPr>
      </w:pPr>
    </w:p>
    <w:p>
      <w:pPr>
        <w:ind w:right="20" w:firstLine="496"/>
        <w:spacing w:after="0" w:line="265" w:lineRule="auto"/>
        <w:rPr>
          <w:sz w:val="20"/>
          <w:szCs w:val="20"/>
          <w:color w:val="auto"/>
        </w:rPr>
      </w:pPr>
      <w:r>
        <w:rPr>
          <w:rFonts w:ascii="Arial" w:cs="Arial" w:eastAsia="Arial" w:hAnsi="Arial"/>
          <w:sz w:val="16"/>
          <w:szCs w:val="16"/>
          <w:color w:val="auto"/>
        </w:rPr>
        <w:t xml:space="preserve">Sempra Energy’s cumulative total shareholder return for the performance period among the companies (ranked by total shareholder returns) in the </w:t>
      </w:r>
      <w:r>
        <w:rPr>
          <w:rFonts w:ascii="Arial" w:cs="Arial" w:eastAsia="Arial" w:hAnsi="Arial"/>
          <w:sz w:val="16"/>
          <w:szCs w:val="16"/>
          <w:u w:val="single" w:color="auto"/>
          <w:color w:val="auto"/>
        </w:rPr>
        <w:t>S&amp;P 500 Utility Index</w:t>
      </w:r>
      <w:r>
        <w:rPr>
          <w:rFonts w:ascii="Arial" w:cs="Arial" w:eastAsia="Arial" w:hAnsi="Arial"/>
          <w:sz w:val="16"/>
          <w:szCs w:val="16"/>
          <w:color w:val="auto"/>
        </w:rPr>
        <w:t xml:space="preserve">, as determined and certified by the Compensation Committee, is at the </w:t>
      </w:r>
      <w:r>
        <w:rPr>
          <w:rFonts w:ascii="Arial" w:cs="Arial" w:eastAsia="Arial" w:hAnsi="Arial"/>
          <w:sz w:val="16"/>
          <w:szCs w:val="16"/>
          <w:u w:val="single" w:color="auto"/>
          <w:color w:val="auto"/>
        </w:rPr>
        <w:t>30th percentile</w:t>
      </w:r>
      <w:r>
        <w:rPr>
          <w:rFonts w:ascii="Arial" w:cs="Arial" w:eastAsia="Arial" w:hAnsi="Arial"/>
          <w:sz w:val="16"/>
          <w:szCs w:val="16"/>
          <w:color w:val="auto"/>
        </w:rPr>
        <w:t>.</w:t>
      </w:r>
    </w:p>
    <w:p>
      <w:pPr>
        <w:spacing w:after="0" w:line="121" w:lineRule="exact"/>
        <w:rPr>
          <w:sz w:val="20"/>
          <w:szCs w:val="20"/>
          <w:color w:val="auto"/>
        </w:rPr>
      </w:pPr>
    </w:p>
    <w:p>
      <w:pPr>
        <w:ind w:right="700" w:firstLine="496"/>
        <w:spacing w:after="0" w:line="265" w:lineRule="auto"/>
        <w:rPr>
          <w:sz w:val="20"/>
          <w:szCs w:val="20"/>
          <w:color w:val="auto"/>
        </w:rPr>
      </w:pPr>
      <w:r>
        <w:rPr>
          <w:rFonts w:ascii="Arial" w:cs="Arial" w:eastAsia="Arial" w:hAnsi="Arial"/>
          <w:sz w:val="16"/>
          <w:szCs w:val="16"/>
          <w:color w:val="auto"/>
        </w:rPr>
        <w:t xml:space="preserve">Also, Sempra Energy’s total shareholder return for the performance period among the companies (ranked by cumulative total shareholder returns) in the </w:t>
      </w:r>
      <w:r>
        <w:rPr>
          <w:rFonts w:ascii="Arial" w:cs="Arial" w:eastAsia="Arial" w:hAnsi="Arial"/>
          <w:sz w:val="16"/>
          <w:szCs w:val="16"/>
          <w:u w:val="single" w:color="auto"/>
          <w:color w:val="auto"/>
        </w:rPr>
        <w:t>S&amp;P 500</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Composite Index</w:t>
      </w:r>
      <w:r>
        <w:rPr>
          <w:rFonts w:ascii="Arial" w:cs="Arial" w:eastAsia="Arial" w:hAnsi="Arial"/>
          <w:sz w:val="16"/>
          <w:szCs w:val="16"/>
          <w:color w:val="auto"/>
        </w:rPr>
        <w:t xml:space="preserve">, as determined and certified by the Compensation Committee, is </w:t>
      </w:r>
      <w:r>
        <w:rPr>
          <w:rFonts w:ascii="Arial" w:cs="Arial" w:eastAsia="Arial" w:hAnsi="Arial"/>
          <w:sz w:val="16"/>
          <w:szCs w:val="16"/>
          <w:u w:val="single" w:color="auto"/>
          <w:color w:val="auto"/>
        </w:rPr>
        <w:t>below the 50th percentile</w:t>
      </w:r>
      <w:r>
        <w:rPr>
          <w:rFonts w:ascii="Arial" w:cs="Arial" w:eastAsia="Arial" w:hAnsi="Arial"/>
          <w:sz w:val="16"/>
          <w:szCs w:val="16"/>
          <w:color w:val="auto"/>
        </w:rPr>
        <w:t>.</w:t>
      </w:r>
    </w:p>
    <w:p>
      <w:pPr>
        <w:spacing w:after="0" w:line="148" w:lineRule="exact"/>
        <w:rPr>
          <w:sz w:val="20"/>
          <w:szCs w:val="20"/>
          <w:color w:val="auto"/>
        </w:rPr>
      </w:pPr>
    </w:p>
    <w:p>
      <w:pPr>
        <w:ind w:right="40" w:firstLine="496"/>
        <w:spacing w:after="0" w:line="209" w:lineRule="auto"/>
        <w:rPr>
          <w:sz w:val="20"/>
          <w:szCs w:val="20"/>
          <w:color w:val="auto"/>
        </w:rPr>
      </w:pPr>
      <w:r>
        <w:rPr>
          <w:rFonts w:ascii="Arial" w:cs="Arial" w:eastAsia="Arial" w:hAnsi="Arial"/>
          <w:sz w:val="16"/>
          <w:szCs w:val="16"/>
          <w:color w:val="auto"/>
        </w:rPr>
        <w:t xml:space="preserve">Because Sempra Energy’s total shareholder return for the performance period among companies in the </w:t>
      </w:r>
      <w:r>
        <w:rPr>
          <w:rFonts w:ascii="Arial" w:cs="Arial" w:eastAsia="Arial" w:hAnsi="Arial"/>
          <w:sz w:val="16"/>
          <w:szCs w:val="16"/>
          <w:u w:val="single" w:color="auto"/>
          <w:color w:val="auto"/>
        </w:rPr>
        <w:t>S&amp;P 500 Utility Index</w:t>
      </w:r>
      <w:r>
        <w:rPr>
          <w:rFonts w:ascii="Arial" w:cs="Arial" w:eastAsia="Arial" w:hAnsi="Arial"/>
          <w:sz w:val="16"/>
          <w:szCs w:val="16"/>
          <w:color w:val="auto"/>
        </w:rPr>
        <w:t xml:space="preserve"> is </w:t>
      </w:r>
      <w:r>
        <w:rPr>
          <w:rFonts w:ascii="Arial" w:cs="Arial" w:eastAsia="Arial" w:hAnsi="Arial"/>
          <w:sz w:val="16"/>
          <w:szCs w:val="16"/>
          <w:u w:val="single" w:color="auto"/>
          <w:color w:val="auto"/>
        </w:rPr>
        <w:t>below the 35</w:t>
      </w:r>
      <w:r>
        <w:rPr>
          <w:rFonts w:ascii="Arial" w:cs="Arial" w:eastAsia="Arial" w:hAnsi="Arial"/>
          <w:sz w:val="26"/>
          <w:szCs w:val="26"/>
          <w:u w:val="single" w:color="auto"/>
          <w:color w:val="auto"/>
          <w:vertAlign w:val="superscript"/>
        </w:rPr>
        <w:t>th</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percentile</w:t>
      </w:r>
      <w:r>
        <w:rPr>
          <w:rFonts w:ascii="Arial" w:cs="Arial" w:eastAsia="Arial" w:hAnsi="Arial"/>
          <w:sz w:val="16"/>
          <w:szCs w:val="16"/>
          <w:color w:val="auto"/>
        </w:rPr>
        <w:t>, none of the target number of restricted stock units vest.</w:t>
      </w:r>
    </w:p>
    <w:p>
      <w:pPr>
        <w:sectPr>
          <w:pgSz w:w="11900" w:h="16838" w:orient="portrait"/>
          <w:cols w:equalWidth="0" w:num="1">
            <w:col w:w="11460"/>
          </w:cols>
          <w:pgMar w:left="220" w:top="497" w:right="219" w:bottom="1440" w:gutter="0" w:footer="0" w:header="0"/>
        </w:sectPr>
      </w:pPr>
    </w:p>
    <w:bookmarkStart w:id="65" w:name="page66"/>
    <w:bookmarkEnd w:id="65"/>
    <w:p>
      <w:pPr>
        <w:jc w:val="right"/>
        <w:spacing w:after="0"/>
        <w:rPr>
          <w:sz w:val="20"/>
          <w:szCs w:val="20"/>
          <w:color w:val="auto"/>
        </w:rPr>
      </w:pPr>
      <w:r>
        <w:rPr>
          <w:rFonts w:ascii="Arial" w:cs="Arial" w:eastAsia="Arial" w:hAnsi="Arial"/>
          <w:sz w:val="17"/>
          <w:szCs w:val="17"/>
          <w:color w:val="auto"/>
        </w:rPr>
        <w:t>8/23/2010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2010 OPERATING ORDER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CONCERNING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 OF CALIFORNIA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DEPARTMENT OF WATER RESOURCES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SAN DIEGO GAS &amp; ELECTRIC COMPANY</w:t>
      </w:r>
    </w:p>
    <w:p>
      <w:pPr>
        <w:spacing w:after="0" w:line="200" w:lineRule="exact"/>
        <w:rPr>
          <w:sz w:val="20"/>
          <w:szCs w:val="20"/>
          <w:color w:val="auto"/>
        </w:rPr>
      </w:pPr>
    </w:p>
    <w:p>
      <w:pPr>
        <w:spacing w:after="0" w:line="30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THIS ORDER HAS BEEN FILED WITH AND APPROVED BY THE CALIFORNIA PUBLIC UTILITIES COMMISSION (“COMMISSION”) FOR USE BETWEEN THE STATE OF CALIFORNIA DEPARTMENT OF WATER RESOURCES (“DWR”) AND SAN DIEGO GAS &amp; ELECTRIC COMPANY (“UTILITY”).</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Date of Commission Approval: March 10, 2011</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Effective Date: March 10, 2011</w:t>
      </w:r>
    </w:p>
    <w:p>
      <w:pPr>
        <w:sectPr>
          <w:pgSz w:w="11900" w:h="16838" w:orient="portrait"/>
          <w:cols w:equalWidth="0" w:num="1">
            <w:col w:w="11460"/>
          </w:cols>
          <w:pgMar w:left="220" w:top="124" w:right="219" w:bottom="1440" w:gutter="0" w:footer="0" w:header="0"/>
        </w:sectPr>
      </w:pPr>
    </w:p>
    <w:bookmarkStart w:id="66" w:name="page67"/>
    <w:bookmarkEnd w:id="66"/>
    <w:p>
      <w:pPr>
        <w:jc w:val="center"/>
        <w:spacing w:after="0"/>
        <w:rPr>
          <w:sz w:val="20"/>
          <w:szCs w:val="20"/>
          <w:color w:val="auto"/>
        </w:rPr>
      </w:pPr>
      <w:r>
        <w:rPr>
          <w:rFonts w:ascii="Arial" w:cs="Arial" w:eastAsia="Arial" w:hAnsi="Arial"/>
          <w:sz w:val="17"/>
          <w:szCs w:val="17"/>
          <w:b w:val="1"/>
          <w:bCs w:val="1"/>
          <w:color w:val="auto"/>
        </w:rPr>
        <w:t>2010 OPERATING ORDER</w:t>
      </w:r>
    </w:p>
    <w:p>
      <w:pPr>
        <w:spacing w:after="0" w:line="156" w:lineRule="exact"/>
        <w:rPr>
          <w:sz w:val="20"/>
          <w:szCs w:val="20"/>
          <w:color w:val="auto"/>
        </w:rPr>
      </w:pPr>
    </w:p>
    <w:p>
      <w:pPr>
        <w:jc w:val="both"/>
        <w:ind w:firstLine="496"/>
        <w:spacing w:after="0" w:line="248"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2010 OPERATING ORDER</w:t>
      </w:r>
      <w:r>
        <w:rPr>
          <w:rFonts w:ascii="Arial" w:cs="Arial" w:eastAsia="Arial" w:hAnsi="Arial"/>
          <w:sz w:val="16"/>
          <w:szCs w:val="16"/>
          <w:color w:val="auto"/>
        </w:rPr>
        <w:t xml:space="preserve"> (this “Order” or “2010 Operating Order”) concerns the State of California Department of Water Resources (“DWR”), acting solely under the authority and powers granted by AB1X, codified as Sections 80000 through 80270 of the Water Code, and not under its powers and responsibilities with respect to the State Water Resources Development System, and San Diego Gas &amp; Electric Company, a California corporation (“Utility”). This 2010 Operating Order amends and restates that certain 2004 Operating Agreement filed with the Commission on November 12, 2004 as directed in Decision 04-10-020, clarifying and revising that certain original Operating Agreement filed with the Commission on April 17, 2003, consistent with Decision 03-04-029, which replaced that certain Operating Order adopted pursuant to Decision 02-12-069, as amended and supplemented from time to time (collectively, the “Existing Operating Arrangement”). DWR and Utility are sometimes collectively referred to herein as the “Parties” and individually referred to as a “Party.” Unless otherwise noted, all capitalized terms shall have the meanings set forth in Article I of this Order.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 E C I T A L S</w:t>
      </w:r>
    </w:p>
    <w:p>
      <w:pPr>
        <w:spacing w:after="0" w:line="160" w:lineRule="exact"/>
        <w:rPr>
          <w:sz w:val="20"/>
          <w:szCs w:val="20"/>
          <w:color w:val="auto"/>
        </w:rPr>
      </w:pPr>
    </w:p>
    <w:p>
      <w:pPr>
        <w:jc w:val="both"/>
        <w:ind w:firstLine="496"/>
        <w:spacing w:after="0" w:line="245" w:lineRule="auto"/>
        <w:rPr>
          <w:sz w:val="20"/>
          <w:szCs w:val="20"/>
          <w:color w:val="auto"/>
        </w:rPr>
      </w:pPr>
      <w:r>
        <w:rPr>
          <w:rFonts w:ascii="Arial" w:cs="Arial" w:eastAsia="Arial" w:hAnsi="Arial"/>
          <w:sz w:val="17"/>
          <w:szCs w:val="17"/>
          <w:color w:val="auto"/>
        </w:rPr>
        <w:t>WHEREAS, under the Act, DWR has entered into a number of long-term power purchase agreements for the purpose of providing the net short requirements to the retail ratepayers of the State’s electrical corporations, including Utility; and</w:t>
      </w:r>
    </w:p>
    <w:p>
      <w:pPr>
        <w:spacing w:after="0" w:line="138" w:lineRule="exact"/>
        <w:rPr>
          <w:sz w:val="20"/>
          <w:szCs w:val="20"/>
          <w:color w:val="auto"/>
        </w:rPr>
      </w:pPr>
    </w:p>
    <w:p>
      <w:pPr>
        <w:jc w:val="both"/>
        <w:ind w:firstLine="496"/>
        <w:spacing w:after="0" w:line="301" w:lineRule="auto"/>
        <w:rPr>
          <w:sz w:val="20"/>
          <w:szCs w:val="20"/>
          <w:color w:val="auto"/>
        </w:rPr>
      </w:pPr>
      <w:r>
        <w:rPr>
          <w:rFonts w:ascii="Arial" w:cs="Arial" w:eastAsia="Arial" w:hAnsi="Arial"/>
          <w:sz w:val="14"/>
          <w:szCs w:val="14"/>
          <w:color w:val="auto"/>
        </w:rPr>
        <w:t>WHEREAS, the Contract Allocation Order of the Commission provides that such long-term power purchase agreements are to be operationally allocated among the State’s electrical corporations, including Utility, solely for the purpose of causing the State’s electrical corporations to perform certain specified functions on behalf of DWR, as DWR’s limited agent, including dispatching, scheduling, billing and settlements functions, and, prior to the MRTU Effective Date, to sell surplus energy, all as such functions relate to those certain power purchase agreements that are operationally allocated to each electrical corporation under the Contract Allocation Order; and</w:t>
      </w:r>
    </w:p>
    <w:p>
      <w:pPr>
        <w:spacing w:after="0" w:line="102" w:lineRule="exact"/>
        <w:rPr>
          <w:sz w:val="20"/>
          <w:szCs w:val="20"/>
          <w:color w:val="auto"/>
        </w:rPr>
      </w:pPr>
    </w:p>
    <w:p>
      <w:pPr>
        <w:jc w:val="both"/>
        <w:ind w:firstLine="496"/>
        <w:spacing w:after="0" w:line="245" w:lineRule="auto"/>
        <w:rPr>
          <w:sz w:val="20"/>
          <w:szCs w:val="20"/>
          <w:color w:val="auto"/>
        </w:rPr>
      </w:pPr>
      <w:r>
        <w:rPr>
          <w:rFonts w:ascii="Arial" w:cs="Arial" w:eastAsia="Arial" w:hAnsi="Arial"/>
          <w:sz w:val="17"/>
          <w:szCs w:val="17"/>
          <w:color w:val="auto"/>
        </w:rPr>
        <w:t>WHEREAS, DWR wishes to provide for the performance of such functions under the Allocated Contracts by Utility on behalf of DWR in accordance with such long-term power purchase agreements as provided in this Order; and</w:t>
      </w:r>
    </w:p>
    <w:p>
      <w:pPr>
        <w:spacing w:after="0" w:line="138" w:lineRule="exact"/>
        <w:rPr>
          <w:sz w:val="20"/>
          <w:szCs w:val="20"/>
          <w:color w:val="auto"/>
        </w:rPr>
      </w:pPr>
    </w:p>
    <w:p>
      <w:pPr>
        <w:jc w:val="both"/>
        <w:ind w:firstLine="496"/>
        <w:spacing w:after="0" w:line="313" w:lineRule="auto"/>
        <w:rPr>
          <w:sz w:val="20"/>
          <w:szCs w:val="20"/>
          <w:color w:val="auto"/>
        </w:rPr>
      </w:pPr>
      <w:r>
        <w:rPr>
          <w:rFonts w:ascii="Arial" w:cs="Arial" w:eastAsia="Arial" w:hAnsi="Arial"/>
          <w:sz w:val="14"/>
          <w:szCs w:val="14"/>
          <w:color w:val="auto"/>
        </w:rPr>
        <w:t>WHEREAS, consistent with the Contract Allocation Order and prior to the date that any Contract is novated to Utility, DWR will retain legal and financial obligations, together with ongoing responsibility for any other functions not explicitly provided in this Order to be performed by Utility, with respect to each of the Allocated Contracts and it is the intent of DWR and the Utility that the provisions of this Order will not constitute an “assignment” of the Allocated Contracts to Utility; and</w:t>
      </w:r>
    </w:p>
    <w:p>
      <w:pPr>
        <w:spacing w:after="0" w:line="94" w:lineRule="exact"/>
        <w:rPr>
          <w:sz w:val="20"/>
          <w:szCs w:val="20"/>
          <w:color w:val="auto"/>
        </w:rPr>
      </w:pPr>
    </w:p>
    <w:p>
      <w:pPr>
        <w:jc w:val="both"/>
        <w:ind w:firstLine="496"/>
        <w:spacing w:after="0" w:line="237" w:lineRule="auto"/>
        <w:rPr>
          <w:sz w:val="20"/>
          <w:szCs w:val="20"/>
          <w:color w:val="auto"/>
        </w:rPr>
      </w:pPr>
      <w:r>
        <w:rPr>
          <w:rFonts w:ascii="Arial" w:cs="Arial" w:eastAsia="Arial" w:hAnsi="Arial"/>
          <w:sz w:val="17"/>
          <w:szCs w:val="17"/>
          <w:color w:val="auto"/>
        </w:rPr>
        <w:t>WHEREAS, to reflect the changes resulting from the ISO implementation of Market Redesign and Technology Upgrade, DWR desires to amend the Existing Operating Arrangement and the Servicing Arrangement, consistent with the principles memorialized in that certain Memorandum of Understanding, dated as of February 4, 2009, which has been approved by the Commission on March 13, 2009.</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DWR agrees and Utility is ordered to do as follows: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132" w:lineRule="exact"/>
        <w:rPr>
          <w:sz w:val="20"/>
          <w:szCs w:val="20"/>
          <w:color w:val="auto"/>
        </w:rPr>
      </w:pPr>
    </w:p>
    <w:p>
      <w:pPr>
        <w:ind w:left="500"/>
        <w:spacing w:after="0"/>
        <w:tabs>
          <w:tab w:leader="none" w:pos="1480" w:val="left"/>
        </w:tabs>
        <w:rPr>
          <w:sz w:val="20"/>
          <w:szCs w:val="20"/>
          <w:color w:val="auto"/>
        </w:rPr>
      </w:pPr>
      <w:r>
        <w:rPr>
          <w:rFonts w:ascii="Arial" w:cs="Arial" w:eastAsia="Arial" w:hAnsi="Arial"/>
          <w:sz w:val="17"/>
          <w:szCs w:val="17"/>
          <w:color w:val="auto"/>
        </w:rPr>
        <w:t>Section 1.1.</w:t>
      </w:r>
      <w:r>
        <w:rPr>
          <w:sz w:val="20"/>
          <w:szCs w:val="20"/>
          <w:color w:val="auto"/>
        </w:rPr>
        <w:tab/>
      </w:r>
      <w:r>
        <w:rPr>
          <w:rFonts w:ascii="Arial" w:cs="Arial" w:eastAsia="Arial" w:hAnsi="Arial"/>
          <w:sz w:val="14"/>
          <w:szCs w:val="14"/>
          <w:u w:val="single" w:color="auto"/>
          <w:color w:val="auto"/>
        </w:rPr>
        <w:t>Definitions</w:t>
      </w:r>
      <w:r>
        <w:rPr>
          <w:rFonts w:ascii="Arial" w:cs="Arial" w:eastAsia="Arial" w:hAnsi="Arial"/>
          <w:sz w:val="14"/>
          <w:szCs w:val="14"/>
          <w:color w:val="auto"/>
        </w:rPr>
        <w:t>. The following terms shall have the respective meanings in this Order:</w:t>
      </w:r>
    </w:p>
    <w:p>
      <w:pPr>
        <w:spacing w:after="0" w:line="156" w:lineRule="exact"/>
        <w:rPr>
          <w:sz w:val="20"/>
          <w:szCs w:val="20"/>
          <w:color w:val="auto"/>
        </w:rPr>
      </w:pPr>
    </w:p>
    <w:p>
      <w:pPr>
        <w:jc w:val="both"/>
        <w:ind w:firstLine="496"/>
        <w:spacing w:after="0" w:line="289" w:lineRule="auto"/>
        <w:rPr>
          <w:sz w:val="20"/>
          <w:szCs w:val="20"/>
          <w:color w:val="auto"/>
        </w:rPr>
      </w:pPr>
      <w:r>
        <w:rPr>
          <w:rFonts w:ascii="Arial" w:cs="Arial" w:eastAsia="Arial" w:hAnsi="Arial"/>
          <w:sz w:val="14"/>
          <w:szCs w:val="14"/>
          <w:color w:val="auto"/>
        </w:rPr>
        <w:t xml:space="preserve">The following terms, when used herein (and in the attachments hereto) with initial capitalization, shall have the meaning specified in this Section 1.01. Certain additional terms are defined in the attachments hereto. The singular shall include the plural and the masculine shall include the feminine and neuter, and </w:t>
      </w:r>
      <w:r>
        <w:rPr>
          <w:rFonts w:ascii="Arial" w:cs="Arial" w:eastAsia="Arial" w:hAnsi="Arial"/>
          <w:sz w:val="14"/>
          <w:szCs w:val="14"/>
          <w:i w:val="1"/>
          <w:iCs w:val="1"/>
          <w:color w:val="auto"/>
        </w:rPr>
        <w:t>vice versa</w:t>
      </w:r>
      <w:r>
        <w:rPr>
          <w:rFonts w:ascii="Arial" w:cs="Arial" w:eastAsia="Arial" w:hAnsi="Arial"/>
          <w:sz w:val="14"/>
          <w:szCs w:val="14"/>
          <w:color w:val="auto"/>
        </w:rPr>
        <w:t>. “Includes” or “including” shall mean “including without limitation.” References to a section or attachment shall mean a section or attachment of this Order, as the case may be, unless the context requires otherwise, and reference to a given agreement or instrument shall be a reference to that agreement or instrument as modified, amended, supplemented or restated through the date as of which such reference is made (except as otherwise specifically provided herein). Unless the context otherwise requires, references to Applicable Laws or Applicable Tariffs shall be deemed references to such laws or tariffs as they may be amended, replaced or restated from time to time. References to the time of day shall be deemed references to such time as measured by prevailing Pacific Time.</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w:t>
      </w:r>
      <w:r>
        <w:rPr>
          <w:rFonts w:ascii="Arial" w:cs="Arial" w:eastAsia="Arial" w:hAnsi="Arial"/>
          <w:sz w:val="17"/>
          <w:szCs w:val="17"/>
          <w:color w:val="auto"/>
        </w:rPr>
        <w:t>” means Chapter 4 of Statutes of 2001 (Assembly Bill 1 of the First 2001-02 Extraordinary Session) of the State of California, as amended.</w:t>
      </w:r>
    </w:p>
    <w:p>
      <w:pPr>
        <w:spacing w:after="0" w:line="156" w:lineRule="exact"/>
        <w:rPr>
          <w:sz w:val="20"/>
          <w:szCs w:val="20"/>
          <w:color w:val="auto"/>
        </w:rPr>
      </w:pPr>
    </w:p>
    <w:p>
      <w:pPr>
        <w:jc w:val="both"/>
        <w:ind w:firstLine="496"/>
        <w:spacing w:after="0" w:line="23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Allocated Contracts”</w:t>
      </w:r>
      <w:r>
        <w:rPr>
          <w:rFonts w:ascii="Arial" w:cs="Arial" w:eastAsia="Arial" w:hAnsi="Arial"/>
          <w:sz w:val="17"/>
          <w:szCs w:val="17"/>
          <w:color w:val="auto"/>
        </w:rPr>
        <w:t xml:space="preserve"> mean the long-term power purchase agreements (as such agreements may be amended, supplemented, modified or clarified from time to time) operationally allocated to Utility under the Contract Allocation Order, without legal and financial assignment of such agreements to Utility, as provided in Schedule 1 attached hereto.</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Allocated Power</w:t>
      </w:r>
      <w:r>
        <w:rPr>
          <w:rFonts w:ascii="Arial" w:cs="Arial" w:eastAsia="Arial" w:hAnsi="Arial"/>
          <w:sz w:val="14"/>
          <w:szCs w:val="14"/>
          <w:color w:val="auto"/>
        </w:rPr>
        <w:t>” means all power and energy, including the use of such power or energy as ancillary services, delivered or to be delivered under the Contracts.</w:t>
      </w:r>
    </w:p>
    <w:p>
      <w:pPr>
        <w:spacing w:after="0" w:line="190" w:lineRule="exact"/>
        <w:rPr>
          <w:sz w:val="20"/>
          <w:szCs w:val="20"/>
          <w:color w:val="auto"/>
        </w:rPr>
      </w:pPr>
    </w:p>
    <w:p>
      <w:pPr>
        <w:jc w:val="both"/>
        <w:ind w:firstLine="496"/>
        <w:spacing w:after="0" w:line="24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Commission Orders</w:t>
      </w:r>
      <w:r>
        <w:rPr>
          <w:rFonts w:ascii="Arial" w:cs="Arial" w:eastAsia="Arial" w:hAnsi="Arial"/>
          <w:sz w:val="17"/>
          <w:szCs w:val="17"/>
          <w:color w:val="auto"/>
        </w:rPr>
        <w:t>” mean such rules, regulations, decisions, opinions or orders as the Commission may lawfully issue or promulgate from time to time, which further define the rights and obligations of the Parties under this Order.</w:t>
      </w:r>
    </w:p>
    <w:p>
      <w:pPr>
        <w:spacing w:after="0" w:line="138" w:lineRule="exact"/>
        <w:rPr>
          <w:sz w:val="20"/>
          <w:szCs w:val="20"/>
          <w:color w:val="auto"/>
        </w:rPr>
      </w:pPr>
    </w:p>
    <w:p>
      <w:pPr>
        <w:jc w:val="both"/>
        <w:ind w:firstLine="496"/>
        <w:spacing w:after="0" w:line="24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means the Act, Applicable Commission Orders and any other applicable statute, constitutional provision, rule, regulation, ordinance, order, decision or code of a Governmental Authority.</w:t>
      </w:r>
    </w:p>
    <w:p>
      <w:pPr>
        <w:spacing w:after="0" w:line="138" w:lineRule="exact"/>
        <w:rPr>
          <w:sz w:val="20"/>
          <w:szCs w:val="20"/>
          <w:color w:val="auto"/>
        </w:rPr>
      </w:pPr>
    </w:p>
    <w:p>
      <w:pPr>
        <w:jc w:val="both"/>
        <w:ind w:firstLine="496"/>
        <w:spacing w:after="0" w:line="24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Tariffs</w:t>
      </w:r>
      <w:r>
        <w:rPr>
          <w:rFonts w:ascii="Arial" w:cs="Arial" w:eastAsia="Arial" w:hAnsi="Arial"/>
          <w:sz w:val="17"/>
          <w:szCs w:val="17"/>
          <w:color w:val="auto"/>
        </w:rPr>
        <w:t>” mean Utility’s tariffs, including all rules, rates, schedules and preliminary statements, governing electric energy service to Utility’s customers in its service territory, as filed with and approved by the Commission and, if applicable, the Federal Energy Regulatory Commission.</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Assign(s)</w:t>
      </w:r>
      <w:r>
        <w:rPr>
          <w:rFonts w:ascii="Arial" w:cs="Arial" w:eastAsia="Arial" w:hAnsi="Arial"/>
          <w:sz w:val="17"/>
          <w:szCs w:val="17"/>
          <w:color w:val="auto"/>
        </w:rPr>
        <w:t>” shall have the meaning set forth in Section 14.01.</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Bonds</w:t>
      </w:r>
      <w:r>
        <w:rPr>
          <w:rFonts w:ascii="Arial" w:cs="Arial" w:eastAsia="Arial" w:hAnsi="Arial"/>
          <w:sz w:val="17"/>
          <w:szCs w:val="17"/>
          <w:color w:val="auto"/>
        </w:rPr>
        <w:t>” shall have the meaning set forth in the Rate Agreement.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Bond Charges</w:t>
      </w:r>
      <w:r>
        <w:rPr>
          <w:rFonts w:ascii="Arial" w:cs="Arial" w:eastAsia="Arial" w:hAnsi="Arial"/>
          <w:sz w:val="17"/>
          <w:szCs w:val="17"/>
          <w:color w:val="auto"/>
        </w:rPr>
        <w:t>” shall have the meaning set forth in the Rate Agreement.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Business Day</w:t>
      </w:r>
      <w:r>
        <w:rPr>
          <w:rFonts w:ascii="Arial" w:cs="Arial" w:eastAsia="Arial" w:hAnsi="Arial"/>
          <w:sz w:val="14"/>
          <w:szCs w:val="14"/>
          <w:color w:val="auto"/>
        </w:rPr>
        <w:t>” means the regular Monday through Friday weekdays that are customary working days, excluding holidays, as established by Applicable Tariffs.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Commission</w:t>
      </w:r>
      <w:r>
        <w:rPr>
          <w:rFonts w:ascii="Arial" w:cs="Arial" w:eastAsia="Arial" w:hAnsi="Arial"/>
          <w:sz w:val="17"/>
          <w:szCs w:val="17"/>
          <w:color w:val="auto"/>
        </w:rPr>
        <w:t>” means the California Public Utilities Commission.</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shall have the meaning set forth in Section 11.01(c).</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Contracts</w:t>
      </w:r>
      <w:r>
        <w:rPr>
          <w:rFonts w:ascii="Arial" w:cs="Arial" w:eastAsia="Arial" w:hAnsi="Arial"/>
          <w:sz w:val="17"/>
          <w:szCs w:val="17"/>
          <w:color w:val="auto"/>
        </w:rPr>
        <w:t>” mean the Allocated Contracts.</w:t>
      </w:r>
    </w:p>
    <w:p>
      <w:pPr>
        <w:spacing w:after="0" w:line="156" w:lineRule="exact"/>
        <w:rPr>
          <w:sz w:val="20"/>
          <w:szCs w:val="20"/>
          <w:color w:val="auto"/>
        </w:rPr>
      </w:pPr>
    </w:p>
    <w:p>
      <w:pPr>
        <w:jc w:val="both"/>
        <w:ind w:firstLine="496"/>
        <w:spacing w:after="0" w:line="24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 Allocation Order</w:t>
      </w:r>
      <w:r>
        <w:rPr>
          <w:rFonts w:ascii="Arial" w:cs="Arial" w:eastAsia="Arial" w:hAnsi="Arial"/>
          <w:sz w:val="17"/>
          <w:szCs w:val="17"/>
          <w:color w:val="auto"/>
        </w:rPr>
        <w:t>” means Decision 02-09-053 of the Commission, issued on September 19, 2002, as such Decision may be modified, revised, amended, supplemented or superseded from time to time by the Commission.</w:t>
      </w:r>
    </w:p>
    <w:p>
      <w:pPr>
        <w:spacing w:after="0" w:line="138" w:lineRule="exact"/>
        <w:rPr>
          <w:sz w:val="20"/>
          <w:szCs w:val="20"/>
          <w:color w:val="auto"/>
        </w:rPr>
      </w:pPr>
    </w:p>
    <w:p>
      <w:pPr>
        <w:jc w:val="both"/>
        <w:ind w:firstLine="496"/>
        <w:spacing w:after="0" w:line="24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DWR Power</w:t>
      </w:r>
      <w:r>
        <w:rPr>
          <w:rFonts w:ascii="Arial" w:cs="Arial" w:eastAsia="Arial" w:hAnsi="Arial"/>
          <w:sz w:val="17"/>
          <w:szCs w:val="17"/>
          <w:color w:val="auto"/>
        </w:rPr>
        <w:t>” shall have the same meaning set forth in the Servicing Arrangement with such amendments to incorporate the Settlement Principles for Remittances and Surplus Revenues, as provided in Exhibit C of this Order.</w:t>
      </w:r>
    </w:p>
    <w:p>
      <w:pPr>
        <w:spacing w:after="0" w:line="138" w:lineRule="exact"/>
        <w:rPr>
          <w:sz w:val="20"/>
          <w:szCs w:val="20"/>
          <w:color w:val="auto"/>
        </w:rPr>
      </w:pPr>
    </w:p>
    <w:p>
      <w:pPr>
        <w:jc w:val="both"/>
        <w:ind w:firstLine="496"/>
        <w:spacing w:after="0" w:line="24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DWR Revenues</w:t>
      </w:r>
      <w:r>
        <w:rPr>
          <w:rFonts w:ascii="Arial" w:cs="Arial" w:eastAsia="Arial" w:hAnsi="Arial"/>
          <w:sz w:val="17"/>
          <w:szCs w:val="17"/>
          <w:color w:val="auto"/>
        </w:rPr>
        <w:t>” mean those amounts required to be remitted to DWR by Utility in accordance with this Order and as further provided in the Servicing Arrangement.</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means the effective date of this Order in accordance with Section 14.13, as such date is set forth on the cover page hereof.</w:t>
      </w:r>
    </w:p>
    <w:p>
      <w:pPr>
        <w:sectPr>
          <w:pgSz w:w="11900" w:h="16838" w:orient="portrait"/>
          <w:cols w:equalWidth="0" w:num="1">
            <w:col w:w="11460"/>
          </w:cols>
          <w:pgMar w:left="220" w:top="677" w:right="219" w:bottom="0" w:gutter="0" w:footer="0" w:header="0"/>
        </w:sectPr>
      </w:pPr>
    </w:p>
    <w:bookmarkStart w:id="67" w:name="page68"/>
    <w:bookmarkEnd w:id="67"/>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w:t>
      </w:r>
      <w:r>
        <w:rPr>
          <w:rFonts w:ascii="Arial" w:cs="Arial" w:eastAsia="Arial" w:hAnsi="Arial"/>
          <w:sz w:val="17"/>
          <w:szCs w:val="17"/>
          <w:color w:val="auto"/>
        </w:rPr>
        <w:t>” means the Department of Water Resources Electric Power Fund established by Section 80200 of the California Water Code.</w:t>
      </w:r>
    </w:p>
    <w:p>
      <w:pPr>
        <w:spacing w:after="0" w:line="155" w:lineRule="exact"/>
        <w:rPr>
          <w:sz w:val="20"/>
          <w:szCs w:val="20"/>
          <w:color w:val="auto"/>
        </w:rPr>
      </w:pPr>
    </w:p>
    <w:p>
      <w:pPr>
        <w:jc w:val="both"/>
        <w:ind w:firstLine="496"/>
        <w:spacing w:after="0" w:line="23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Utility Practice</w:t>
      </w:r>
      <w:r>
        <w:rPr>
          <w:rFonts w:ascii="Arial" w:cs="Arial" w:eastAsia="Arial" w:hAnsi="Arial"/>
          <w:sz w:val="17"/>
          <w:szCs w:val="17"/>
          <w:color w:val="auto"/>
        </w:rPr>
        <w:t>” means any of the practices, methods and acts engaged in or approved by a significant portion of the electric utility industry during the relevant time period, or any of the practices, methods and acts which, in the exercise of reasonable judgment in light of the facts known at the time the decision was made, could have been expected to accomplish the desired result at a reasonable cost consistent with good business practices, reliability, safety and expedition. Good Utility Practice does not require the optimum practice, method, or act to the exclusion of all others, but rather is intended to include acceptable practices, methods, or acts generally accepted in the Western Electric Coordinating Council region.</w:t>
      </w:r>
    </w:p>
    <w:p>
      <w:pPr>
        <w:spacing w:after="0" w:line="143" w:lineRule="exact"/>
        <w:rPr>
          <w:sz w:val="20"/>
          <w:szCs w:val="20"/>
          <w:color w:val="auto"/>
        </w:rPr>
      </w:pPr>
    </w:p>
    <w:p>
      <w:pPr>
        <w:jc w:val="both"/>
        <w:ind w:firstLine="496"/>
        <w:spacing w:after="0" w:line="24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nation or government, any state or other political subdivision thereof, and any entity exercising executive, legislative, judicial, regulatory or administrative functions of or pertaining to a government, including the Commission.</w:t>
      </w:r>
    </w:p>
    <w:p>
      <w:pPr>
        <w:spacing w:after="0" w:line="138" w:lineRule="exact"/>
        <w:rPr>
          <w:sz w:val="20"/>
          <w:szCs w:val="20"/>
          <w:color w:val="auto"/>
        </w:rPr>
      </w:pPr>
    </w:p>
    <w:p>
      <w:pPr>
        <w:jc w:val="both"/>
        <w:ind w:firstLine="496"/>
        <w:spacing w:after="0" w:line="34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Governmental Program</w:t>
      </w:r>
      <w:r>
        <w:rPr>
          <w:rFonts w:ascii="Arial" w:cs="Arial" w:eastAsia="Arial" w:hAnsi="Arial"/>
          <w:sz w:val="14"/>
          <w:szCs w:val="14"/>
          <w:color w:val="auto"/>
        </w:rPr>
        <w:t>” means any program or directive established by Applicable Law which directly or indirectly affects the rights or obligations of the Parties under this Order and which obligates or authorizes DWR to make payments or give credits to customers or other third parties under such programs or directives.</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ISO</w:t>
      </w:r>
      <w:r>
        <w:rPr>
          <w:rFonts w:ascii="Arial" w:cs="Arial" w:eastAsia="Arial" w:hAnsi="Arial"/>
          <w:sz w:val="17"/>
          <w:szCs w:val="17"/>
          <w:color w:val="auto"/>
        </w:rPr>
        <w:t>” means the California Independent System Operator Corporation.</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MRTU</w:t>
      </w:r>
      <w:r>
        <w:rPr>
          <w:rFonts w:ascii="Arial" w:cs="Arial" w:eastAsia="Arial" w:hAnsi="Arial"/>
          <w:sz w:val="17"/>
          <w:szCs w:val="17"/>
          <w:color w:val="auto"/>
        </w:rPr>
        <w:t>” means the ISO’s Market Redesign and Technology Upgrade.</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MRTU Effective Date</w:t>
      </w:r>
      <w:r>
        <w:rPr>
          <w:rFonts w:ascii="Arial" w:cs="Arial" w:eastAsia="Arial" w:hAnsi="Arial"/>
          <w:sz w:val="17"/>
          <w:szCs w:val="17"/>
          <w:color w:val="auto"/>
        </w:rPr>
        <w:t>” means the first trade date upon MRTU implementation by the ISO.</w:t>
      </w:r>
    </w:p>
    <w:p>
      <w:pPr>
        <w:spacing w:after="0" w:line="156" w:lineRule="exact"/>
        <w:rPr>
          <w:sz w:val="20"/>
          <w:szCs w:val="20"/>
          <w:color w:val="auto"/>
        </w:rPr>
      </w:pPr>
    </w:p>
    <w:p>
      <w:pPr>
        <w:jc w:val="both"/>
        <w:ind w:firstLine="496"/>
        <w:spacing w:after="0" w:line="31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Operating Order</w:t>
      </w:r>
      <w:r>
        <w:rPr>
          <w:rFonts w:ascii="Arial" w:cs="Arial" w:eastAsia="Arial" w:hAnsi="Arial"/>
          <w:sz w:val="14"/>
          <w:szCs w:val="14"/>
          <w:color w:val="auto"/>
        </w:rPr>
        <w:t>” or “Order” means this 2010 Operating Order, which amends and restates that certain 2004 Operating Agreement filed with the Commission on November 12, 2004 as directed in Decision 04-10-020, clarifying and revising that certain original Operating Agreement filed with the Commission on April 17, 2003, consistent with Decision 03-04-029, which replaced that certain Operating Order adopted pursuant to Decision 02-12-069, as amended and supplemented from time to time.</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Power Charges</w:t>
      </w:r>
      <w:r>
        <w:rPr>
          <w:rFonts w:ascii="Arial" w:cs="Arial" w:eastAsia="Arial" w:hAnsi="Arial"/>
          <w:sz w:val="17"/>
          <w:szCs w:val="17"/>
          <w:color w:val="auto"/>
        </w:rPr>
        <w:t>” shall have the meaning set forth in the Rate Agreement.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Priority Long Term Power Contract</w:t>
      </w:r>
      <w:r>
        <w:rPr>
          <w:rFonts w:ascii="Arial" w:cs="Arial" w:eastAsia="Arial" w:hAnsi="Arial"/>
          <w:sz w:val="17"/>
          <w:szCs w:val="17"/>
          <w:color w:val="auto"/>
        </w:rPr>
        <w:t>” shall have the meaning set forth in the Rate Agreement.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Rate Agreement</w:t>
      </w:r>
      <w:r>
        <w:rPr>
          <w:rFonts w:ascii="Arial" w:cs="Arial" w:eastAsia="Arial" w:hAnsi="Arial"/>
          <w:sz w:val="14"/>
          <w:szCs w:val="14"/>
          <w:color w:val="auto"/>
        </w:rPr>
        <w:t>” means the Rate Agreement between DWR and the Commission adopted by the Commission on February 21, 2002 in Decision 02-02-051.</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Remittance</w:t>
      </w:r>
      <w:r>
        <w:rPr>
          <w:rFonts w:ascii="Arial" w:cs="Arial" w:eastAsia="Arial" w:hAnsi="Arial"/>
          <w:sz w:val="17"/>
          <w:szCs w:val="17"/>
          <w:color w:val="auto"/>
        </w:rPr>
        <w:t>” means a payment by Utility to DWR or its Assign(s) in accordance with the Servicing Arrangement.</w:t>
      </w:r>
    </w:p>
    <w:p>
      <w:pPr>
        <w:spacing w:after="0" w:line="156" w:lineRule="exact"/>
        <w:rPr>
          <w:sz w:val="20"/>
          <w:szCs w:val="20"/>
          <w:color w:val="auto"/>
        </w:rPr>
      </w:pPr>
    </w:p>
    <w:p>
      <w:pPr>
        <w:jc w:val="both"/>
        <w:ind w:firstLine="496"/>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Servicing Arrangement”</w:t>
      </w:r>
      <w:r>
        <w:rPr>
          <w:rFonts w:ascii="Arial" w:cs="Arial" w:eastAsia="Arial" w:hAnsi="Arial"/>
          <w:sz w:val="16"/>
          <w:szCs w:val="16"/>
          <w:color w:val="auto"/>
        </w:rPr>
        <w:t xml:space="preserve"> means the Servicing Order as specified in Commission Decision 02-12-070, dated December 19, 2002, as further amended and restated by Decision 07-03-025 and certain further amended and restated 2010 Servicing Order submitted and pending the Commission approval.</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Supplier</w:t>
      </w:r>
      <w:r>
        <w:rPr>
          <w:rFonts w:ascii="Arial" w:cs="Arial" w:eastAsia="Arial" w:hAnsi="Arial"/>
          <w:sz w:val="17"/>
          <w:szCs w:val="17"/>
          <w:color w:val="auto"/>
        </w:rPr>
        <w:t>” means those certain third parties who are supplying power pursuant to the Contracts.</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w:t>
      </w:r>
      <w:r>
        <w:rPr>
          <w:rFonts w:ascii="Arial" w:cs="Arial" w:eastAsia="Arial" w:hAnsi="Arial"/>
          <w:sz w:val="17"/>
          <w:szCs w:val="17"/>
          <w:color w:val="auto"/>
        </w:rPr>
        <w:t>” means term provided in Section 2.05 hereof.</w:t>
      </w:r>
    </w:p>
    <w:p>
      <w:pPr>
        <w:spacing w:after="0" w:line="156" w:lineRule="exact"/>
        <w:rPr>
          <w:sz w:val="20"/>
          <w:szCs w:val="20"/>
          <w:color w:val="auto"/>
        </w:rPr>
      </w:pPr>
    </w:p>
    <w:p>
      <w:pPr>
        <w:jc w:val="both"/>
        <w:ind w:firstLine="496"/>
        <w:spacing w:after="0" w:line="24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URG</w:t>
      </w:r>
      <w:r>
        <w:rPr>
          <w:rFonts w:ascii="Arial" w:cs="Arial" w:eastAsia="Arial" w:hAnsi="Arial"/>
          <w:sz w:val="17"/>
          <w:szCs w:val="17"/>
          <w:color w:val="auto"/>
        </w:rPr>
        <w:t>” means utility-retained generation, including without limitation Utility’s portfolio of generation resources and power purchase agreements prior to or after the Effective Date by Utility.</w:t>
      </w:r>
    </w:p>
    <w:p>
      <w:pPr>
        <w:spacing w:after="0" w:line="128" w:lineRule="exact"/>
        <w:rPr>
          <w:sz w:val="20"/>
          <w:szCs w:val="20"/>
          <w:color w:val="auto"/>
        </w:rPr>
      </w:pPr>
    </w:p>
    <w:p>
      <w:pPr>
        <w:jc w:val="both"/>
        <w:ind w:firstLine="496"/>
        <w:spacing w:after="0" w:line="245"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Undefined Terms</w:t>
      </w:r>
      <w:r>
        <w:rPr>
          <w:rFonts w:ascii="Arial" w:cs="Arial" w:eastAsia="Arial" w:hAnsi="Arial"/>
          <w:sz w:val="17"/>
          <w:szCs w:val="17"/>
          <w:color w:val="auto"/>
        </w:rPr>
        <w:t>. Capitalized terms not otherwise defined in Section 1.01 herein shall have the meanings set forth in the Act or the Servicing Arrangement.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OPERATIONAL ALLOCATION OF POWER PURCHASE AGREEMENTS; MANAGEMENT OF THE CONTRACTS; ALLOCATED POWER; TERM</w:t>
      </w:r>
    </w:p>
    <w:p>
      <w:pPr>
        <w:spacing w:after="0" w:line="142" w:lineRule="exact"/>
        <w:rPr>
          <w:sz w:val="20"/>
          <w:szCs w:val="20"/>
          <w:color w:val="auto"/>
        </w:rPr>
      </w:pPr>
    </w:p>
    <w:p>
      <w:pPr>
        <w:jc w:val="both"/>
        <w:ind w:firstLine="496"/>
        <w:spacing w:after="0" w:line="237"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Operational Allocation and Management of Power Purchase Agreements</w:t>
      </w:r>
      <w:r>
        <w:rPr>
          <w:rFonts w:ascii="Arial" w:cs="Arial" w:eastAsia="Arial" w:hAnsi="Arial"/>
          <w:sz w:val="17"/>
          <w:szCs w:val="17"/>
          <w:color w:val="auto"/>
        </w:rPr>
        <w:t>. On behalf of DWR, as its limited agent, Utility will perform certain day-to-day scheduling and dispatch functions, billing and settlements and surplus energy sales (prior to the MRTU Effective Date) and certain other tasks with respect to the Allocated Contracts, as more fully set forth in this Order.</w:t>
      </w:r>
    </w:p>
    <w:p>
      <w:pPr>
        <w:spacing w:after="0" w:line="144" w:lineRule="exact"/>
        <w:rPr>
          <w:sz w:val="20"/>
          <w:szCs w:val="20"/>
          <w:color w:val="auto"/>
        </w:rPr>
      </w:pPr>
    </w:p>
    <w:p>
      <w:pPr>
        <w:jc w:val="both"/>
        <w:ind w:firstLine="496"/>
        <w:spacing w:after="0" w:line="235" w:lineRule="auto"/>
        <w:rPr>
          <w:sz w:val="20"/>
          <w:szCs w:val="20"/>
          <w:color w:val="auto"/>
        </w:rPr>
      </w:pPr>
      <w:r>
        <w:rPr>
          <w:rFonts w:ascii="Arial" w:cs="Arial" w:eastAsia="Arial" w:hAnsi="Arial"/>
          <w:sz w:val="17"/>
          <w:szCs w:val="17"/>
          <w:color w:val="auto"/>
        </w:rPr>
        <w:t>As further provided in Contract Administration and Performance Test Monitoring Protocols set forth in Exhibit E, except as otherwise transferred to the Utility as referenced in Exhibit E, DWR will continue to monitor and audit the Supplier performance under the Contracts. Upon development of a mutually agreeable plan, Utility will monitor the performance of Suppliers, as further provided in Exhibit E, subject, however, to DWR’s right but not the obligation to audit and monitor all functions contemplated to be performed by Utility, all as further provided in this Order.</w:t>
      </w:r>
    </w:p>
    <w:p>
      <w:pPr>
        <w:spacing w:after="0" w:line="134" w:lineRule="exact"/>
        <w:rPr>
          <w:sz w:val="20"/>
          <w:szCs w:val="20"/>
          <w:color w:val="auto"/>
        </w:rPr>
      </w:pPr>
    </w:p>
    <w:p>
      <w:pPr>
        <w:ind w:left="500"/>
        <w:spacing w:after="0"/>
        <w:tabs>
          <w:tab w:leader="none" w:pos="1480" w:val="left"/>
        </w:tabs>
        <w:rPr>
          <w:sz w:val="20"/>
          <w:szCs w:val="20"/>
          <w:color w:val="auto"/>
        </w:rPr>
      </w:pPr>
      <w:r>
        <w:rPr>
          <w:rFonts w:ascii="Arial" w:cs="Arial" w:eastAsia="Arial" w:hAnsi="Arial"/>
          <w:sz w:val="17"/>
          <w:szCs w:val="17"/>
          <w:color w:val="auto"/>
        </w:rPr>
        <w:t>Section 2.2.</w:t>
      </w:r>
      <w:r>
        <w:rPr>
          <w:sz w:val="20"/>
          <w:szCs w:val="20"/>
          <w:color w:val="auto"/>
        </w:rPr>
        <w:tab/>
      </w:r>
      <w:r>
        <w:rPr>
          <w:rFonts w:ascii="Arial" w:cs="Arial" w:eastAsia="Arial" w:hAnsi="Arial"/>
          <w:sz w:val="14"/>
          <w:szCs w:val="14"/>
          <w:u w:val="single" w:color="auto"/>
          <w:color w:val="auto"/>
        </w:rPr>
        <w:t>Standard of Contract Management</w:t>
      </w:r>
      <w:r>
        <w:rPr>
          <w:rFonts w:ascii="Arial" w:cs="Arial" w:eastAsia="Arial" w:hAnsi="Arial"/>
          <w:sz w:val="14"/>
          <w:szCs w:val="14"/>
          <w:color w:val="auto"/>
        </w:rPr>
        <w:t>.</w:t>
      </w:r>
    </w:p>
    <w:p>
      <w:pPr>
        <w:spacing w:after="0" w:line="146" w:lineRule="exact"/>
        <w:rPr>
          <w:sz w:val="20"/>
          <w:szCs w:val="20"/>
          <w:color w:val="auto"/>
        </w:rPr>
      </w:pPr>
    </w:p>
    <w:p>
      <w:pPr>
        <w:jc w:val="both"/>
        <w:ind w:left="1000" w:hanging="501"/>
        <w:spacing w:after="0" w:line="235" w:lineRule="auto"/>
        <w:tabs>
          <w:tab w:leader="none" w:pos="10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Prior to the date that any Contract is novated to Utility, Utility agrees to perform the functions specified in this Order relating to the Allocated Contracts, in a commercially reasonable manner, exercising Good Utility Practice, and in a fashion reasonably designed to serve the overall best interests of retail electric customers. Utility shall provide to DWR such information specifically provided in Exhibit F hereto to facilitate DWR’s verification of Utility’s compliance with this Section 2.02.</w:t>
      </w:r>
    </w:p>
    <w:p>
      <w:pPr>
        <w:spacing w:after="0" w:line="143" w:lineRule="exact"/>
        <w:rPr>
          <w:rFonts w:ascii="Arial" w:cs="Arial" w:eastAsia="Arial" w:hAnsi="Arial"/>
          <w:sz w:val="17"/>
          <w:szCs w:val="17"/>
          <w:color w:val="auto"/>
        </w:rPr>
      </w:pPr>
    </w:p>
    <w:p>
      <w:pPr>
        <w:ind w:left="1000" w:hanging="501"/>
        <w:spacing w:after="0" w:line="245" w:lineRule="auto"/>
        <w:tabs>
          <w:tab w:leader="none" w:pos="10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To the extent requested by Utility, DWR shall provide evidence in Commission proceedings describing Utility’s and DWR’s performance, rights and obligations under this Order.</w:t>
      </w:r>
    </w:p>
    <w:p>
      <w:pPr>
        <w:spacing w:after="0" w:line="128" w:lineRule="exact"/>
        <w:rPr>
          <w:rFonts w:ascii="Arial" w:cs="Arial" w:eastAsia="Arial" w:hAnsi="Arial"/>
          <w:sz w:val="17"/>
          <w:szCs w:val="17"/>
          <w:color w:val="auto"/>
        </w:rPr>
      </w:pPr>
    </w:p>
    <w:p>
      <w:pPr>
        <w:jc w:val="both"/>
        <w:ind w:left="1000" w:hanging="501"/>
        <w:spacing w:after="0" w:line="234" w:lineRule="auto"/>
        <w:tabs>
          <w:tab w:leader="none" w:pos="10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DWR acknowledges the Commission’s exclusive authority over whether the Utility has managed Allocated Power available under the Contracts in a just and reasonable manner and DWR and Utility agree that none of the provisions of this Order shall be interpreted to reduce, diminish, or otherwise limit the scope of any Commission authority or to give DWR any authority over such matters. In addition, the Parties acknowledge that DWR is not subject to the Commission’s jurisdiction, and the Parties agree that none of the provisions of this Order, including Section 13.04 herein, shall be interpreted to subject DWR to the Commission’s jurisdiction or authority.</w:t>
      </w:r>
    </w:p>
    <w:p>
      <w:pPr>
        <w:spacing w:after="0" w:line="132" w:lineRule="exact"/>
        <w:rPr>
          <w:rFonts w:ascii="Arial" w:cs="Arial" w:eastAsia="Arial" w:hAnsi="Arial"/>
          <w:sz w:val="17"/>
          <w:szCs w:val="17"/>
          <w:color w:val="auto"/>
        </w:rPr>
      </w:pPr>
    </w:p>
    <w:p>
      <w:pPr>
        <w:ind w:left="1000" w:hanging="501"/>
        <w:spacing w:after="0"/>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Utility acknowledges DWR’s separate and independent right to evaluate and enforce Utility’s commercial performance under this Order.</w:t>
      </w:r>
    </w:p>
    <w:p>
      <w:pPr>
        <w:spacing w:after="0" w:line="167" w:lineRule="exact"/>
        <w:rPr>
          <w:rFonts w:ascii="Arial" w:cs="Arial" w:eastAsia="Arial" w:hAnsi="Arial"/>
          <w:sz w:val="16"/>
          <w:szCs w:val="16"/>
          <w:color w:val="auto"/>
        </w:rPr>
      </w:pPr>
    </w:p>
    <w:p>
      <w:pPr>
        <w:ind w:left="1000" w:hanging="501"/>
        <w:spacing w:after="0" w:line="245" w:lineRule="auto"/>
        <w:tabs>
          <w:tab w:leader="none" w:pos="10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Utility agrees to provide any information not otherwise required herein that is reasonably necessary to allow DWR to exercise its rights in subsection (d) above, provided that all such information shall be used solely for the purposes of exercising such rights.</w:t>
      </w:r>
    </w:p>
    <w:p>
      <w:pPr>
        <w:spacing w:after="0" w:line="128" w:lineRule="exact"/>
        <w:rPr>
          <w:sz w:val="20"/>
          <w:szCs w:val="20"/>
          <w:color w:val="auto"/>
        </w:rPr>
      </w:pPr>
    </w:p>
    <w:p>
      <w:pPr>
        <w:ind w:left="500"/>
        <w:spacing w:after="0"/>
        <w:tabs>
          <w:tab w:leader="none" w:pos="1480" w:val="left"/>
        </w:tabs>
        <w:rPr>
          <w:sz w:val="20"/>
          <w:szCs w:val="20"/>
          <w:color w:val="auto"/>
        </w:rPr>
      </w:pPr>
      <w:r>
        <w:rPr>
          <w:rFonts w:ascii="Arial" w:cs="Arial" w:eastAsia="Arial" w:hAnsi="Arial"/>
          <w:sz w:val="17"/>
          <w:szCs w:val="17"/>
          <w:color w:val="auto"/>
        </w:rPr>
        <w:t>Section 2.3.</w:t>
      </w:r>
      <w:r>
        <w:rPr>
          <w:sz w:val="20"/>
          <w:szCs w:val="20"/>
          <w:color w:val="auto"/>
        </w:rPr>
        <w:tab/>
      </w:r>
      <w:r>
        <w:rPr>
          <w:rFonts w:ascii="Arial" w:cs="Arial" w:eastAsia="Arial" w:hAnsi="Arial"/>
          <w:sz w:val="14"/>
          <w:szCs w:val="14"/>
          <w:u w:val="single" w:color="auto"/>
          <w:color w:val="auto"/>
        </w:rPr>
        <w:t>Good Faith</w:t>
      </w:r>
      <w:r>
        <w:rPr>
          <w:rFonts w:ascii="Arial" w:cs="Arial" w:eastAsia="Arial" w:hAnsi="Arial"/>
          <w:sz w:val="14"/>
          <w:szCs w:val="14"/>
          <w:color w:val="auto"/>
        </w:rPr>
        <w:t>. Each Party hereby covenants that it shall perform its actions, obligations and duties in connection with this Order in good faith.</w:t>
      </w:r>
    </w:p>
    <w:p>
      <w:pPr>
        <w:spacing w:after="0" w:line="146" w:lineRule="exact"/>
        <w:rPr>
          <w:sz w:val="20"/>
          <w:szCs w:val="20"/>
          <w:color w:val="auto"/>
        </w:rPr>
      </w:pPr>
    </w:p>
    <w:p>
      <w:pPr>
        <w:jc w:val="both"/>
        <w:ind w:firstLine="496"/>
        <w:spacing w:after="0" w:line="235"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DWR Power</w:t>
      </w:r>
      <w:r>
        <w:rPr>
          <w:rFonts w:ascii="Arial" w:cs="Arial" w:eastAsia="Arial" w:hAnsi="Arial"/>
          <w:sz w:val="17"/>
          <w:szCs w:val="17"/>
          <w:color w:val="auto"/>
        </w:rPr>
        <w:t>. During the term of this Order, the electric power and energy, including but not limited to capacity, and output, or any of them from the Contracts delivered to retail end-use customers in Utility’s service area shall constitute DWR Power for all purposes of the Servicing Arrangement. Prior to the MRTU Effective Date, Utility shall arrange for transmission service to accommodate surplus sales to the extent that transmission service is available and cost effective, all as further provided in Exhibit A.</w:t>
      </w:r>
    </w:p>
    <w:p>
      <w:pPr>
        <w:spacing w:after="0" w:line="144" w:lineRule="exact"/>
        <w:rPr>
          <w:sz w:val="20"/>
          <w:szCs w:val="20"/>
          <w:color w:val="auto"/>
        </w:rPr>
      </w:pPr>
    </w:p>
    <w:p>
      <w:pPr>
        <w:ind w:left="500"/>
        <w:spacing w:after="0"/>
        <w:tabs>
          <w:tab w:leader="none" w:pos="1560" w:val="left"/>
        </w:tabs>
        <w:rPr>
          <w:sz w:val="20"/>
          <w:szCs w:val="20"/>
          <w:color w:val="auto"/>
        </w:rPr>
      </w:pPr>
      <w:r>
        <w:rPr>
          <w:rFonts w:ascii="Arial" w:cs="Arial" w:eastAsia="Arial" w:hAnsi="Arial"/>
          <w:sz w:val="17"/>
          <w:szCs w:val="17"/>
          <w:color w:val="auto"/>
        </w:rPr>
        <w:t>Section 2.5.</w:t>
      </w:r>
      <w:r>
        <w:rPr>
          <w:sz w:val="20"/>
          <w:szCs w:val="20"/>
          <w:color w:val="auto"/>
        </w:rPr>
        <w:tab/>
      </w:r>
      <w:r>
        <w:rPr>
          <w:rFonts w:ascii="Arial" w:cs="Arial" w:eastAsia="Arial" w:hAnsi="Arial"/>
          <w:sz w:val="14"/>
          <w:szCs w:val="14"/>
          <w:u w:val="single" w:color="auto"/>
          <w:color w:val="auto"/>
        </w:rPr>
        <w:t>Term</w:t>
      </w:r>
      <w:r>
        <w:rPr>
          <w:rFonts w:ascii="Arial" w:cs="Arial" w:eastAsia="Arial" w:hAnsi="Arial"/>
          <w:sz w:val="14"/>
          <w:szCs w:val="14"/>
          <w:color w:val="auto"/>
        </w:rPr>
        <w:t>.</w:t>
      </w:r>
    </w:p>
    <w:p>
      <w:pPr>
        <w:spacing w:after="0" w:line="146" w:lineRule="exact"/>
        <w:rPr>
          <w:sz w:val="20"/>
          <w:szCs w:val="20"/>
          <w:color w:val="auto"/>
        </w:rPr>
      </w:pPr>
    </w:p>
    <w:p>
      <w:pPr>
        <w:jc w:val="both"/>
        <w:ind w:left="1000" w:right="980" w:hanging="501"/>
        <w:spacing w:after="0" w:line="284" w:lineRule="auto"/>
        <w:tabs>
          <w:tab w:leader="none" w:pos="10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Term of this Order shall commence on the Effective Date and shall terminate on the earlier of (a) the termination of the Servicing Arrangement, or (b) the termination of this Order by DWR upon ninety days’ written notice to Utility and the Commission, or (c) upon consultation with the Commission, the termination of the Order by DWR upon reasonable written notice to Utility no shorter than 30 days, or</w:t>
      </w:r>
    </w:p>
    <w:p>
      <w:pPr>
        <w:ind w:left="1000"/>
        <w:spacing w:after="0"/>
        <w:rPr>
          <w:rFonts w:ascii="Arial" w:cs="Arial" w:eastAsia="Arial" w:hAnsi="Arial"/>
          <w:sz w:val="14"/>
          <w:szCs w:val="14"/>
          <w:color w:val="auto"/>
        </w:rPr>
      </w:pPr>
      <w:r>
        <w:rPr>
          <w:rFonts w:ascii="Arial" w:cs="Arial" w:eastAsia="Arial" w:hAnsi="Arial"/>
          <w:sz w:val="17"/>
          <w:szCs w:val="17"/>
          <w:color w:val="auto"/>
        </w:rPr>
        <w:t>(d) pursuant to Article VII hereof, the termination of this Order by a non-defaulting Party after an Event of Default.</w:t>
      </w:r>
    </w:p>
    <w:p>
      <w:pPr>
        <w:sectPr>
          <w:pgSz w:w="11900" w:h="16838" w:orient="portrait"/>
          <w:cols w:equalWidth="0" w:num="1">
            <w:col w:w="11460"/>
          </w:cols>
          <w:pgMar w:left="220" w:top="124" w:right="219" w:bottom="0" w:gutter="0" w:footer="0" w:header="0"/>
        </w:sectPr>
      </w:pPr>
    </w:p>
    <w:bookmarkStart w:id="68" w:name="page69"/>
    <w:bookmarkEnd w:id="68"/>
    <w:p>
      <w:pPr>
        <w:jc w:val="both"/>
        <w:ind w:left="1000" w:right="1000"/>
        <w:spacing w:after="0" w:line="235" w:lineRule="auto"/>
        <w:rPr>
          <w:sz w:val="20"/>
          <w:szCs w:val="20"/>
          <w:color w:val="auto"/>
        </w:rPr>
      </w:pPr>
      <w:r>
        <w:rPr>
          <w:rFonts w:ascii="Arial" w:cs="Arial" w:eastAsia="Arial" w:hAnsi="Arial"/>
          <w:sz w:val="17"/>
          <w:szCs w:val="17"/>
          <w:color w:val="auto"/>
        </w:rPr>
        <w:t>In addition, this Order will terminate as to each Contract that terminates in accordance with its terms, has been terminated by a party to that Contract, or has been novated. Provided, however, whether a Contract is terminated or novated, the rights and obligations of the Parties that arise or relate to Utility’s performance of its duties under this Order in respect of any terminated or novated Contract shall survive until the expiration of any such right or obligation.</w:t>
      </w:r>
    </w:p>
    <w:p>
      <w:pPr>
        <w:spacing w:after="0" w:line="133" w:lineRule="exact"/>
        <w:rPr>
          <w:sz w:val="20"/>
          <w:szCs w:val="20"/>
          <w:color w:val="auto"/>
        </w:rPr>
      </w:pPr>
    </w:p>
    <w:p>
      <w:pPr>
        <w:jc w:val="both"/>
        <w:ind w:left="1000" w:right="980" w:hanging="501"/>
        <w:spacing w:after="0" w:line="250" w:lineRule="auto"/>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an event occurs which has the effect of materially altering and materially adversely impacting the economic position of the Parties or either of them under this Order, then the affected Party may, by written notice, request that the Commission approve amendments to this Order or other arrangements incidental to this Order as necessary to preserve or restore the economic position under this Order held by the affected Party immediately prior to such event. Such notice shall describe the event and shall include reasonable particulars as to the manner and extent to which the economic position of the Party giving notice has been adversely affected.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LIMITED AGENCY / NO ASSIGNMENT</w:t>
      </w:r>
    </w:p>
    <w:p>
      <w:pPr>
        <w:spacing w:after="0" w:line="142" w:lineRule="exact"/>
        <w:rPr>
          <w:sz w:val="20"/>
          <w:szCs w:val="20"/>
          <w:color w:val="auto"/>
        </w:rPr>
      </w:pPr>
    </w:p>
    <w:p>
      <w:pPr>
        <w:jc w:val="both"/>
        <w:ind w:firstLine="496"/>
        <w:spacing w:after="0" w:line="237"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Limited Agency</w:t>
      </w:r>
      <w:r>
        <w:rPr>
          <w:rFonts w:ascii="Arial" w:cs="Arial" w:eastAsia="Arial" w:hAnsi="Arial"/>
          <w:sz w:val="17"/>
          <w:szCs w:val="17"/>
          <w:color w:val="auto"/>
        </w:rPr>
        <w:t>. Utility is hereby appointed as DWR’s agent for the limited purposes set forth in this Order. Utility shall not be deemed to be acting, and shall not hold itself out, as agent for DWR for any purpose other than those described in this Order. Utility’s duties and obligations shall be limited to those duties and obligations that are specified in this Order.</w:t>
      </w:r>
    </w:p>
    <w:p>
      <w:pPr>
        <w:spacing w:after="0" w:line="134" w:lineRule="exact"/>
        <w:rPr>
          <w:sz w:val="20"/>
          <w:szCs w:val="20"/>
          <w:color w:val="auto"/>
        </w:rPr>
      </w:pPr>
    </w:p>
    <w:p>
      <w:pPr>
        <w:jc w:val="both"/>
        <w:ind w:firstLine="496"/>
        <w:spacing w:after="0" w:line="235"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No Assignment</w:t>
      </w:r>
      <w:r>
        <w:rPr>
          <w:rFonts w:ascii="Arial" w:cs="Arial" w:eastAsia="Arial" w:hAnsi="Arial"/>
          <w:sz w:val="17"/>
          <w:szCs w:val="17"/>
          <w:color w:val="auto"/>
        </w:rPr>
        <w:t>. Prior to the date that any Contract is novated to Utility, DWR shall remain legally and financially responsible for performance under each of the Contracts and shall retain liability to the counterparty for any failure of Utility to perform the functions referred to in this Order on behalf of DWR as its limited agent, under such Contracts in accordance with the terms thereof. It is the intent of DWR and Utility that the provisions of this Order shall not constitute or result in an “assignment” of the Allocated Contracts in any respect.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LIMITED DUTIES OF UTILITY</w:t>
      </w:r>
    </w:p>
    <w:p>
      <w:pPr>
        <w:spacing w:after="0" w:line="132" w:lineRule="exact"/>
        <w:rPr>
          <w:sz w:val="20"/>
          <w:szCs w:val="20"/>
          <w:color w:val="auto"/>
        </w:rPr>
      </w:pPr>
    </w:p>
    <w:p>
      <w:pPr>
        <w:ind w:left="500"/>
        <w:spacing w:after="0"/>
        <w:tabs>
          <w:tab w:leader="none" w:pos="1480" w:val="left"/>
        </w:tabs>
        <w:rPr>
          <w:sz w:val="20"/>
          <w:szCs w:val="20"/>
          <w:color w:val="auto"/>
        </w:rPr>
      </w:pPr>
      <w:r>
        <w:rPr>
          <w:rFonts w:ascii="Arial" w:cs="Arial" w:eastAsia="Arial" w:hAnsi="Arial"/>
          <w:sz w:val="17"/>
          <w:szCs w:val="17"/>
          <w:color w:val="auto"/>
        </w:rPr>
        <w:t>Section 4.1.</w:t>
      </w:r>
      <w:r>
        <w:rPr>
          <w:sz w:val="20"/>
          <w:szCs w:val="20"/>
          <w:color w:val="auto"/>
        </w:rPr>
        <w:tab/>
      </w:r>
      <w:r>
        <w:rPr>
          <w:rFonts w:ascii="Arial" w:cs="Arial" w:eastAsia="Arial" w:hAnsi="Arial"/>
          <w:sz w:val="14"/>
          <w:szCs w:val="14"/>
          <w:u w:val="single" w:color="auto"/>
          <w:color w:val="auto"/>
        </w:rPr>
        <w:t>Limited Duties of Utility as to the Contracts</w:t>
      </w:r>
      <w:r>
        <w:rPr>
          <w:rFonts w:ascii="Arial" w:cs="Arial" w:eastAsia="Arial" w:hAnsi="Arial"/>
          <w:sz w:val="14"/>
          <w:szCs w:val="14"/>
          <w:color w:val="auto"/>
        </w:rPr>
        <w:t>. During the Term of this Order, Utility shall:</w:t>
      </w:r>
    </w:p>
    <w:p>
      <w:pPr>
        <w:spacing w:after="0" w:line="156" w:lineRule="exact"/>
        <w:rPr>
          <w:sz w:val="20"/>
          <w:szCs w:val="20"/>
          <w:color w:val="auto"/>
        </w:rPr>
      </w:pPr>
    </w:p>
    <w:p>
      <w:pPr>
        <w:jc w:val="both"/>
        <w:ind w:left="1000" w:hanging="501"/>
        <w:spacing w:after="0" w:line="253" w:lineRule="auto"/>
        <w:tabs>
          <w:tab w:leader="none" w:pos="10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Prior to the MRTU Effective Date, on behalf of DWR, as its limited agent, perform the day-to-day scheduling and dispatch functions, including day-ahead, hour-ahead and real time trading, scheduling transactions with all involved parties, under the Allocated Contracts, perform billing and settlements functions and obtain relevant information for these functions such as transmission availability and others, with respect to the Allocated Contracts set forth in Schedule 1 hereto, all as more specifically provided in the Operating Protocols attached hereto as Exhibit A;</w:t>
      </w:r>
    </w:p>
    <w:p>
      <w:pPr>
        <w:spacing w:after="0" w:line="133" w:lineRule="exact"/>
        <w:rPr>
          <w:rFonts w:ascii="Arial" w:cs="Arial" w:eastAsia="Arial" w:hAnsi="Arial"/>
          <w:sz w:val="16"/>
          <w:szCs w:val="16"/>
          <w:color w:val="auto"/>
        </w:rPr>
      </w:pPr>
    </w:p>
    <w:p>
      <w:pPr>
        <w:jc w:val="both"/>
        <w:ind w:left="1000"/>
        <w:spacing w:after="0" w:line="250" w:lineRule="auto"/>
        <w:rPr>
          <w:rFonts w:ascii="Arial" w:cs="Arial" w:eastAsia="Arial" w:hAnsi="Arial"/>
          <w:sz w:val="16"/>
          <w:szCs w:val="16"/>
          <w:color w:val="auto"/>
        </w:rPr>
      </w:pPr>
      <w:r>
        <w:rPr>
          <w:rFonts w:ascii="Arial" w:cs="Arial" w:eastAsia="Arial" w:hAnsi="Arial"/>
          <w:sz w:val="16"/>
          <w:szCs w:val="16"/>
          <w:color w:val="auto"/>
        </w:rPr>
        <w:t>On and after the MRTU Effective Date, on behalf of DWR, as its limited agent, perform the day-to-day tasks, including the submission or the coordination of Bids and/or Inter-SC Trades, in the ISO’s Day-Ahead Market, Hour-Ahead Scheduling Process and/or Real-Time Market (as such terms are defined under ISO’s MRTU tariff), related to, and consistent with the terms of, the Allocated Contracts, perform billing and settlements functions and obtain relevant information for these functions such as transmission availability and others, with respect to the Allocated Contracts set forth in Schedule 1 hereto, all as more specifically provided in the Operating Protocols attached hereto as Exhibit A;</w:t>
      </w:r>
    </w:p>
    <w:p>
      <w:pPr>
        <w:spacing w:after="0" w:line="127" w:lineRule="exact"/>
        <w:rPr>
          <w:rFonts w:ascii="Arial" w:cs="Arial" w:eastAsia="Arial" w:hAnsi="Arial"/>
          <w:sz w:val="16"/>
          <w:szCs w:val="16"/>
          <w:color w:val="auto"/>
        </w:rPr>
      </w:pPr>
    </w:p>
    <w:p>
      <w:pPr>
        <w:jc w:val="both"/>
        <w:ind w:left="1000" w:hanging="501"/>
        <w:spacing w:after="0" w:line="235" w:lineRule="auto"/>
        <w:tabs>
          <w:tab w:leader="none" w:pos="10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On behalf of DWR, as its limited agent, enter into transactions for the purchase (or sale, as the case may be) of gas, gas transmission services, gas storage services and financial hedges, and perform the operational and administrative responsibilities for such purchases under gas tolling provisions under the Allocated Contracts, including the review of fuel plans and consideration of alternative fuel supply, all as more specifically provided in the Fuel Management Protocols attached hereto as Exhibit B;</w:t>
      </w:r>
    </w:p>
    <w:p>
      <w:pPr>
        <w:spacing w:after="0" w:line="133" w:lineRule="exact"/>
        <w:rPr>
          <w:rFonts w:ascii="Arial" w:cs="Arial" w:eastAsia="Arial" w:hAnsi="Arial"/>
          <w:sz w:val="17"/>
          <w:szCs w:val="17"/>
          <w:color w:val="auto"/>
        </w:rPr>
      </w:pPr>
    </w:p>
    <w:p>
      <w:pPr>
        <w:jc w:val="both"/>
        <w:ind w:left="1000" w:hanging="501"/>
        <w:spacing w:after="0" w:line="235" w:lineRule="auto"/>
        <w:tabs>
          <w:tab w:leader="none" w:pos="10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On behalf of DWR, as its limited agent, perform all necessary settlement functions under the Allocated Contracts in accordance with the terms of the applicable Allocated Contracts, consistent with the provisions of Exhibit C of this Order. In addition, perform all necessary billing and settlement functions related to DWR Revenues and remit DWR Revenues to DWR, consistent with the Settlement Principles for Remittances and Surplus Revenues attached hereto as Exhibit C and the Servicing Arrangement;</w:t>
      </w:r>
    </w:p>
    <w:p>
      <w:pPr>
        <w:spacing w:after="0" w:line="143" w:lineRule="exact"/>
        <w:rPr>
          <w:rFonts w:ascii="Arial" w:cs="Arial" w:eastAsia="Arial" w:hAnsi="Arial"/>
          <w:sz w:val="17"/>
          <w:szCs w:val="17"/>
          <w:color w:val="auto"/>
        </w:rPr>
      </w:pPr>
    </w:p>
    <w:p>
      <w:pPr>
        <w:ind w:left="1000" w:hanging="501"/>
        <w:spacing w:after="0"/>
        <w:tabs>
          <w:tab w:leader="none" w:pos="10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Assume financial responsibility for the ISO charges listed on Exhibit D attached hereto;</w:t>
      </w:r>
    </w:p>
    <w:p>
      <w:pPr>
        <w:spacing w:after="0" w:line="145" w:lineRule="exact"/>
        <w:rPr>
          <w:rFonts w:ascii="Arial" w:cs="Arial" w:eastAsia="Arial" w:hAnsi="Arial"/>
          <w:sz w:val="17"/>
          <w:szCs w:val="17"/>
          <w:color w:val="auto"/>
        </w:rPr>
      </w:pPr>
    </w:p>
    <w:p>
      <w:pPr>
        <w:jc w:val="both"/>
        <w:ind w:left="1000" w:hanging="501"/>
        <w:spacing w:after="0" w:line="237" w:lineRule="auto"/>
        <w:tabs>
          <w:tab w:leader="none" w:pos="10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On behalf of DWR, as its limited agent, upon development of a mutually agreeable plan, monitor the performance of Suppliers under the Allocated Contracts and undertake the administration of the Allocated Contracts, as more specifically provided in the Contract Administration and Performance Monitoring Protocols attached hereto as Exhibit E;</w:t>
      </w:r>
    </w:p>
    <w:p>
      <w:pPr>
        <w:spacing w:after="0" w:line="134" w:lineRule="exact"/>
        <w:rPr>
          <w:rFonts w:ascii="Arial" w:cs="Arial" w:eastAsia="Arial" w:hAnsi="Arial"/>
          <w:sz w:val="17"/>
          <w:szCs w:val="17"/>
          <w:color w:val="auto"/>
        </w:rPr>
      </w:pPr>
    </w:p>
    <w:p>
      <w:pPr>
        <w:jc w:val="both"/>
        <w:ind w:left="1000" w:hanging="501"/>
        <w:spacing w:after="0" w:line="313" w:lineRule="auto"/>
        <w:tabs>
          <w:tab w:leader="none" w:pos="10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Provide to DWR the necessary information required by DWR as more specifically provided in the DWR Data Requirements From Utility attached hereto as Exhibit F to allow DWR to perform such internal procedures that are reasonable and determined appropriate by DWR to allow DWR to continue performance of financial obligations related to Allocated Contracts and to prepare and support reporting requirements set forth in Applicable Laws or agreements;</w:t>
      </w:r>
    </w:p>
    <w:p>
      <w:pPr>
        <w:spacing w:after="0" w:line="93" w:lineRule="exact"/>
        <w:rPr>
          <w:rFonts w:ascii="Arial" w:cs="Arial" w:eastAsia="Arial" w:hAnsi="Arial"/>
          <w:sz w:val="14"/>
          <w:szCs w:val="14"/>
          <w:color w:val="auto"/>
        </w:rPr>
      </w:pPr>
    </w:p>
    <w:p>
      <w:pPr>
        <w:ind w:left="1000" w:hanging="501"/>
        <w:spacing w:after="0" w:line="245" w:lineRule="auto"/>
        <w:tabs>
          <w:tab w:leader="none" w:pos="10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At all times in performing its obligations under this Order (i) comply with the provisions of each of the Allocated Contracts, (ii) follow Good Utility Practice, and (iii) comply with all Applicable Laws and Applicable Commission Orders;</w:t>
      </w:r>
    </w:p>
    <w:p>
      <w:pPr>
        <w:spacing w:after="0" w:line="128" w:lineRule="exact"/>
        <w:rPr>
          <w:rFonts w:ascii="Arial" w:cs="Arial" w:eastAsia="Arial" w:hAnsi="Arial"/>
          <w:sz w:val="17"/>
          <w:szCs w:val="17"/>
          <w:color w:val="auto"/>
        </w:rPr>
      </w:pPr>
    </w:p>
    <w:p>
      <w:pPr>
        <w:ind w:left="1000" w:hanging="501"/>
        <w:spacing w:after="0"/>
        <w:tabs>
          <w:tab w:leader="none" w:pos="10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Appoint a primary and secondary contact person, as set forth in Schedule 2 hereto, to coordinate the responsibilities listed in this Section 4.01;</w:t>
      </w:r>
    </w:p>
    <w:p>
      <w:pPr>
        <w:spacing w:after="0" w:line="157" w:lineRule="exact"/>
        <w:rPr>
          <w:rFonts w:ascii="Arial" w:cs="Arial" w:eastAsia="Arial" w:hAnsi="Arial"/>
          <w:sz w:val="16"/>
          <w:szCs w:val="16"/>
          <w:color w:val="auto"/>
        </w:rPr>
      </w:pPr>
    </w:p>
    <w:p>
      <w:pPr>
        <w:ind w:left="1000" w:hanging="501"/>
        <w:spacing w:after="0"/>
        <w:tabs>
          <w:tab w:leader="none" w:pos="10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Prior to the MRTU Effective Date, on behalf of DWR, as its limited agent, make surplus energy sales as more specifically provided in this Order; and</w:t>
      </w:r>
    </w:p>
    <w:p>
      <w:pPr>
        <w:spacing w:after="0" w:line="167" w:lineRule="exact"/>
        <w:rPr>
          <w:rFonts w:ascii="Arial" w:cs="Arial" w:eastAsia="Arial" w:hAnsi="Arial"/>
          <w:sz w:val="16"/>
          <w:szCs w:val="16"/>
          <w:color w:val="auto"/>
        </w:rPr>
      </w:pPr>
    </w:p>
    <w:p>
      <w:pPr>
        <w:ind w:left="1000" w:hanging="501"/>
        <w:spacing w:after="0" w:line="245" w:lineRule="auto"/>
        <w:tabs>
          <w:tab w:leader="none" w:pos="10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Upon issuance of an Applicable Commission Order approving the novation of a Contract, Utility will submit in writing to DWR as to the effective novation date of such Contract.</w:t>
      </w:r>
    </w:p>
    <w:p>
      <w:pPr>
        <w:spacing w:after="0" w:line="138"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Provided, however, in the event that DWR fails to provide or provides inaccurate information which results in Utility’s non-compliance with its obligations under this Order, the resulting non-compliance by Utility shall not constitute an Event of Default under Section 7.01 hereof.</w:t>
      </w:r>
    </w:p>
    <w:p>
      <w:pPr>
        <w:spacing w:after="0" w:line="128" w:lineRule="exact"/>
        <w:rPr>
          <w:sz w:val="20"/>
          <w:szCs w:val="20"/>
          <w:color w:val="auto"/>
        </w:rPr>
      </w:pPr>
    </w:p>
    <w:p>
      <w:pPr>
        <w:jc w:val="both"/>
        <w:ind w:firstLine="496"/>
        <w:spacing w:after="0" w:line="275"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Dispatch or Sale of Allocated Power</w:t>
      </w:r>
      <w:r>
        <w:rPr>
          <w:rFonts w:ascii="Arial" w:cs="Arial" w:eastAsia="Arial" w:hAnsi="Arial"/>
          <w:sz w:val="16"/>
          <w:szCs w:val="16"/>
          <w:color w:val="auto"/>
        </w:rPr>
        <w:t>. Subject to any existing or new ISO tariff provisions that may affect the dispatch of such Contracts, Allocated Power from all Contracts shall be dispatched or sold, as the case may be, by Utility pursuant to the Operating Protocols attached hereto as Exhibit A.</w:t>
      </w:r>
    </w:p>
    <w:p>
      <w:pPr>
        <w:spacing w:after="0" w:line="116" w:lineRule="exact"/>
        <w:rPr>
          <w:sz w:val="20"/>
          <w:szCs w:val="20"/>
          <w:color w:val="auto"/>
        </w:rPr>
      </w:pPr>
    </w:p>
    <w:p>
      <w:pPr>
        <w:jc w:val="both"/>
        <w:ind w:firstLine="496"/>
        <w:spacing w:after="0" w:line="259"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DWR Revenues</w:t>
      </w:r>
      <w:r>
        <w:rPr>
          <w:rFonts w:ascii="Arial" w:cs="Arial" w:eastAsia="Arial" w:hAnsi="Arial"/>
          <w:sz w:val="16"/>
          <w:szCs w:val="16"/>
          <w:color w:val="auto"/>
        </w:rPr>
        <w:t>. DWR Revenues shall be accounted and remitted to DWR consistent with the principles provided in the Settlement Principles for Remittances and Surplus Revenues attached hereto as Exhibit C and the provisions of the Servicing Arrangement. Unless otherwise specifically provided in this Order, Utility will not be required at any time to advance or pay any of its own funds in the fulfillment of its responsibilities under this Order.</w:t>
      </w:r>
    </w:p>
    <w:p>
      <w:pPr>
        <w:spacing w:after="0" w:line="118" w:lineRule="exact"/>
        <w:rPr>
          <w:sz w:val="20"/>
          <w:szCs w:val="20"/>
          <w:color w:val="auto"/>
        </w:rPr>
      </w:pPr>
    </w:p>
    <w:p>
      <w:pPr>
        <w:jc w:val="both"/>
        <w:ind w:firstLine="496"/>
        <w:spacing w:after="0" w:line="234"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Ownership of Allocated Power</w:t>
      </w:r>
      <w:r>
        <w:rPr>
          <w:rFonts w:ascii="Arial" w:cs="Arial" w:eastAsia="Arial" w:hAnsi="Arial"/>
          <w:sz w:val="17"/>
          <w:szCs w:val="17"/>
          <w:color w:val="auto"/>
        </w:rPr>
        <w:t>. Notwithstanding any other provision herein, and in accordance with the Act and Section 80110 of the California Water Code, DWR shall retain title to all Allocated Power, including DWR Power. In accordance with the Act and Section 80104 of the California Water Code, upon the delivery of Allocated Power to Utility’s customers, those customers shall be deemed to have purchased that power from DWR, and payment for such sale shall be a direct obligation of such customer to DWR. In addition, prior to the MRTU Effective Date, DWR shall retain title to any surplus Allocated Power sold by Utility as limited agent to DWR as provided in this Order.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DUTIES OF DWR</w:t>
      </w:r>
    </w:p>
    <w:p>
      <w:pPr>
        <w:spacing w:after="0" w:line="126" w:lineRule="exact"/>
        <w:rPr>
          <w:sz w:val="20"/>
          <w:szCs w:val="20"/>
          <w:color w:val="auto"/>
        </w:rPr>
      </w:pPr>
    </w:p>
    <w:p>
      <w:pPr>
        <w:ind w:left="500"/>
        <w:spacing w:after="0"/>
        <w:tabs>
          <w:tab w:leader="none" w:pos="1480" w:val="left"/>
        </w:tabs>
        <w:rPr>
          <w:sz w:val="20"/>
          <w:szCs w:val="20"/>
          <w:color w:val="auto"/>
        </w:rPr>
      </w:pPr>
      <w:r>
        <w:rPr>
          <w:rFonts w:ascii="Arial" w:cs="Arial" w:eastAsia="Arial" w:hAnsi="Arial"/>
          <w:sz w:val="17"/>
          <w:szCs w:val="17"/>
          <w:color w:val="auto"/>
        </w:rPr>
        <w:t>Section 5.1.</w:t>
      </w:r>
      <w:r>
        <w:rPr>
          <w:sz w:val="20"/>
          <w:szCs w:val="20"/>
          <w:color w:val="auto"/>
        </w:rPr>
        <w:tab/>
      </w:r>
      <w:r>
        <w:rPr>
          <w:rFonts w:ascii="Arial" w:cs="Arial" w:eastAsia="Arial" w:hAnsi="Arial"/>
          <w:sz w:val="14"/>
          <w:szCs w:val="14"/>
          <w:u w:val="single" w:color="auto"/>
          <w:color w:val="auto"/>
        </w:rPr>
        <w:t>Duties of DWR</w:t>
      </w:r>
      <w:r>
        <w:rPr>
          <w:rFonts w:ascii="Arial" w:cs="Arial" w:eastAsia="Arial" w:hAnsi="Arial"/>
          <w:sz w:val="14"/>
          <w:szCs w:val="14"/>
          <w:color w:val="auto"/>
        </w:rPr>
        <w:t>. Prior to the date that any Contract is novated to Utility and consistent with the Contract Allocation Order, during the Term of this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Order, DWR shall:</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w:t>
      </w:r>
    </w:p>
    <w:p>
      <w:pPr>
        <w:sectPr>
          <w:pgSz w:w="11900" w:h="16838" w:orient="portrait"/>
          <w:cols w:equalWidth="0" w:num="1">
            <w:col w:w="11460"/>
          </w:cols>
          <w:pgMar w:left="220" w:top="124" w:right="219" w:bottom="0" w:gutter="0" w:footer="0" w:header="0"/>
        </w:sectPr>
      </w:pPr>
    </w:p>
    <w:bookmarkStart w:id="69" w:name="page70"/>
    <w:bookmarkEnd w:id="69"/>
    <w:p>
      <w:pPr>
        <w:ind w:left="1000"/>
        <w:spacing w:after="0" w:line="244" w:lineRule="auto"/>
        <w:rPr>
          <w:sz w:val="20"/>
          <w:szCs w:val="20"/>
          <w:color w:val="auto"/>
        </w:rPr>
      </w:pPr>
      <w:r>
        <w:rPr>
          <w:rFonts w:ascii="Arial" w:cs="Arial" w:eastAsia="Arial" w:hAnsi="Arial"/>
          <w:sz w:val="17"/>
          <w:szCs w:val="17"/>
          <w:color w:val="auto"/>
        </w:rPr>
        <w:t>Remain legally and financially responsible under each of the Contracts and cooperate with Utility in the transition from DWR to Utility the performance of the functions provided in this Order;</w:t>
      </w:r>
    </w:p>
    <w:p>
      <w:pPr>
        <w:spacing w:after="0" w:line="129" w:lineRule="exact"/>
        <w:rPr>
          <w:sz w:val="20"/>
          <w:szCs w:val="20"/>
          <w:color w:val="auto"/>
        </w:rPr>
      </w:pPr>
    </w:p>
    <w:p>
      <w:pPr>
        <w:jc w:val="both"/>
        <w:ind w:left="1000" w:hanging="501"/>
        <w:spacing w:after="0" w:line="301" w:lineRule="auto"/>
        <w:tabs>
          <w:tab w:leader="none" w:pos="10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Assume legal and financial responsibilities and enter into or facilitate Utility’s entering into transactions as DWR’s limited agent, for the purchase (or sale, as the case may be) of gas, gas transmission services, gas storage services and financial hedges, and timely consent to or approve the Utility’s performance of the operational and administrative responsibilities for such purchases under gas tolling provisions under the Allocated Contracts, including the review of fuel plans and consideration of alternative fuel supply, all as more specifically provided in the Fuel Management Protocols attached hereto as Exhibit B;</w:t>
      </w:r>
    </w:p>
    <w:p>
      <w:pPr>
        <w:spacing w:after="0" w:line="101" w:lineRule="exact"/>
        <w:rPr>
          <w:rFonts w:ascii="Arial" w:cs="Arial" w:eastAsia="Arial" w:hAnsi="Arial"/>
          <w:sz w:val="14"/>
          <w:szCs w:val="14"/>
          <w:color w:val="auto"/>
        </w:rPr>
      </w:pPr>
    </w:p>
    <w:p>
      <w:pPr>
        <w:jc w:val="both"/>
        <w:ind w:left="1000" w:hanging="501"/>
        <w:spacing w:after="0" w:line="250" w:lineRule="auto"/>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Pay invoices to the Suppliers and perform such internal procedures that are reasonable and determined appropriate by DWR, which may include validation, analysis and audit of the settlement functions to be performed on DWR’s behalf, as its limited agent, by Utility relating to the Contracts. In addition, perform such internal procedures that are reasonable and determined appropriate by DWR, which may include validation, analysis and audit of the billing and settlement functions to be performed on DWR’s behalf, as its limited agent, by Utility related to DWR Revenues, consistent with the principles set forth in the Settlement Principles for Remittances and Surplus Revenues attached hereto as Exhibit C;</w:t>
      </w:r>
    </w:p>
    <w:p>
      <w:pPr>
        <w:spacing w:after="0" w:line="127" w:lineRule="exact"/>
        <w:rPr>
          <w:rFonts w:ascii="Arial" w:cs="Arial" w:eastAsia="Arial" w:hAnsi="Arial"/>
          <w:sz w:val="16"/>
          <w:szCs w:val="16"/>
          <w:color w:val="auto"/>
        </w:rPr>
      </w:pPr>
    </w:p>
    <w:p>
      <w:pPr>
        <w:jc w:val="both"/>
        <w:ind w:left="1000" w:hanging="501"/>
        <w:spacing w:after="0" w:line="301" w:lineRule="auto"/>
        <w:tabs>
          <w:tab w:leader="none" w:pos="10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Until such time as a mutually agreed upon plan may be entered into with Utility and approved by the Commission, and no earlier than January 1, 2004, continue to monitor the performance of Suppliers and conduct certain contract administration duties under the Allocated Contracts, all as more specifically provided in the Contract Administration and Performance Monitoring Protocols attached hereto as Exhibit E. In addition, continue to perform all other administrative functions related to Contracts not explicitly provided in this Order to be performed by Utility on behalf of DWR, as its limited agent;</w:t>
      </w:r>
    </w:p>
    <w:p>
      <w:pPr>
        <w:spacing w:after="0" w:line="91" w:lineRule="exact"/>
        <w:rPr>
          <w:rFonts w:ascii="Arial" w:cs="Arial" w:eastAsia="Arial" w:hAnsi="Arial"/>
          <w:sz w:val="14"/>
          <w:szCs w:val="14"/>
          <w:color w:val="auto"/>
        </w:rPr>
      </w:pPr>
    </w:p>
    <w:p>
      <w:pPr>
        <w:jc w:val="both"/>
        <w:ind w:left="1000" w:hanging="501"/>
        <w:spacing w:after="0" w:line="259" w:lineRule="auto"/>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Upon the termination of any Contract (other than a Contract that is novated to Utility or terminated on the Contract stated termination date shown on Schedule 1 attached to this Order), DWR will submit in writing to Utility a revised Schedule 1 to reflect the termination of any Contract. In the event that a Contract terminates on the Contract stated termination date shown on Schedule 1, then no further notice will be provided by DWR; and</w:t>
      </w:r>
    </w:p>
    <w:p>
      <w:pPr>
        <w:spacing w:after="0" w:line="127" w:lineRule="exact"/>
        <w:rPr>
          <w:rFonts w:ascii="Arial" w:cs="Arial" w:eastAsia="Arial" w:hAnsi="Arial"/>
          <w:sz w:val="16"/>
          <w:szCs w:val="16"/>
          <w:color w:val="auto"/>
        </w:rPr>
      </w:pPr>
    </w:p>
    <w:p>
      <w:pPr>
        <w:ind w:left="1000" w:hanging="501"/>
        <w:spacing w:after="0"/>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Appoint a primary and secondary contact person, as set forth in Schedule 3 hereto, to coordinate the responsibilities listed in this Section 5.01.</w:t>
      </w:r>
    </w:p>
    <w:p>
      <w:pPr>
        <w:spacing w:after="0" w:line="163"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ARTICLE VI</w:t>
      </w:r>
    </w:p>
    <w:p>
      <w:pPr>
        <w:spacing w:after="0" w:line="8"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[RESERVED]</w:t>
      </w:r>
    </w:p>
    <w:p>
      <w:pPr>
        <w:spacing w:after="0" w:line="132" w:lineRule="exact"/>
        <w:rPr>
          <w:sz w:val="20"/>
          <w:szCs w:val="20"/>
          <w:color w:val="auto"/>
        </w:rPr>
      </w:pPr>
    </w:p>
    <w:p>
      <w:pPr>
        <w:ind w:left="500"/>
        <w:spacing w:after="0"/>
        <w:tabs>
          <w:tab w:leader="none" w:pos="1480" w:val="left"/>
        </w:tabs>
        <w:rPr>
          <w:sz w:val="20"/>
          <w:szCs w:val="20"/>
          <w:color w:val="auto"/>
        </w:rPr>
      </w:pPr>
      <w:r>
        <w:rPr>
          <w:rFonts w:ascii="Arial" w:cs="Arial" w:eastAsia="Arial" w:hAnsi="Arial"/>
          <w:sz w:val="17"/>
          <w:szCs w:val="17"/>
          <w:color w:val="auto"/>
        </w:rPr>
        <w:t>Section 6.1.</w:t>
      </w:r>
      <w:r>
        <w:rPr>
          <w:sz w:val="20"/>
          <w:szCs w:val="20"/>
          <w:color w:val="auto"/>
        </w:rPr>
        <w:tab/>
      </w:r>
      <w:r>
        <w:rPr>
          <w:rFonts w:ascii="Arial" w:cs="Arial" w:eastAsia="Arial" w:hAnsi="Arial"/>
          <w:sz w:val="14"/>
          <w:szCs w:val="14"/>
          <w:color w:val="auto"/>
        </w:rPr>
        <w:t>[Intentionally left blank.]</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EVENTS OF DEFAULT</w:t>
      </w:r>
    </w:p>
    <w:p>
      <w:pPr>
        <w:spacing w:after="0" w:line="132" w:lineRule="exact"/>
        <w:rPr>
          <w:sz w:val="20"/>
          <w:szCs w:val="20"/>
          <w:color w:val="auto"/>
        </w:rPr>
      </w:pPr>
    </w:p>
    <w:p>
      <w:pPr>
        <w:ind w:left="500"/>
        <w:spacing w:after="0"/>
        <w:tabs>
          <w:tab w:leader="none" w:pos="1480" w:val="left"/>
        </w:tabs>
        <w:rPr>
          <w:sz w:val="20"/>
          <w:szCs w:val="20"/>
          <w:color w:val="auto"/>
        </w:rPr>
      </w:pPr>
      <w:r>
        <w:rPr>
          <w:rFonts w:ascii="Arial" w:cs="Arial" w:eastAsia="Arial" w:hAnsi="Arial"/>
          <w:sz w:val="17"/>
          <w:szCs w:val="17"/>
          <w:color w:val="auto"/>
        </w:rPr>
        <w:t>Section 7.1.</w:t>
      </w:r>
      <w:r>
        <w:rPr>
          <w:sz w:val="20"/>
          <w:szCs w:val="20"/>
          <w:color w:val="auto"/>
        </w:rPr>
        <w:tab/>
      </w:r>
      <w:r>
        <w:rPr>
          <w:rFonts w:ascii="Arial" w:cs="Arial" w:eastAsia="Arial" w:hAnsi="Arial"/>
          <w:sz w:val="14"/>
          <w:szCs w:val="14"/>
          <w:u w:val="single" w:color="auto"/>
          <w:color w:val="auto"/>
        </w:rPr>
        <w:t>Events of Default</w:t>
      </w:r>
      <w:r>
        <w:rPr>
          <w:rFonts w:ascii="Arial" w:cs="Arial" w:eastAsia="Arial" w:hAnsi="Arial"/>
          <w:sz w:val="14"/>
          <w:szCs w:val="14"/>
          <w:color w:val="auto"/>
        </w:rPr>
        <w:t>. The following events shall constitute “Events of Default” under this Order:</w:t>
      </w:r>
    </w:p>
    <w:p>
      <w:pPr>
        <w:spacing w:after="0" w:line="156" w:lineRule="exact"/>
        <w:rPr>
          <w:sz w:val="20"/>
          <w:szCs w:val="20"/>
          <w:color w:val="auto"/>
        </w:rPr>
      </w:pPr>
    </w:p>
    <w:p>
      <w:pPr>
        <w:ind w:firstLine="499"/>
        <w:spacing w:after="0" w:line="245" w:lineRule="auto"/>
        <w:tabs>
          <w:tab w:leader="none" w:pos="893"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any material failure by a Party to pay any amount due and payable under this Order that continues unremedied for five (5) Business Days after the earlier of the day the defaulting Party receives written notice thereof from the non-defaulting Party; or</w:t>
      </w:r>
    </w:p>
    <w:p>
      <w:pPr>
        <w:spacing w:after="0" w:line="128" w:lineRule="exact"/>
        <w:rPr>
          <w:rFonts w:ascii="Arial" w:cs="Arial" w:eastAsia="Arial" w:hAnsi="Arial"/>
          <w:sz w:val="17"/>
          <w:szCs w:val="17"/>
          <w:color w:val="auto"/>
        </w:rPr>
      </w:pPr>
    </w:p>
    <w:p>
      <w:pPr>
        <w:ind w:left="900" w:hanging="401"/>
        <w:spacing w:after="0"/>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any material failure by Utility to schedule and dispatch Contracts, consistent with the principles set forth in Exhibit A; or</w:t>
      </w:r>
    </w:p>
    <w:p>
      <w:pPr>
        <w:spacing w:after="0" w:line="145" w:lineRule="exact"/>
        <w:rPr>
          <w:rFonts w:ascii="Arial" w:cs="Arial" w:eastAsia="Arial" w:hAnsi="Arial"/>
          <w:sz w:val="17"/>
          <w:szCs w:val="17"/>
          <w:color w:val="auto"/>
        </w:rPr>
      </w:pPr>
    </w:p>
    <w:p>
      <w:pPr>
        <w:jc w:val="both"/>
        <w:ind w:firstLine="499"/>
        <w:spacing w:after="0" w:line="237" w:lineRule="auto"/>
        <w:tabs>
          <w:tab w:leader="none" w:pos="893"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any failure (except as provided in (a) or (b)) by a Party to duly observe or perform in any material respect any other term or condition of such Party set forth in this Order, which failure continues unremedied for a period of 15 calendar days after written notice of such failure has been given to such Party by the non-defaulting Party; or</w:t>
      </w:r>
    </w:p>
    <w:p>
      <w:pPr>
        <w:spacing w:after="0" w:line="144" w:lineRule="exact"/>
        <w:rPr>
          <w:rFonts w:ascii="Arial" w:cs="Arial" w:eastAsia="Arial" w:hAnsi="Arial"/>
          <w:sz w:val="17"/>
          <w:szCs w:val="17"/>
          <w:color w:val="auto"/>
        </w:rPr>
      </w:pPr>
    </w:p>
    <w:p>
      <w:pPr>
        <w:ind w:left="900" w:hanging="401"/>
        <w:spacing w:after="0"/>
        <w:tabs>
          <w:tab w:leader="none" w:pos="9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any material representation or warranty made by a Party shall prove to be false, misleading or incorrect in any material respect as of the date made; or</w:t>
      </w:r>
    </w:p>
    <w:p>
      <w:pPr>
        <w:spacing w:after="0" w:line="180" w:lineRule="exact"/>
        <w:rPr>
          <w:rFonts w:ascii="Arial" w:cs="Arial" w:eastAsia="Arial" w:hAnsi="Arial"/>
          <w:sz w:val="14"/>
          <w:szCs w:val="14"/>
          <w:color w:val="auto"/>
        </w:rPr>
      </w:pPr>
    </w:p>
    <w:p>
      <w:pPr>
        <w:ind w:left="900" w:hanging="401"/>
        <w:spacing w:after="0"/>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 Event of Default (as defined under the Servicing Arrangement) shall have occurred and is continuing under the Servicing Arrangement.</w:t>
      </w:r>
    </w:p>
    <w:p>
      <w:pPr>
        <w:spacing w:after="0" w:line="146" w:lineRule="exact"/>
        <w:rPr>
          <w:sz w:val="20"/>
          <w:szCs w:val="20"/>
          <w:color w:val="auto"/>
        </w:rPr>
      </w:pPr>
    </w:p>
    <w:p>
      <w:pPr>
        <w:jc w:val="both"/>
        <w:ind w:firstLine="496"/>
        <w:spacing w:after="0" w:line="301" w:lineRule="auto"/>
        <w:rPr>
          <w:sz w:val="20"/>
          <w:szCs w:val="20"/>
          <w:color w:val="auto"/>
        </w:rPr>
      </w:pPr>
      <w:r>
        <w:rPr>
          <w:rFonts w:ascii="Arial" w:cs="Arial" w:eastAsia="Arial" w:hAnsi="Arial"/>
          <w:sz w:val="14"/>
          <w:szCs w:val="14"/>
          <w:color w:val="auto"/>
        </w:rPr>
        <w:t xml:space="preserve">Section 7.2. </w:t>
      </w:r>
      <w:r>
        <w:rPr>
          <w:rFonts w:ascii="Arial" w:cs="Arial" w:eastAsia="Arial" w:hAnsi="Arial"/>
          <w:sz w:val="14"/>
          <w:szCs w:val="14"/>
          <w:u w:val="single" w:color="auto"/>
          <w:color w:val="auto"/>
        </w:rPr>
        <w:t>Consequences of Utility Event of Default</w:t>
      </w:r>
      <w:r>
        <w:rPr>
          <w:rFonts w:ascii="Arial" w:cs="Arial" w:eastAsia="Arial" w:hAnsi="Arial"/>
          <w:sz w:val="14"/>
          <w:szCs w:val="14"/>
          <w:color w:val="auto"/>
        </w:rPr>
        <w:t>. Upon any Event of Default by Utility, DWR may, in addition to exercising any other remedies available under this Order or under Applicable Law, (i) apply to the Commission for appropriate relief, including but not limited to the termination of this Order in whole or in part; and (ii) apply to the Commission and, if necessary, any court of competent jurisdiction for sequestration and payment to DWR or its Assign(s) of DWR Revenues or for specific performance of the functions related to the Contracts to be performed by Utility on behalf of DWR, as its limited agent, as provided in this Order.</w:t>
      </w:r>
    </w:p>
    <w:p>
      <w:pPr>
        <w:spacing w:after="0" w:line="102" w:lineRule="exact"/>
        <w:rPr>
          <w:sz w:val="20"/>
          <w:szCs w:val="20"/>
          <w:color w:val="auto"/>
        </w:rPr>
      </w:pPr>
    </w:p>
    <w:p>
      <w:pPr>
        <w:jc w:val="both"/>
        <w:ind w:firstLine="496"/>
        <w:spacing w:after="0" w:line="245"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Consequences of DWR Event of Default</w:t>
      </w:r>
      <w:r>
        <w:rPr>
          <w:rFonts w:ascii="Arial" w:cs="Arial" w:eastAsia="Arial" w:hAnsi="Arial"/>
          <w:sz w:val="17"/>
          <w:szCs w:val="17"/>
          <w:color w:val="auto"/>
        </w:rPr>
        <w:t>. Upon an Event of Default by DWR (other than an Event of Default under 7.01(a)), Utility may request that the Commission terminate this Order in whole or in part, Section 2.05 notwithstanding.</w:t>
      </w:r>
    </w:p>
    <w:p>
      <w:pPr>
        <w:spacing w:after="0" w:line="128" w:lineRule="exact"/>
        <w:rPr>
          <w:sz w:val="20"/>
          <w:szCs w:val="20"/>
          <w:color w:val="auto"/>
        </w:rPr>
      </w:pPr>
    </w:p>
    <w:p>
      <w:pPr>
        <w:jc w:val="both"/>
        <w:ind w:firstLine="496"/>
        <w:spacing w:after="0" w:line="245"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u w:val="single" w:color="auto"/>
          <w:color w:val="auto"/>
        </w:rPr>
        <w:t>Remedies</w:t>
      </w:r>
      <w:r>
        <w:rPr>
          <w:rFonts w:ascii="Arial" w:cs="Arial" w:eastAsia="Arial" w:hAnsi="Arial"/>
          <w:sz w:val="17"/>
          <w:szCs w:val="17"/>
          <w:color w:val="auto"/>
        </w:rPr>
        <w:t>. Subject to Article XIII of this Order, upon any Event of Default, the non-defaulting Party may exercise any other legal or equitable right or remedy that may be available to it under applicable law or under this Order, including, but not limited to, the termination of this Order.</w:t>
      </w:r>
    </w:p>
    <w:p>
      <w:pPr>
        <w:spacing w:after="0" w:line="138" w:lineRule="exact"/>
        <w:rPr>
          <w:sz w:val="20"/>
          <w:szCs w:val="20"/>
          <w:color w:val="auto"/>
        </w:rPr>
      </w:pPr>
    </w:p>
    <w:p>
      <w:pPr>
        <w:jc w:val="both"/>
        <w:ind w:firstLine="496"/>
        <w:spacing w:after="0" w:line="245" w:lineRule="auto"/>
        <w:rPr>
          <w:sz w:val="20"/>
          <w:szCs w:val="20"/>
          <w:color w:val="auto"/>
        </w:rPr>
      </w:pPr>
      <w:r>
        <w:rPr>
          <w:rFonts w:ascii="Arial" w:cs="Arial" w:eastAsia="Arial" w:hAnsi="Arial"/>
          <w:sz w:val="17"/>
          <w:szCs w:val="17"/>
          <w:color w:val="auto"/>
        </w:rPr>
        <w:t xml:space="preserve">Section 7.5. </w:t>
      </w:r>
      <w:r>
        <w:rPr>
          <w:rFonts w:ascii="Arial" w:cs="Arial" w:eastAsia="Arial" w:hAnsi="Arial"/>
          <w:sz w:val="17"/>
          <w:szCs w:val="17"/>
          <w:u w:val="single" w:color="auto"/>
          <w:color w:val="auto"/>
        </w:rPr>
        <w:t>Remedies Cumulative</w:t>
      </w:r>
      <w:r>
        <w:rPr>
          <w:rFonts w:ascii="Arial" w:cs="Arial" w:eastAsia="Arial" w:hAnsi="Arial"/>
          <w:sz w:val="17"/>
          <w:szCs w:val="17"/>
          <w:color w:val="auto"/>
        </w:rPr>
        <w:t>. Except as otherwise provided in this Order, all rights of termination, cancellation, or other remedies in this Order are cumulative. Use of any remedy shall not preclude any other remedy available under this Order.</w:t>
      </w:r>
    </w:p>
    <w:p>
      <w:pPr>
        <w:spacing w:after="0" w:line="128" w:lineRule="exact"/>
        <w:rPr>
          <w:sz w:val="20"/>
          <w:szCs w:val="20"/>
          <w:color w:val="auto"/>
        </w:rPr>
      </w:pPr>
    </w:p>
    <w:p>
      <w:pPr>
        <w:jc w:val="both"/>
        <w:ind w:firstLine="496"/>
        <w:spacing w:after="0" w:line="301" w:lineRule="auto"/>
        <w:rPr>
          <w:sz w:val="20"/>
          <w:szCs w:val="20"/>
          <w:color w:val="auto"/>
        </w:rPr>
      </w:pPr>
      <w:r>
        <w:rPr>
          <w:rFonts w:ascii="Arial" w:cs="Arial" w:eastAsia="Arial" w:hAnsi="Arial"/>
          <w:sz w:val="14"/>
          <w:szCs w:val="14"/>
          <w:color w:val="auto"/>
        </w:rPr>
        <w:t xml:space="preserve">Section 7.6. </w:t>
      </w:r>
      <w:r>
        <w:rPr>
          <w:rFonts w:ascii="Arial" w:cs="Arial" w:eastAsia="Arial" w:hAnsi="Arial"/>
          <w:sz w:val="14"/>
          <w:szCs w:val="14"/>
          <w:u w:val="single" w:color="auto"/>
          <w:color w:val="auto"/>
        </w:rPr>
        <w:t>Waivers</w:t>
      </w:r>
      <w:r>
        <w:rPr>
          <w:rFonts w:ascii="Arial" w:cs="Arial" w:eastAsia="Arial" w:hAnsi="Arial"/>
          <w:sz w:val="14"/>
          <w:szCs w:val="14"/>
          <w:color w:val="auto"/>
        </w:rPr>
        <w:t>. None of the provisions of this Order shall be considered waived by either Party unless the Party against whom such waiver is claimed gives such waiver in writing. The failure of either Party to insist in any one or more instances upon strict performance of any of the provisions of this Order or to take advantage of any of its rights hereunder shall not be construed as a waiver of any such provisions or the relinquishment of any such rights for the future, but the same shall continue and remain in full force and effect. Waiver by either Party of any default by the other Party shall not be deemed a waiver of any other default.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PAYMENT OF FEES AND CHARGES</w:t>
      </w:r>
    </w:p>
    <w:p>
      <w:pPr>
        <w:spacing w:after="0" w:line="132" w:lineRule="exact"/>
        <w:rPr>
          <w:sz w:val="20"/>
          <w:szCs w:val="20"/>
          <w:color w:val="auto"/>
        </w:rPr>
      </w:pPr>
    </w:p>
    <w:p>
      <w:pPr>
        <w:jc w:val="both"/>
        <w:ind w:firstLine="496"/>
        <w:spacing w:after="0" w:line="253"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Utility Fees and Charges</w:t>
      </w:r>
      <w:r>
        <w:rPr>
          <w:rFonts w:ascii="Arial" w:cs="Arial" w:eastAsia="Arial" w:hAnsi="Arial"/>
          <w:sz w:val="16"/>
          <w:szCs w:val="16"/>
          <w:color w:val="auto"/>
        </w:rPr>
        <w:t>. As noted in the Contract Allocation Order, the details of the amount and recovery of administrative costs to Utility associated with the Contracts are expected to be considered in another Commission proceeding. As such, the Parties agree that the administrative costs to Utility will be recovered pursuant to such Commission proceeding. Utility shall enter the cost of such fees and charges in its Purchased Electric Commodity Account, or its successor or another account designated by the Commission on a current basis, for recovery in retail rates subject to subsequent Commission review.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IX</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REPRESENTATIONS AND WARRANTIES</w:t>
      </w:r>
    </w:p>
    <w:p>
      <w:pPr>
        <w:spacing w:after="0" w:line="328" w:lineRule="exact"/>
        <w:rPr>
          <w:sz w:val="20"/>
          <w:szCs w:val="20"/>
          <w:color w:val="auto"/>
        </w:rPr>
      </w:pPr>
    </w:p>
    <w:p>
      <w:pPr>
        <w:jc w:val="both"/>
        <w:ind w:firstLine="496"/>
        <w:spacing w:after="0" w:line="237"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u w:val="single" w:color="auto"/>
          <w:color w:val="auto"/>
        </w:rPr>
        <w:t>Representations and Warranties of DWR</w:t>
      </w:r>
      <w:r>
        <w:rPr>
          <w:rFonts w:ascii="Arial" w:cs="Arial" w:eastAsia="Arial" w:hAnsi="Arial"/>
          <w:sz w:val="17"/>
          <w:szCs w:val="17"/>
          <w:color w:val="auto"/>
        </w:rPr>
        <w:t>. DWR represents and warrants that it will use its best efforts to obtain all necessary and appropriate notices, inducements, undertakings, approvals, and consents from each Supplier to the Contract allocated to Utility in order for Utility to undertake its duties set forth in this Order in a timely and appropriate fashion.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LIMITATIONS ON LIABILITY</w:t>
      </w:r>
    </w:p>
    <w:p>
      <w:pPr>
        <w:spacing w:after="0" w:line="142" w:lineRule="exact"/>
        <w:rPr>
          <w:sz w:val="20"/>
          <w:szCs w:val="20"/>
          <w:color w:val="auto"/>
        </w:rPr>
      </w:pPr>
    </w:p>
    <w:p>
      <w:pPr>
        <w:jc w:val="both"/>
        <w:ind w:firstLine="496"/>
        <w:spacing w:after="0" w:line="245"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Consequential Damages</w:t>
      </w:r>
      <w:r>
        <w:rPr>
          <w:rFonts w:ascii="Arial" w:cs="Arial" w:eastAsia="Arial" w:hAnsi="Arial"/>
          <w:sz w:val="17"/>
          <w:szCs w:val="17"/>
          <w:color w:val="auto"/>
        </w:rPr>
        <w:t>. In no event will either Party be liable to the other Party for any indirect, special, exemplary, incidental, punitive, or consequential damages under any theory. Nothing in this Section 10.01 shall limit either Party’s rights as provided in Article VII above.</w:t>
      </w:r>
    </w:p>
    <w:p>
      <w:pPr>
        <w:spacing w:after="0" w:line="128" w:lineRule="exact"/>
        <w:rPr>
          <w:sz w:val="20"/>
          <w:szCs w:val="20"/>
          <w:color w:val="auto"/>
        </w:rPr>
      </w:pPr>
    </w:p>
    <w:p>
      <w:pPr>
        <w:jc w:val="both"/>
        <w:ind w:firstLine="496"/>
        <w:spacing w:after="0" w:line="245"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Limited Obligations of DWR</w:t>
      </w:r>
      <w:r>
        <w:rPr>
          <w:rFonts w:ascii="Arial" w:cs="Arial" w:eastAsia="Arial" w:hAnsi="Arial"/>
          <w:sz w:val="17"/>
          <w:szCs w:val="17"/>
          <w:color w:val="auto"/>
        </w:rPr>
        <w:t>. Any amounts payable by DWR under this Order shall be payable solely from moneys on deposit in the Department of Water Resources Electric Power Fund established pursuant to Section 80200 of the California Water Code (the “Fund”).</w:t>
      </w:r>
    </w:p>
    <w:p>
      <w:pPr>
        <w:sectPr>
          <w:pgSz w:w="11900" w:h="16838" w:orient="portrait"/>
          <w:cols w:equalWidth="0" w:num="1">
            <w:col w:w="11460"/>
          </w:cols>
          <w:pgMar w:left="220" w:top="124" w:right="219" w:bottom="0" w:gutter="0" w:footer="0" w:header="0"/>
        </w:sectPr>
      </w:pPr>
    </w:p>
    <w:bookmarkStart w:id="70" w:name="page71"/>
    <w:bookmarkEnd w:id="70"/>
    <w:p>
      <w:pPr>
        <w:spacing w:after="0" w:line="139" w:lineRule="exact"/>
        <w:rPr>
          <w:sz w:val="20"/>
          <w:szCs w:val="20"/>
          <w:color w:val="auto"/>
        </w:rPr>
      </w:pPr>
    </w:p>
    <w:p>
      <w:pPr>
        <w:jc w:val="both"/>
        <w:ind w:firstLine="496"/>
        <w:spacing w:after="0" w:line="284" w:lineRule="auto"/>
        <w:rPr>
          <w:sz w:val="20"/>
          <w:szCs w:val="20"/>
          <w:color w:val="auto"/>
        </w:rPr>
      </w:pPr>
      <w:r>
        <w:rPr>
          <w:rFonts w:ascii="Arial" w:cs="Arial" w:eastAsia="Arial" w:hAnsi="Arial"/>
          <w:sz w:val="14"/>
          <w:szCs w:val="14"/>
          <w:color w:val="auto"/>
        </w:rPr>
        <w:t xml:space="preserve">Section 10.3. </w:t>
      </w:r>
      <w:r>
        <w:rPr>
          <w:rFonts w:ascii="Arial" w:cs="Arial" w:eastAsia="Arial" w:hAnsi="Arial"/>
          <w:sz w:val="14"/>
          <w:szCs w:val="14"/>
          <w:u w:val="single" w:color="auto"/>
          <w:color w:val="auto"/>
        </w:rPr>
        <w:t>Sources of Payment; No Debt of State</w:t>
      </w:r>
      <w:r>
        <w:rPr>
          <w:rFonts w:ascii="Arial" w:cs="Arial" w:eastAsia="Arial" w:hAnsi="Arial"/>
          <w:sz w:val="14"/>
          <w:szCs w:val="14"/>
          <w:color w:val="auto"/>
        </w:rPr>
        <w:t>. DWR’s obligation to make payments hereunder shall be limited solely to the Fund and shall be payable as an operating expense of the Fund solely from Power Charges subject and subordinate to each Priority Long Term Power Contract in accordance with the priorities and limitations established with respect to the Fund’s operating expenses in any indenture providing for the issuance of Bonds and in the Rate Agreement and in the Priority Long Term Power Contracts. Any liability of DWR arising in connection with this Order or any claim based thereon or with respect thereto, including, but not limited to, any payment arising as the result of any breach or Event of Default under this Order, and any other payment obligation or liability of or judgment against DWR hereunder, shall be satisfied solely from the Fund. NEITHER THE FULL FAITH AND CREDIT NOR THE TAXING POWER OF THE STATE OF CALIFORNIA ARE OR MAY BE PLEDGED FOR ANY PAYMENT UNDER THIS ORDER. Revenues and assets of the State Water Resources Development System, and Bond Charges under the Rate Agreement, shall not be liable for or available to make any payments or satisfy any obligation arising under this Order. If moneys on deposit in the Fund are insufficient to pay all amounts payable by DWR under this Order, or if DWR has reason to believe such funds may become insufficient to pay all amounts payable by DWR under this Order, DWR shall diligently pursue an increase to its revenue requirements as permitted under the Act from the appropriate Governmental Authority as soon as practicable. To the extent DWR’s obligations are “administrative costs,” they will require annual appropriation by the legislature.</w:t>
      </w:r>
    </w:p>
    <w:p>
      <w:pPr>
        <w:spacing w:after="0" w:line="296" w:lineRule="exact"/>
        <w:rPr>
          <w:sz w:val="20"/>
          <w:szCs w:val="20"/>
          <w:color w:val="auto"/>
        </w:rPr>
      </w:pPr>
    </w:p>
    <w:p>
      <w:pPr>
        <w:jc w:val="both"/>
        <w:ind w:firstLine="496"/>
        <w:spacing w:after="0" w:line="231"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Cap on Liability</w:t>
      </w:r>
      <w:r>
        <w:rPr>
          <w:rFonts w:ascii="Arial" w:cs="Arial" w:eastAsia="Arial" w:hAnsi="Arial"/>
          <w:sz w:val="17"/>
          <w:szCs w:val="17"/>
          <w:color w:val="auto"/>
        </w:rPr>
        <w:t>. In no event will Utility be liable to DWR for damages under this Order, including indemnification obligations, whether in contract, warranty, tort (including negligence), strict liability or otherwise (referred to as “Damages” for purposes of this Section), in an amount in excess of: 1) on an annual calendar year basis, $5 million plus ten percent of Damages in excess of $5 million and 2) for the entire term of this Order, $50 million in total payments of Damages to DWR. For example, if Damages for an event are $100 million, Utility’s total liability for this event would be $14.5 million ($5 million plus 10% of $95 million) and that would be the full extent of Utility’s liability for such Damages. All Damages associated with an event will apply only to the annual limit in the first year in which Damages for that event were assessed. For example, if Damages for an event were paid as follows: $15 million in year 1 and $10 million in year 2, the Utility would pay DWR $7 million ($5 million plus 10% of $10 million for year 1 and 10% of $10 million for year 2). In this example, the $1 million paid to DWR in year 2 (10% of $10 million) does not count against the year 2 $5 million calendar year threshold. DWR hereby releases Utility from any liability for Damages in excess of the limitations on liability set forth in this Section 10.04, provided however, that this limitation on Utility liability shall not apply to the extent the liability is a result of Utility’s gross negligence or willful misconduct.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CONFIDENTIALITY</w:t>
      </w:r>
    </w:p>
    <w:p>
      <w:pPr>
        <w:spacing w:after="0" w:line="142" w:lineRule="exact"/>
        <w:rPr>
          <w:sz w:val="20"/>
          <w:szCs w:val="20"/>
          <w:color w:val="auto"/>
        </w:rPr>
      </w:pPr>
    </w:p>
    <w:p>
      <w:pPr>
        <w:ind w:left="500"/>
        <w:spacing w:after="0"/>
        <w:tabs>
          <w:tab w:leader="none" w:pos="1480" w:val="left"/>
        </w:tabs>
        <w:rPr>
          <w:sz w:val="20"/>
          <w:szCs w:val="20"/>
          <w:color w:val="auto"/>
        </w:rPr>
      </w:pPr>
      <w:r>
        <w:rPr>
          <w:rFonts w:ascii="Arial" w:cs="Arial" w:eastAsia="Arial" w:hAnsi="Arial"/>
          <w:sz w:val="17"/>
          <w:szCs w:val="17"/>
          <w:color w:val="auto"/>
        </w:rPr>
        <w:t>Section 11.1.</w:t>
      </w:r>
      <w:r>
        <w:rPr>
          <w:sz w:val="20"/>
          <w:szCs w:val="20"/>
          <w:color w:val="auto"/>
        </w:rPr>
        <w:tab/>
      </w:r>
      <w:r>
        <w:rPr>
          <w:rFonts w:ascii="Arial" w:cs="Arial" w:eastAsia="Arial" w:hAnsi="Arial"/>
          <w:sz w:val="14"/>
          <w:szCs w:val="14"/>
          <w:color w:val="auto"/>
        </w:rPr>
        <w:t>Proprietary Information.</w:t>
      </w:r>
    </w:p>
    <w:p>
      <w:pPr>
        <w:spacing w:after="0" w:line="146" w:lineRule="exact"/>
        <w:rPr>
          <w:sz w:val="20"/>
          <w:szCs w:val="20"/>
          <w:color w:val="auto"/>
        </w:rPr>
      </w:pPr>
    </w:p>
    <w:p>
      <w:pPr>
        <w:ind w:left="1000" w:hanging="501"/>
        <w:spacing w:after="0" w:line="245" w:lineRule="auto"/>
        <w:tabs>
          <w:tab w:leader="none" w:pos="10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Nothing in this Order shall affect Utility’s obligations to observe any Applicable Law prohibiting the disclosure of Confidential Information regarding its customers.</w:t>
      </w:r>
    </w:p>
    <w:p>
      <w:pPr>
        <w:spacing w:after="0" w:line="128" w:lineRule="exact"/>
        <w:rPr>
          <w:rFonts w:ascii="Arial" w:cs="Arial" w:eastAsia="Arial" w:hAnsi="Arial"/>
          <w:sz w:val="17"/>
          <w:szCs w:val="17"/>
          <w:color w:val="auto"/>
        </w:rPr>
      </w:pPr>
    </w:p>
    <w:p>
      <w:pPr>
        <w:jc w:val="both"/>
        <w:ind w:left="1000" w:hanging="501"/>
        <w:spacing w:after="0" w:line="235" w:lineRule="auto"/>
        <w:tabs>
          <w:tab w:leader="none" w:pos="10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Nothing in this Order, and in particular nothing in Sections 11.01(e)(x) through 11.01(e)(z) of this Order, shall affect the rights of the Commission to obtain from Utility, pursuant to Applicable Law, information requested by the Commission, including Confidential Information provided by DWR to Utility. Applicable Law, and not this Order, will govern what information the Commission may disclose to third parties, subject to any confidentiality agreement between DWR and the Commission.</w:t>
      </w:r>
    </w:p>
    <w:p>
      <w:pPr>
        <w:spacing w:after="0" w:line="143" w:lineRule="exact"/>
        <w:rPr>
          <w:rFonts w:ascii="Arial" w:cs="Arial" w:eastAsia="Arial" w:hAnsi="Arial"/>
          <w:sz w:val="17"/>
          <w:szCs w:val="17"/>
          <w:color w:val="auto"/>
        </w:rPr>
      </w:pPr>
    </w:p>
    <w:p>
      <w:pPr>
        <w:jc w:val="both"/>
        <w:ind w:left="1000" w:hanging="501"/>
        <w:spacing w:after="0" w:line="283" w:lineRule="auto"/>
        <w:tabs>
          <w:tab w:leader="none" w:pos="10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Parties acknowledge that each Party may acquire information and material that is the other Party’s confidential, proprietary or trade secret information. As used herein, “Confidential Information” means any and all technical, commercial, financial and customer information disclosed by one Party to the other (or obtained from one Party’s inspection of the other Party’s records or documents), including any patents, patent applications, copyrights, trade secrets and proprietary information, techniques, sketches, drawings, maps, reports, specifications, designs, records, data, models, inventions, know-how, processes, apparati, equipment, algorithms, software programs, software source documents, object code, source code, and information related to the current, future and proposed products and services of each of the Parties, and includes, without limitation, the Parties’ respective information concerning research, experimental work, development, design details and specifications, engineering, financial information, procurement requirements, purchasing, manufacturing, business forecasts, sales and merchandising, and marketing plans and information. In all cases, Confidential Information includes proprietary or confidential information of any third party disclosing such information to either Party in the course of such third party’s business or relationship with such Party. Utility’s Confidential Information also includes any and all lists of customers, and any and all information about customers, both individually and aggregated, including but not limited to customers’ names, street addresses of customer residences and/or facilities, email addresses, identification numbers, Utility account numbers and passwords, payment histories, energy usage, rate schedule history, allocation of energy uses among customer residences and/or facilities, and usage of DWR Power. All Confidential Information disclosed by the disclosing Party (“Discloser”) will be considered Confidential Information by the receiving Party (“Recipient”) if identified as confidential and received from Discloser.</w:t>
      </w:r>
    </w:p>
    <w:p>
      <w:pPr>
        <w:spacing w:after="0" w:line="291" w:lineRule="exact"/>
        <w:rPr>
          <w:rFonts w:ascii="Arial" w:cs="Arial" w:eastAsia="Arial" w:hAnsi="Arial"/>
          <w:sz w:val="14"/>
          <w:szCs w:val="14"/>
          <w:color w:val="auto"/>
        </w:rPr>
      </w:pPr>
    </w:p>
    <w:p>
      <w:pPr>
        <w:jc w:val="both"/>
        <w:ind w:left="1000" w:hanging="501"/>
        <w:spacing w:after="0" w:line="232" w:lineRule="auto"/>
        <w:tabs>
          <w:tab w:leader="none" w:pos="10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Each Party agrees to take all steps reasonably necessary to hold in trust and confidence the other Party’s Confidential Information. Without limiting the generality of the immediately preceding sentence, each Party agrees (i) to hold the other Party’s Confidential Information in strict confidence, not to disclose it to third parties or to use it in any way, commercially or otherwise, other than as permitted under this Order; and (ii) to limit the disclosure of the Confidential Information to those of its employees, agents or directly related subcontractors with a need to know who have been advised of the confidential nature thereof and who have acknowledged their express obligation to maintain such confidentiality. DWR shall not disclose Confidential Information to employees, agents or subcontractors that are in any respect responsible for power marketing or trading activities associated with the State Water Resources Development System.</w:t>
      </w:r>
    </w:p>
    <w:p>
      <w:pPr>
        <w:spacing w:after="0" w:line="134" w:lineRule="exact"/>
        <w:rPr>
          <w:rFonts w:ascii="Arial" w:cs="Arial" w:eastAsia="Arial" w:hAnsi="Arial"/>
          <w:sz w:val="17"/>
          <w:szCs w:val="17"/>
          <w:color w:val="auto"/>
        </w:rPr>
      </w:pPr>
    </w:p>
    <w:p>
      <w:pPr>
        <w:jc w:val="both"/>
        <w:ind w:left="1000" w:hanging="501"/>
        <w:spacing w:after="0" w:line="287" w:lineRule="auto"/>
        <w:tabs>
          <w:tab w:leader="none" w:pos="10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foregoing two paragraphs will not apply to any item of Confidential Information if: (i) it has been published or is otherwise readily available to the public other than by a breach of this Order; (ii) it has been rightfully received by Recipient from a third party without breach of confidentiality obligations of such third party and outside the context of the provision of services under this Order; (iii) it has been independently developed by Recipient personnel having no access to the Confidential Information; (iv) it was known to Recipient prior to its first receipt from Discloser, or (v) it has been summarized, processed and incorporated for incorporation into reports, discussions, statements or any other further work product. In addition, Recipient may disclose Confidential Information if and to the extent required by law or a Governmental Authority, provided that (x) Recipient shall give Discloser a reasonable opportunity to review and object to the disclosure of such Confidential Information, (y) Discloser may seek a protective order or confidential treatment of such Confidential Information, and (z) Recipient shall make commercially reasonable efforts to cooperate with Discloser in seeking such protective order or confidential treatment. Discloser shall pay Recipient its reasonable costs of cooperating.</w:t>
      </w:r>
    </w:p>
    <w:p>
      <w:pPr>
        <w:spacing w:after="0" w:line="300" w:lineRule="exact"/>
        <w:rPr>
          <w:sz w:val="20"/>
          <w:szCs w:val="20"/>
          <w:color w:val="auto"/>
        </w:rPr>
      </w:pPr>
    </w:p>
    <w:p>
      <w:pPr>
        <w:jc w:val="both"/>
        <w:ind w:firstLine="496"/>
        <w:spacing w:after="0" w:line="237" w:lineRule="auto"/>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u w:val="single" w:color="auto"/>
          <w:color w:val="auto"/>
        </w:rPr>
        <w:t>No License</w:t>
      </w:r>
      <w:r>
        <w:rPr>
          <w:rFonts w:ascii="Arial" w:cs="Arial" w:eastAsia="Arial" w:hAnsi="Arial"/>
          <w:sz w:val="17"/>
          <w:szCs w:val="17"/>
          <w:color w:val="auto"/>
        </w:rPr>
        <w:t>. Nothing contained in this Order shall be construed as granting to a Party a license, either express or implied, under any patent, copyright, trademark, service mark, trade dress or other intellectual property right, or to any Confidential Information now or hereafter owned, obtained, controlled by, or which is or may be licensable by, the other Party.</w:t>
      </w:r>
    </w:p>
    <w:p>
      <w:pPr>
        <w:spacing w:after="0" w:line="134" w:lineRule="exact"/>
        <w:rPr>
          <w:sz w:val="20"/>
          <w:szCs w:val="20"/>
          <w:color w:val="auto"/>
        </w:rPr>
      </w:pPr>
    </w:p>
    <w:p>
      <w:pPr>
        <w:ind w:left="500"/>
        <w:spacing w:after="0"/>
        <w:tabs>
          <w:tab w:leader="none" w:pos="1480" w:val="left"/>
        </w:tabs>
        <w:rPr>
          <w:sz w:val="20"/>
          <w:szCs w:val="20"/>
          <w:color w:val="auto"/>
        </w:rPr>
      </w:pPr>
      <w:r>
        <w:rPr>
          <w:rFonts w:ascii="Arial" w:cs="Arial" w:eastAsia="Arial" w:hAnsi="Arial"/>
          <w:sz w:val="17"/>
          <w:szCs w:val="17"/>
          <w:color w:val="auto"/>
        </w:rPr>
        <w:t>Section 11.3.</w:t>
      </w:r>
      <w:r>
        <w:rPr>
          <w:sz w:val="20"/>
          <w:szCs w:val="20"/>
          <w:color w:val="auto"/>
        </w:rPr>
        <w:tab/>
      </w:r>
      <w:r>
        <w:rPr>
          <w:rFonts w:ascii="Arial" w:cs="Arial" w:eastAsia="Arial" w:hAnsi="Arial"/>
          <w:sz w:val="14"/>
          <w:szCs w:val="14"/>
          <w:u w:val="single" w:color="auto"/>
          <w:color w:val="auto"/>
        </w:rPr>
        <w:t>Survival of Provisions</w:t>
      </w:r>
      <w:r>
        <w:rPr>
          <w:rFonts w:ascii="Arial" w:cs="Arial" w:eastAsia="Arial" w:hAnsi="Arial"/>
          <w:sz w:val="14"/>
          <w:szCs w:val="14"/>
          <w:color w:val="auto"/>
        </w:rPr>
        <w:t>. The provisions of this Article XI shall survive the termination of this Order.</w:t>
      </w:r>
    </w:p>
    <w:p>
      <w:pPr>
        <w:spacing w:after="0" w:line="152" w:lineRule="exact"/>
        <w:rPr>
          <w:sz w:val="20"/>
          <w:szCs w:val="20"/>
          <w:color w:val="auto"/>
        </w:rPr>
      </w:pPr>
    </w:p>
    <w:p>
      <w:pPr>
        <w:ind w:left="5220"/>
        <w:spacing w:after="0"/>
        <w:rPr>
          <w:sz w:val="20"/>
          <w:szCs w:val="20"/>
          <w:color w:val="auto"/>
        </w:rPr>
      </w:pPr>
      <w:r>
        <w:rPr>
          <w:rFonts w:ascii="Arial" w:cs="Arial" w:eastAsia="Arial" w:hAnsi="Arial"/>
          <w:sz w:val="17"/>
          <w:szCs w:val="17"/>
          <w:b w:val="1"/>
          <w:bCs w:val="1"/>
          <w:color w:val="auto"/>
        </w:rPr>
        <w:t>ARTICLE XII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RECORDS AND AUDIT RIGHTS</w:t>
      </w:r>
    </w:p>
    <w:p>
      <w:pPr>
        <w:spacing w:after="0" w:line="132" w:lineRule="exact"/>
        <w:rPr>
          <w:sz w:val="20"/>
          <w:szCs w:val="20"/>
          <w:color w:val="auto"/>
        </w:rPr>
      </w:pPr>
    </w:p>
    <w:p>
      <w:pPr>
        <w:jc w:val="both"/>
        <w:ind w:firstLine="496"/>
        <w:spacing w:after="0" w:line="247"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u w:val="single" w:color="auto"/>
          <w:color w:val="auto"/>
        </w:rPr>
        <w:t>Records</w:t>
      </w:r>
      <w:r>
        <w:rPr>
          <w:rFonts w:ascii="Arial" w:cs="Arial" w:eastAsia="Arial" w:hAnsi="Arial"/>
          <w:sz w:val="16"/>
          <w:szCs w:val="16"/>
          <w:color w:val="auto"/>
        </w:rPr>
        <w:t>. Utility shall maintain accurate records and accounts relating to the Contracts in sufficient detail to permit DWR to audit and monitor the functions to be performed by Utility on behalf of DWR, as its limited agent, under this Order. In addition, Utility shall maintain accurate records and accounts relating to DWR Revenues to be remitted by Utility to DWR, consistent with the Settlement Principles for Remittances and Surplus Revenues set forth in Exhibit C hereto. Utility shall provide to DWR and its Assign(s) access to such records. Access shall be afforded without charge, upon reasonable request made pursuant to Section 12.02. Access shall be afforded only during Business Hours and in such a manner so as not to interfere unreasonably with Utility’s normal operations. Utility shall not treat DWR Revenues as income or assets of Utility or any affiliate for any tax, financial reporting or regulatory purposes, and the financial books or records of Utility and affiliates shall be maintained in a manner consistent with the absolute ownership of DWR Revenues by DWR and Utility’s holding of DWR Revenues in trust for DWR (whether or not held together with other monies).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 xml:space="preserve">Section 12.2.  </w:t>
      </w:r>
      <w:r>
        <w:rPr>
          <w:rFonts w:ascii="Arial" w:cs="Arial" w:eastAsia="Arial" w:hAnsi="Arial"/>
          <w:sz w:val="17"/>
          <w:szCs w:val="17"/>
          <w:u w:val="single" w:color="auto"/>
          <w:color w:val="auto"/>
        </w:rPr>
        <w:t>Audit Rights</w:t>
      </w:r>
      <w:r>
        <w:rPr>
          <w:rFonts w:ascii="Arial" w:cs="Arial" w:eastAsia="Arial" w:hAnsi="Arial"/>
          <w:sz w:val="17"/>
          <w:szCs w:val="17"/>
          <w:color w:val="auto"/>
        </w:rPr>
        <w:t>.</w:t>
      </w:r>
    </w:p>
    <w:p>
      <w:pPr>
        <w:spacing w:after="0" w:line="146" w:lineRule="exact"/>
        <w:rPr>
          <w:sz w:val="20"/>
          <w:szCs w:val="20"/>
          <w:color w:val="auto"/>
        </w:rPr>
      </w:pPr>
    </w:p>
    <w:p>
      <w:pPr>
        <w:jc w:val="both"/>
        <w:ind w:left="1000" w:hanging="501"/>
        <w:spacing w:after="0" w:line="349" w:lineRule="auto"/>
        <w:tabs>
          <w:tab w:leader="none" w:pos="10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Upon 30 calendar days’ prior written notice, DWR may request an audit, conducted by DWR or its agents (at DWR’s expense), of Utility’s records and procedures, which shall be limited to records and procedures containing information bearing upon Utility’s performance of its obligations under this Order.</w:t>
      </w:r>
    </w:p>
    <w:p>
      <w:pPr>
        <w:sectPr>
          <w:pgSz w:w="11900" w:h="16978" w:orient="portrait"/>
          <w:cols w:equalWidth="0" w:num="1">
            <w:col w:w="11460"/>
          </w:cols>
          <w:pgMar w:left="220" w:top="124" w:right="219" w:bottom="0" w:gutter="0" w:footer="0" w:header="0"/>
        </w:sectPr>
      </w:pPr>
    </w:p>
    <w:bookmarkStart w:id="71" w:name="page72"/>
    <w:bookmarkEnd w:id="71"/>
    <w:p>
      <w:pPr>
        <w:ind w:left="1000" w:firstLine="71"/>
        <w:spacing w:after="0" w:line="244" w:lineRule="auto"/>
        <w:rPr>
          <w:sz w:val="20"/>
          <w:szCs w:val="20"/>
          <w:color w:val="auto"/>
        </w:rPr>
      </w:pPr>
      <w:r>
        <w:rPr>
          <w:rFonts w:ascii="Arial" w:cs="Arial" w:eastAsia="Arial" w:hAnsi="Arial"/>
          <w:sz w:val="17"/>
          <w:szCs w:val="17"/>
          <w:color w:val="auto"/>
        </w:rPr>
        <w:t>The audit shall be conducted during Business Hours without interference with Utility’s normal operations, and in compliance with Utility’s security procedures.</w:t>
      </w:r>
    </w:p>
    <w:p>
      <w:pPr>
        <w:spacing w:after="0" w:line="129" w:lineRule="exact"/>
        <w:rPr>
          <w:sz w:val="20"/>
          <w:szCs w:val="20"/>
          <w:color w:val="auto"/>
        </w:rPr>
      </w:pPr>
    </w:p>
    <w:p>
      <w:pPr>
        <w:jc w:val="both"/>
        <w:ind w:left="1000" w:hanging="501"/>
        <w:spacing w:after="0" w:line="246" w:lineRule="auto"/>
        <w:tabs>
          <w:tab w:leader="none" w:pos="10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As provided in the Act, the State of California Bureau of State Audits (the “Bureau”) shall conduct a financial and performance audit of DWR’s implementation of Division 27 (commencing with Section 80000) of the California Water Code, and the Bureau shall issue a final report on or before March 31, 2003. In addition, as provided in Section 8546.7 of the California Government Code, pursuant to this Section 12.02, DWR or the State of California Department of General Services, the Bureau, or their designated representative (“DWR’s Agent”) shall have the right to review and to copy (at DWR’s expense) any non-confidential records and supporting documentation pertaining to the performance of this Order and to conduct an on-site review of any Confidential Information pursuant to Section 12.03 hereof. Utility agrees to maintain such records for such possible audit for three years after final Remittance to DWR. Utility agrees to allow such auditor(s) access to such records during Business Hours and to allow interviews of any employees who might reasonably have information related to such records. Further, Utility shall include a similar right for DWR or DWR’s Agent to audit records and interview staff in any contract between Utility and a subcontractor directly related to performance of this Order.</w:t>
      </w:r>
    </w:p>
    <w:p>
      <w:pPr>
        <w:spacing w:after="0" w:line="143" w:lineRule="exact"/>
        <w:rPr>
          <w:sz w:val="20"/>
          <w:szCs w:val="20"/>
          <w:color w:val="auto"/>
        </w:rPr>
      </w:pPr>
    </w:p>
    <w:p>
      <w:pPr>
        <w:jc w:val="both"/>
        <w:ind w:firstLine="496"/>
        <w:spacing w:after="0" w:line="235" w:lineRule="auto"/>
        <w:rPr>
          <w:sz w:val="20"/>
          <w:szCs w:val="20"/>
          <w:color w:val="auto"/>
        </w:rPr>
      </w:pPr>
      <w:r>
        <w:rPr>
          <w:rFonts w:ascii="Arial" w:cs="Arial" w:eastAsia="Arial" w:hAnsi="Arial"/>
          <w:sz w:val="17"/>
          <w:szCs w:val="17"/>
          <w:color w:val="auto"/>
        </w:rPr>
        <w:t xml:space="preserve">Section 12.3. </w:t>
      </w:r>
      <w:r>
        <w:rPr>
          <w:rFonts w:ascii="Arial" w:cs="Arial" w:eastAsia="Arial" w:hAnsi="Arial"/>
          <w:sz w:val="17"/>
          <w:szCs w:val="17"/>
          <w:u w:val="single" w:color="auto"/>
          <w:color w:val="auto"/>
        </w:rPr>
        <w:t>Confidentiality</w:t>
      </w:r>
      <w:r>
        <w:rPr>
          <w:rFonts w:ascii="Arial" w:cs="Arial" w:eastAsia="Arial" w:hAnsi="Arial"/>
          <w:sz w:val="17"/>
          <w:szCs w:val="17"/>
          <w:color w:val="auto"/>
        </w:rPr>
        <w:t>. Materials reviewed by either Party or its agents in the course of an audit may contain Confidential Information subject to Article XI above. The use of all materials provided to DWR or Utility or their agents, as the case may be pursuant to this Article XII, shall comply with the provisions in Article XI and shall be limited to use in conjunction with the conduct of the audit and preparation of a report for appropriate distribution of the results of the audit consistent with Applicable Law.</w:t>
      </w:r>
    </w:p>
    <w:p>
      <w:pPr>
        <w:spacing w:after="0" w:line="134" w:lineRule="exact"/>
        <w:rPr>
          <w:sz w:val="20"/>
          <w:szCs w:val="20"/>
          <w:color w:val="auto"/>
        </w:rPr>
      </w:pPr>
    </w:p>
    <w:p>
      <w:pPr>
        <w:jc w:val="both"/>
        <w:ind w:firstLine="496"/>
        <w:spacing w:after="0" w:line="259" w:lineRule="auto"/>
        <w:rPr>
          <w:sz w:val="20"/>
          <w:szCs w:val="20"/>
          <w:color w:val="auto"/>
        </w:rPr>
      </w:pPr>
      <w:r>
        <w:rPr>
          <w:rFonts w:ascii="Arial" w:cs="Arial" w:eastAsia="Arial" w:hAnsi="Arial"/>
          <w:sz w:val="16"/>
          <w:szCs w:val="16"/>
          <w:color w:val="auto"/>
        </w:rPr>
        <w:t xml:space="preserve">Section 12.4. </w:t>
      </w:r>
      <w:r>
        <w:rPr>
          <w:rFonts w:ascii="Arial" w:cs="Arial" w:eastAsia="Arial" w:hAnsi="Arial"/>
          <w:sz w:val="16"/>
          <w:szCs w:val="16"/>
          <w:u w:val="single" w:color="auto"/>
          <w:color w:val="auto"/>
        </w:rPr>
        <w:t>Annual Certifications</w:t>
      </w:r>
      <w:r>
        <w:rPr>
          <w:rFonts w:ascii="Arial" w:cs="Arial" w:eastAsia="Arial" w:hAnsi="Arial"/>
          <w:sz w:val="16"/>
          <w:szCs w:val="16"/>
          <w:color w:val="auto"/>
        </w:rPr>
        <w:t>. At least annually, and in no event later than the 30th day after the end of the calendar year, Utility shall deliver to DWR, with a copy to the Commission, a certificate of an authorized representative certifying that to the best of such representative’s knowledge, after a review of Utility performance under this Order, Utility has fulfilled its obligations under this Order in all material respects and is in compliance herewith in all material respects.</w:t>
      </w:r>
    </w:p>
    <w:p>
      <w:pPr>
        <w:spacing w:after="0" w:line="118" w:lineRule="exact"/>
        <w:rPr>
          <w:sz w:val="20"/>
          <w:szCs w:val="20"/>
          <w:color w:val="auto"/>
        </w:rPr>
      </w:pPr>
    </w:p>
    <w:p>
      <w:pPr>
        <w:jc w:val="both"/>
        <w:ind w:firstLine="496"/>
        <w:spacing w:after="0" w:line="301" w:lineRule="auto"/>
        <w:rPr>
          <w:sz w:val="20"/>
          <w:szCs w:val="20"/>
          <w:color w:val="auto"/>
        </w:rPr>
      </w:pPr>
      <w:r>
        <w:rPr>
          <w:rFonts w:ascii="Arial" w:cs="Arial" w:eastAsia="Arial" w:hAnsi="Arial"/>
          <w:sz w:val="14"/>
          <w:szCs w:val="14"/>
          <w:color w:val="auto"/>
        </w:rPr>
        <w:t xml:space="preserve">Section 12.5. </w:t>
      </w:r>
      <w:r>
        <w:rPr>
          <w:rFonts w:ascii="Arial" w:cs="Arial" w:eastAsia="Arial" w:hAnsi="Arial"/>
          <w:sz w:val="14"/>
          <w:szCs w:val="14"/>
          <w:u w:val="single" w:color="auto"/>
          <w:color w:val="auto"/>
        </w:rPr>
        <w:t>Additional Applicable Laws</w:t>
      </w:r>
      <w:r>
        <w:rPr>
          <w:rFonts w:ascii="Arial" w:cs="Arial" w:eastAsia="Arial" w:hAnsi="Arial"/>
          <w:sz w:val="14"/>
          <w:szCs w:val="14"/>
          <w:color w:val="auto"/>
        </w:rPr>
        <w:t>. Each Party shall make an effort to promptly notify the other Party in writing to the extent such Party becomes aware of any new Applicable Laws or changes (or proposed changes) in Applicable Tariffs hereafter enacted, adopted or promulgated that may have a material adverse effect on either Party’s ability to perform its duties under this Order. A Party’s failure to so notify the other Party pursuant to this Section 12.05 will not constitute a material breach of this Order, and will not give rise to any right to terminate this Order or cause either Party to incur any liability to the other Party or any third party.</w:t>
      </w:r>
    </w:p>
    <w:p>
      <w:pPr>
        <w:spacing w:after="0" w:line="102" w:lineRule="exact"/>
        <w:rPr>
          <w:sz w:val="20"/>
          <w:szCs w:val="20"/>
          <w:color w:val="auto"/>
        </w:rPr>
      </w:pPr>
    </w:p>
    <w:p>
      <w:pPr>
        <w:jc w:val="both"/>
        <w:ind w:firstLine="496"/>
        <w:spacing w:after="0" w:line="250" w:lineRule="auto"/>
        <w:rPr>
          <w:sz w:val="20"/>
          <w:szCs w:val="20"/>
          <w:color w:val="auto"/>
        </w:rPr>
      </w:pPr>
      <w:r>
        <w:rPr>
          <w:rFonts w:ascii="Arial" w:cs="Arial" w:eastAsia="Arial" w:hAnsi="Arial"/>
          <w:sz w:val="16"/>
          <w:szCs w:val="16"/>
          <w:color w:val="auto"/>
        </w:rPr>
        <w:t xml:space="preserve">Section 12.6. </w:t>
      </w:r>
      <w:r>
        <w:rPr>
          <w:rFonts w:ascii="Arial" w:cs="Arial" w:eastAsia="Arial" w:hAnsi="Arial"/>
          <w:sz w:val="16"/>
          <w:szCs w:val="16"/>
          <w:u w:val="single" w:color="auto"/>
          <w:color w:val="auto"/>
        </w:rPr>
        <w:t>Other Information</w:t>
      </w:r>
      <w:r>
        <w:rPr>
          <w:rFonts w:ascii="Arial" w:cs="Arial" w:eastAsia="Arial" w:hAnsi="Arial"/>
          <w:sz w:val="16"/>
          <w:szCs w:val="16"/>
          <w:color w:val="auto"/>
        </w:rPr>
        <w:t>. Upon the reasonable request of DWR or its Assign(s), Utility shall provide to DWR or its Assign(s) any public financial information in respect of Utility applicable to services provided by Utility under this Order, to the extent such information is reasonably available to Utility, which (i) is reasonably necessary and permitted by Applicable Law to monitor the performance by Utility hereunder, or (ii) otherwise relates to the exercise of DWR’s rights or the discharge of DWR’s duties under this Order or any Applicable Law. In particular, but without limiting the foregoing, Utility shall provide to DWR any such information that is necessary or useful to calculate DWR’s revenue requirements (as described in Sections 80110 and 80134 of the California Water Code).</w:t>
      </w:r>
    </w:p>
    <w:p>
      <w:pPr>
        <w:spacing w:after="0" w:line="127" w:lineRule="exact"/>
        <w:rPr>
          <w:sz w:val="20"/>
          <w:szCs w:val="20"/>
          <w:color w:val="auto"/>
        </w:rPr>
      </w:pPr>
    </w:p>
    <w:p>
      <w:pPr>
        <w:jc w:val="both"/>
        <w:ind w:firstLine="496"/>
        <w:spacing w:after="0" w:line="275" w:lineRule="auto"/>
        <w:rPr>
          <w:sz w:val="20"/>
          <w:szCs w:val="20"/>
          <w:color w:val="auto"/>
        </w:rPr>
      </w:pPr>
      <w:r>
        <w:rPr>
          <w:rFonts w:ascii="Arial" w:cs="Arial" w:eastAsia="Arial" w:hAnsi="Arial"/>
          <w:sz w:val="16"/>
          <w:szCs w:val="16"/>
          <w:color w:val="auto"/>
        </w:rPr>
        <w:t xml:space="preserve">Section 12.7. </w:t>
      </w:r>
      <w:r>
        <w:rPr>
          <w:rFonts w:ascii="Arial" w:cs="Arial" w:eastAsia="Arial" w:hAnsi="Arial"/>
          <w:sz w:val="16"/>
          <w:szCs w:val="16"/>
          <w:u w:val="single" w:color="auto"/>
          <w:color w:val="auto"/>
        </w:rPr>
        <w:t>Data and Information Retention</w:t>
      </w:r>
      <w:r>
        <w:rPr>
          <w:rFonts w:ascii="Arial" w:cs="Arial" w:eastAsia="Arial" w:hAnsi="Arial"/>
          <w:sz w:val="16"/>
          <w:szCs w:val="16"/>
          <w:color w:val="auto"/>
        </w:rPr>
        <w:t>. All data and information associated with the provision and receipt of services pursuant to this Order shall be maintained for the greater of (a) the retention time required by Applicable Law or Applicable Tariffs for maintaining such information, or (b) three (3) years.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DISPUTE RESOLUTION</w:t>
      </w:r>
    </w:p>
    <w:p>
      <w:pPr>
        <w:spacing w:after="0" w:line="132" w:lineRule="exact"/>
        <w:rPr>
          <w:sz w:val="20"/>
          <w:szCs w:val="20"/>
          <w:color w:val="auto"/>
        </w:rPr>
      </w:pPr>
    </w:p>
    <w:p>
      <w:pPr>
        <w:jc w:val="both"/>
        <w:ind w:firstLine="496"/>
        <w:spacing w:after="0" w:line="249" w:lineRule="auto"/>
        <w:rPr>
          <w:sz w:val="20"/>
          <w:szCs w:val="20"/>
          <w:color w:val="auto"/>
        </w:rPr>
      </w:pPr>
      <w:r>
        <w:rPr>
          <w:rFonts w:ascii="Arial" w:cs="Arial" w:eastAsia="Arial" w:hAnsi="Arial"/>
          <w:sz w:val="16"/>
          <w:szCs w:val="16"/>
          <w:color w:val="auto"/>
        </w:rPr>
        <w:t xml:space="preserve">Section 13.1. </w:t>
      </w:r>
      <w:r>
        <w:rPr>
          <w:rFonts w:ascii="Arial" w:cs="Arial" w:eastAsia="Arial" w:hAnsi="Arial"/>
          <w:sz w:val="16"/>
          <w:szCs w:val="16"/>
          <w:u w:val="single" w:color="auto"/>
          <w:color w:val="auto"/>
        </w:rPr>
        <w:t>Dispute Resolution</w:t>
      </w:r>
      <w:r>
        <w:rPr>
          <w:rFonts w:ascii="Arial" w:cs="Arial" w:eastAsia="Arial" w:hAnsi="Arial"/>
          <w:sz w:val="16"/>
          <w:szCs w:val="16"/>
          <w:color w:val="auto"/>
        </w:rPr>
        <w:t>. Should any dispute arise between the Parties or should any dispute between the Parties arise from the exercise of either Party’s audit rights contained in Section 12.02 hereof, the Parties shall remit any undisputed amounts and agree to enter into good faith negotiations as soon as practicable to resolve such disputes within (10) Business Days so as to resolve such disputes, as appropriate, within the timeframes provided under this Order, or as soon as possible thereafter. For any disputed Remittances, if such resolution cannot be made before the remittance date, Utility shall remit the undisputed portion to DWR. In addition, the disputed portion of the Remittances shall be deposited into an escrow account held by a qualified, independent escrow holder. Upon resolution of such disputes, the Party that escrowed the disputed amount shall reimburse the other Party from the escrow account as necessary.</w:t>
      </w:r>
    </w:p>
    <w:p>
      <w:pPr>
        <w:spacing w:after="0" w:line="136" w:lineRule="exact"/>
        <w:rPr>
          <w:sz w:val="20"/>
          <w:szCs w:val="20"/>
          <w:color w:val="auto"/>
        </w:rPr>
      </w:pPr>
    </w:p>
    <w:p>
      <w:pPr>
        <w:jc w:val="both"/>
        <w:ind w:firstLine="496"/>
        <w:spacing w:after="0" w:line="291" w:lineRule="auto"/>
        <w:rPr>
          <w:sz w:val="20"/>
          <w:szCs w:val="20"/>
          <w:color w:val="auto"/>
        </w:rPr>
      </w:pPr>
      <w:r>
        <w:rPr>
          <w:rFonts w:ascii="Arial" w:cs="Arial" w:eastAsia="Arial" w:hAnsi="Arial"/>
          <w:sz w:val="14"/>
          <w:szCs w:val="14"/>
          <w:color w:val="auto"/>
        </w:rPr>
        <w:t xml:space="preserve">Section 13.2. </w:t>
      </w:r>
      <w:r>
        <w:rPr>
          <w:rFonts w:ascii="Arial" w:cs="Arial" w:eastAsia="Arial" w:hAnsi="Arial"/>
          <w:sz w:val="14"/>
          <w:szCs w:val="14"/>
          <w:u w:val="single" w:color="auto"/>
          <w:color w:val="auto"/>
        </w:rPr>
        <w:t>ISO Settlements and Disputes</w:t>
      </w:r>
      <w:r>
        <w:rPr>
          <w:rFonts w:ascii="Arial" w:cs="Arial" w:eastAsia="Arial" w:hAnsi="Arial"/>
          <w:sz w:val="14"/>
          <w:szCs w:val="14"/>
          <w:color w:val="auto"/>
        </w:rPr>
        <w:t>. Prior to the MRTU Effective Date, Utility shall review, validate and verify all ISO charges/credits contained on all ISO settlement statements, including any charges/credits resulting from functions related to the Contracts to be performed by Utility as provided in the Existing Operating Arrangement. Utility shall inform DWR of any discrepancies and shall dispute any such discrepancies with the ISO in accordance with the ISO’s tariff and protocols. Except as provided in Section 13.03, if any ISO charge type settlement amount appearing on a Preliminary or Final Settlement Statement (as defined in the ISO tariff) resulting or relating to the Utility’s performance of functions related to the Contracts under the Existing Operating Arrangement is in dispute, it shall be the responsibility of Utility, on behalf of DWR, as its limited agent, to seek resolution of said dispute through the ISO dispute resolution process as provided in the ISO’s tariff.</w:t>
      </w:r>
    </w:p>
    <w:p>
      <w:pPr>
        <w:spacing w:after="0" w:line="110" w:lineRule="exact"/>
        <w:rPr>
          <w:sz w:val="20"/>
          <w:szCs w:val="20"/>
          <w:color w:val="auto"/>
        </w:rPr>
      </w:pPr>
    </w:p>
    <w:p>
      <w:pPr>
        <w:jc w:val="both"/>
        <w:ind w:firstLine="496"/>
        <w:spacing w:after="0" w:line="237" w:lineRule="auto"/>
        <w:rPr>
          <w:sz w:val="20"/>
          <w:szCs w:val="20"/>
          <w:color w:val="auto"/>
        </w:rPr>
      </w:pPr>
      <w:r>
        <w:rPr>
          <w:rFonts w:ascii="Arial" w:cs="Arial" w:eastAsia="Arial" w:hAnsi="Arial"/>
          <w:sz w:val="17"/>
          <w:szCs w:val="17"/>
          <w:color w:val="auto"/>
        </w:rPr>
        <w:t>On and after the MRTU Effective Date, consistent with the parameters of settlements procedures as further provided in Exhibit C attached hereto, DWR agrees and Utility is ordered to perform the following as related to ISO invoices and Settlement Statements (as such term is defined in the ISO tariff then in effect) issued to Utility in its role as load serving entity.</w:t>
      </w:r>
    </w:p>
    <w:p>
      <w:pPr>
        <w:spacing w:after="0" w:line="144" w:lineRule="exact"/>
        <w:rPr>
          <w:sz w:val="20"/>
          <w:szCs w:val="20"/>
          <w:color w:val="auto"/>
        </w:rPr>
      </w:pPr>
    </w:p>
    <w:p>
      <w:pPr>
        <w:jc w:val="both"/>
        <w:ind w:firstLine="496"/>
        <w:spacing w:after="0" w:line="253" w:lineRule="auto"/>
        <w:rPr>
          <w:sz w:val="20"/>
          <w:szCs w:val="20"/>
          <w:color w:val="auto"/>
        </w:rPr>
      </w:pPr>
      <w:r>
        <w:rPr>
          <w:rFonts w:ascii="Arial" w:cs="Arial" w:eastAsia="Arial" w:hAnsi="Arial"/>
          <w:sz w:val="16"/>
          <w:szCs w:val="16"/>
          <w:color w:val="auto"/>
        </w:rPr>
        <w:t>On and after the MRTU Effective Date, Utility shall review, validate and verify such ISO data or charges/credits contained on all ISO Settlement Statements related to Inter-SC Trades with respect to the Allocated Contracts and to provide such data or information as specified under the caption “Schedule / Bilateral Invoice” in Part II of Exhibit F attached to this Order. As to such data or information described under the caption “Schedule / Bilateral Invoice” in Part II of Exhibit F, Utility shall inform DWR of any discrepancies and shall dispute any such discrepancies with the ISO in accordance with the ISO’s tariff and protocols.</w:t>
      </w:r>
    </w:p>
    <w:p>
      <w:pPr>
        <w:spacing w:after="0" w:line="134" w:lineRule="exact"/>
        <w:rPr>
          <w:sz w:val="20"/>
          <w:szCs w:val="20"/>
          <w:color w:val="auto"/>
        </w:rPr>
      </w:pPr>
    </w:p>
    <w:p>
      <w:pPr>
        <w:jc w:val="both"/>
        <w:ind w:firstLine="496"/>
        <w:spacing w:after="0" w:line="234" w:lineRule="auto"/>
        <w:rPr>
          <w:sz w:val="20"/>
          <w:szCs w:val="20"/>
          <w:color w:val="auto"/>
        </w:rPr>
      </w:pPr>
      <w:r>
        <w:rPr>
          <w:rFonts w:ascii="Arial" w:cs="Arial" w:eastAsia="Arial" w:hAnsi="Arial"/>
          <w:sz w:val="17"/>
          <w:szCs w:val="17"/>
          <w:color w:val="auto"/>
        </w:rPr>
        <w:t>At all times, for disputes affecting Utility’s Remittances to DWR, including, prior to the MRTU Effective Date, disputes on ISO charges to non-DWR parties related to Surplus Revenues that would affect Remittances to DWR, Utility shall provide to DWR: a) notification of submission of the dispute through the ISO dispute resolution process, identifying, among other items, the dispute type, quantity, price and allocation; b) a copy of the submitted dispute and all supporting data; and c) a copy of all ensuing documentation resulting from the ongoing dispute resolution process. Utility shall track and validate all disputed ISO charges involving any financial responsibility of DWR.</w:t>
      </w:r>
    </w:p>
    <w:p>
      <w:pPr>
        <w:spacing w:after="0" w:line="50" w:lineRule="exact"/>
        <w:rPr>
          <w:sz w:val="20"/>
          <w:szCs w:val="20"/>
          <w:color w:val="auto"/>
        </w:rPr>
      </w:pPr>
    </w:p>
    <w:p>
      <w:pPr>
        <w:jc w:val="both"/>
        <w:ind w:firstLine="496"/>
        <w:spacing w:after="0" w:line="245" w:lineRule="auto"/>
        <w:rPr>
          <w:sz w:val="20"/>
          <w:szCs w:val="20"/>
          <w:color w:val="auto"/>
        </w:rPr>
      </w:pPr>
      <w:r>
        <w:rPr>
          <w:rFonts w:ascii="Arial" w:cs="Arial" w:eastAsia="Arial" w:hAnsi="Arial"/>
          <w:sz w:val="17"/>
          <w:szCs w:val="17"/>
          <w:color w:val="auto"/>
        </w:rPr>
        <w:t xml:space="preserve">Section 13.3. </w:t>
      </w:r>
      <w:r>
        <w:rPr>
          <w:rFonts w:ascii="Arial" w:cs="Arial" w:eastAsia="Arial" w:hAnsi="Arial"/>
          <w:sz w:val="17"/>
          <w:szCs w:val="17"/>
          <w:u w:val="single" w:color="auto"/>
          <w:color w:val="auto"/>
        </w:rPr>
        <w:t>Supplier Invoice Disputes</w:t>
      </w:r>
      <w:r>
        <w:rPr>
          <w:rFonts w:ascii="Arial" w:cs="Arial" w:eastAsia="Arial" w:hAnsi="Arial"/>
          <w:sz w:val="17"/>
          <w:szCs w:val="17"/>
          <w:color w:val="auto"/>
        </w:rPr>
        <w:t>. DWR shall continue to be responsible for all dispute resolution relating to Supplier invoices. In addition, except as specifically provided in Exhibit E of this Order, all other contract administration functions shall remain DWR’s responsibility.</w:t>
      </w:r>
    </w:p>
    <w:p>
      <w:pPr>
        <w:spacing w:after="0" w:line="128" w:lineRule="exact"/>
        <w:rPr>
          <w:sz w:val="20"/>
          <w:szCs w:val="20"/>
          <w:color w:val="auto"/>
        </w:rPr>
      </w:pPr>
    </w:p>
    <w:p>
      <w:pPr>
        <w:jc w:val="both"/>
        <w:ind w:firstLine="496"/>
        <w:spacing w:after="0" w:line="247" w:lineRule="auto"/>
        <w:rPr>
          <w:sz w:val="20"/>
          <w:szCs w:val="20"/>
          <w:color w:val="auto"/>
        </w:rPr>
      </w:pPr>
      <w:r>
        <w:rPr>
          <w:rFonts w:ascii="Arial" w:cs="Arial" w:eastAsia="Arial" w:hAnsi="Arial"/>
          <w:sz w:val="16"/>
          <w:szCs w:val="16"/>
          <w:color w:val="auto"/>
        </w:rPr>
        <w:t xml:space="preserve">Section 13.4. </w:t>
      </w:r>
      <w:r>
        <w:rPr>
          <w:rFonts w:ascii="Arial" w:cs="Arial" w:eastAsia="Arial" w:hAnsi="Arial"/>
          <w:sz w:val="16"/>
          <w:szCs w:val="16"/>
          <w:u w:val="single" w:color="auto"/>
          <w:color w:val="auto"/>
        </w:rPr>
        <w:t>Good-Faith Negotiations</w:t>
      </w:r>
      <w:r>
        <w:rPr>
          <w:rFonts w:ascii="Arial" w:cs="Arial" w:eastAsia="Arial" w:hAnsi="Arial"/>
          <w:sz w:val="16"/>
          <w:szCs w:val="16"/>
          <w:color w:val="auto"/>
        </w:rPr>
        <w:t>. Should any dispute arise between the Parties relating to this Order, the Parties shall undertake good-faith negotiations to resolve such dispute. If the Parties are unable to resolve such dispute through good-faith negotiations, either Party may submit a detailed written summary of the dispute to the other Party. Upon such written presentation, each Party shall designate an executive with authority to resolve the matter in dispute. If the Parties are unable to resolve such dispute within 30 days from the date that a detailed summary of such dispute is presented in writing to the other Party, and the dispute relates solely to Utility’s conduct, performance, acts and/or omissions (and not to DWR’s conduct performance, acts and/or omissions), then DWR may, at its sole discretion, present the dispute to the Commission for resolution, in accordance with Applicable Law. All other disputes shall be brought in a court of competent jurisdiction or a forum mutually acceptable to the Parties in accordance with Applicable Law. Nothing herein shall preclude either Party from challenging the decision or action which such Party deems may adversely affect its interests in any appropriate forum of the Party’s choosing.</w:t>
      </w:r>
    </w:p>
    <w:p>
      <w:pPr>
        <w:spacing w:after="0" w:line="139" w:lineRule="exact"/>
        <w:rPr>
          <w:sz w:val="20"/>
          <w:szCs w:val="20"/>
          <w:color w:val="auto"/>
        </w:rPr>
      </w:pPr>
    </w:p>
    <w:p>
      <w:pPr>
        <w:jc w:val="both"/>
        <w:ind w:firstLine="496"/>
        <w:spacing w:after="0" w:line="232" w:lineRule="auto"/>
        <w:rPr>
          <w:sz w:val="20"/>
          <w:szCs w:val="20"/>
          <w:color w:val="auto"/>
        </w:rPr>
      </w:pPr>
      <w:r>
        <w:rPr>
          <w:rFonts w:ascii="Arial" w:cs="Arial" w:eastAsia="Arial" w:hAnsi="Arial"/>
          <w:sz w:val="17"/>
          <w:szCs w:val="17"/>
          <w:color w:val="auto"/>
        </w:rPr>
        <w:t xml:space="preserve">Section 13.5. </w:t>
      </w:r>
      <w:r>
        <w:rPr>
          <w:rFonts w:ascii="Arial" w:cs="Arial" w:eastAsia="Arial" w:hAnsi="Arial"/>
          <w:sz w:val="17"/>
          <w:szCs w:val="17"/>
          <w:u w:val="single" w:color="auto"/>
          <w:color w:val="auto"/>
        </w:rPr>
        <w:t>Costs</w:t>
      </w:r>
      <w:r>
        <w:rPr>
          <w:rFonts w:ascii="Arial" w:cs="Arial" w:eastAsia="Arial" w:hAnsi="Arial"/>
          <w:sz w:val="17"/>
          <w:szCs w:val="17"/>
          <w:color w:val="auto"/>
        </w:rPr>
        <w:t>. Each Party shall bear its own respective costs and attorney fees in connection with respect to any dispute resolution process undertaken by it pursuant to this Article. Provided, however, DWR shall reimburse Utility all reasonably incurred costs, including, but not limited to, in-house and retained attorneys, consultants, witnesses, and arbitration costs, arising from or pertaining to all disputes relating to ISO charges/credits contained on all ISO settlement statements resulting from the operational, dispatch and administrative functions related to the Contracts performed by Utility on behalf of DWR, as its limited agent, pursuant to the standards set forth in Section 2.02 herein and consistent with the provisions of the ISO tariff, as may be amended from time to time, including, prior to the MRTU Effective Date, disputes on ISO charges to non-DWR parties related to Surplus Revenues that would affect Remittances to DWR. These costs shall be recorded and invoiced in the manner set forth in Section 8.01 hereof.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ectPr>
          <w:pgSz w:w="11900" w:h="16838" w:orient="portrait"/>
          <w:cols w:equalWidth="0" w:num="1">
            <w:col w:w="11460"/>
          </w:cols>
          <w:pgMar w:left="220" w:top="124" w:right="219" w:bottom="0" w:gutter="0" w:footer="0" w:header="0"/>
        </w:sectPr>
      </w:pPr>
    </w:p>
    <w:bookmarkStart w:id="72" w:name="page73"/>
    <w:bookmarkEnd w:id="72"/>
    <w:p>
      <w:pPr>
        <w:spacing w:after="0" w:line="4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 xml:space="preserve">Section 14.1.  </w:t>
      </w:r>
      <w:r>
        <w:rPr>
          <w:rFonts w:ascii="Arial" w:cs="Arial" w:eastAsia="Arial" w:hAnsi="Arial"/>
          <w:sz w:val="17"/>
          <w:szCs w:val="17"/>
          <w:u w:val="single" w:color="auto"/>
          <w:color w:val="auto"/>
        </w:rPr>
        <w:t>Assignment</w:t>
      </w:r>
    </w:p>
    <w:p>
      <w:pPr>
        <w:spacing w:after="0" w:line="145" w:lineRule="exact"/>
        <w:rPr>
          <w:sz w:val="20"/>
          <w:szCs w:val="20"/>
          <w:color w:val="auto"/>
        </w:rPr>
      </w:pPr>
    </w:p>
    <w:p>
      <w:pPr>
        <w:jc w:val="both"/>
        <w:ind w:left="1000" w:hanging="501"/>
        <w:spacing w:after="0" w:line="234" w:lineRule="auto"/>
        <w:tabs>
          <w:tab w:leader="none" w:pos="10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Except as provided in paragraphs (b) (c) and (d) below, neither Party shall assign or otherwise dispose of this Order, its right, title or interest herein or any part hereof to any entity, without the prior written consent of the Commission. No assignment of this Order shall relieve the assigning Party of any of its obligations under this Order until such obligations have been assumed by the assignee. When duly assigned in accordance with this Section 14.01(a) and when accepted by the assignee, this Order shall be binding upon and shall inure to the benefit of the assignee. Any assignment in violation of this Section 14.01 (a) shall be void.</w:t>
      </w:r>
    </w:p>
    <w:p>
      <w:pPr>
        <w:spacing w:after="0" w:line="142" w:lineRule="exact"/>
        <w:rPr>
          <w:rFonts w:ascii="Arial" w:cs="Arial" w:eastAsia="Arial" w:hAnsi="Arial"/>
          <w:sz w:val="17"/>
          <w:szCs w:val="17"/>
          <w:color w:val="auto"/>
        </w:rPr>
      </w:pPr>
    </w:p>
    <w:p>
      <w:pPr>
        <w:jc w:val="both"/>
        <w:ind w:left="1000" w:hanging="501"/>
        <w:spacing w:after="0" w:line="313" w:lineRule="auto"/>
        <w:tabs>
          <w:tab w:leader="none" w:pos="10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DWR may assign or pledge its rights to receive performance hereunder to a trustee or another party (“Assign(s)”) in order to secure DWR’s obligations under its bonds (as that term is defined in the Act), and any such Assign shall be a third party beneficiary of this Order; provided, however, that this authority to assign or pledge rights to receive performance hereunder shall in no event extend to any person or entity that sells power or other goods or services to DWR.</w:t>
      </w:r>
    </w:p>
    <w:p>
      <w:pPr>
        <w:spacing w:after="0" w:line="83" w:lineRule="exact"/>
        <w:rPr>
          <w:rFonts w:ascii="Arial" w:cs="Arial" w:eastAsia="Arial" w:hAnsi="Arial"/>
          <w:sz w:val="14"/>
          <w:szCs w:val="14"/>
          <w:color w:val="auto"/>
        </w:rPr>
      </w:pPr>
    </w:p>
    <w:p>
      <w:pPr>
        <w:jc w:val="both"/>
        <w:ind w:left="1000" w:hanging="501"/>
        <w:spacing w:after="0" w:line="291" w:lineRule="auto"/>
        <w:tabs>
          <w:tab w:leader="none" w:pos="10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Any person (i) into which Utility may be merged or consolidated, (ii) which may result from any merger or consolidation to which Utility shall be a party or (iii) which may succeed to the properties and assets of Utility substantially as a whole, which person in any of the foregoing cases executes an agreement of assumption to perform every obligation of Utility hereunder, shall be the successor to Utility under this Order without further act on the part of any of the Parties to this Order; provided, however, that Utility shall have delivered to the Commission, DWR and DWR’s Assign(s) an opinion of counsel reasonably acceptable to the Commission and DWR stating that such consolidation, merger or succession and such agreement of assumption complies with this Section 13.01(c) and that all of Utility’s obligations hereunder have been validly assumed and are binding on any such successor or assign.</w:t>
      </w:r>
    </w:p>
    <w:p>
      <w:pPr>
        <w:spacing w:after="0" w:line="100" w:lineRule="exact"/>
        <w:rPr>
          <w:rFonts w:ascii="Arial" w:cs="Arial" w:eastAsia="Arial" w:hAnsi="Arial"/>
          <w:sz w:val="14"/>
          <w:szCs w:val="14"/>
          <w:color w:val="auto"/>
        </w:rPr>
      </w:pPr>
    </w:p>
    <w:p>
      <w:pPr>
        <w:jc w:val="both"/>
        <w:ind w:left="1000" w:hanging="501"/>
        <w:spacing w:after="0" w:line="237" w:lineRule="auto"/>
        <w:tabs>
          <w:tab w:leader="none" w:pos="10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Notwithstanding anything to the contrary herein, DWR’s rights and obligations hereunder shall be transferred, without any action or consent of either Party hereto, to any entity created by the State legislature which is required under Applicable Law to assume the rights and obligations of DWR under Division 27 of the California Water Code.</w:t>
      </w:r>
    </w:p>
    <w:p>
      <w:pPr>
        <w:spacing w:after="0" w:line="144" w:lineRule="exact"/>
        <w:rPr>
          <w:sz w:val="20"/>
          <w:szCs w:val="20"/>
          <w:color w:val="auto"/>
        </w:rPr>
      </w:pPr>
    </w:p>
    <w:p>
      <w:pPr>
        <w:jc w:val="both"/>
        <w:ind w:firstLine="496"/>
        <w:spacing w:after="0" w:line="234" w:lineRule="auto"/>
        <w:rPr>
          <w:sz w:val="20"/>
          <w:szCs w:val="20"/>
          <w:color w:val="auto"/>
        </w:rPr>
      </w:pPr>
      <w:r>
        <w:rPr>
          <w:rFonts w:ascii="Arial" w:cs="Arial" w:eastAsia="Arial" w:hAnsi="Arial"/>
          <w:sz w:val="17"/>
          <w:szCs w:val="17"/>
          <w:color w:val="auto"/>
        </w:rPr>
        <w:t xml:space="preserve">Section 14.2. </w:t>
      </w:r>
      <w:r>
        <w:rPr>
          <w:rFonts w:ascii="Arial" w:cs="Arial" w:eastAsia="Arial" w:hAnsi="Arial"/>
          <w:sz w:val="17"/>
          <w:szCs w:val="17"/>
          <w:u w:val="single" w:color="auto"/>
          <w:color w:val="auto"/>
        </w:rPr>
        <w:t>Force Majeure</w:t>
      </w:r>
      <w:r>
        <w:rPr>
          <w:rFonts w:ascii="Arial" w:cs="Arial" w:eastAsia="Arial" w:hAnsi="Arial"/>
          <w:sz w:val="17"/>
          <w:szCs w:val="17"/>
          <w:color w:val="auto"/>
        </w:rPr>
        <w:t>. Neither Party shall be liable for any delay or failure in performance of any part of this Order (including the obligation to remit money at the times specified herein) from any cause beyond its reasonable control, including but not limited to, unusually severe weather, flood, fire, lightning, epidemic, quarantine restriction, war, sabotage, act of a public enemy, earthquake, insurrection, riot, civil disturbance, strike, restraint by court order or Government Authority, or any combination of these causes, which by the exercise of due diligence and foresight such Party could not reasonably have been expected to avoid and which by the exercise of due diligence is unable to overcome.</w:t>
      </w:r>
    </w:p>
    <w:p>
      <w:pPr>
        <w:spacing w:after="0" w:line="132" w:lineRule="exact"/>
        <w:rPr>
          <w:sz w:val="20"/>
          <w:szCs w:val="20"/>
          <w:color w:val="auto"/>
        </w:rPr>
      </w:pPr>
    </w:p>
    <w:p>
      <w:pPr>
        <w:jc w:val="both"/>
        <w:ind w:firstLine="496"/>
        <w:spacing w:after="0" w:line="237" w:lineRule="auto"/>
        <w:rPr>
          <w:sz w:val="20"/>
          <w:szCs w:val="20"/>
          <w:color w:val="auto"/>
        </w:rPr>
      </w:pPr>
      <w:r>
        <w:rPr>
          <w:rFonts w:ascii="Arial" w:cs="Arial" w:eastAsia="Arial" w:hAnsi="Arial"/>
          <w:sz w:val="17"/>
          <w:szCs w:val="17"/>
          <w:color w:val="auto"/>
        </w:rPr>
        <w:t xml:space="preserve">Section 14.3.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one or more of the provisions of this Order shall for any reason be held to be unenforceable in any respect under applicable law, such unenforceability shall not affect any other provision of this Order, but this Order shall be construed as if such unenforceable provision or provisions had never been contained herein.</w:t>
      </w:r>
    </w:p>
    <w:p>
      <w:pPr>
        <w:spacing w:after="0" w:line="134" w:lineRule="exact"/>
        <w:rPr>
          <w:sz w:val="20"/>
          <w:szCs w:val="20"/>
          <w:color w:val="auto"/>
        </w:rPr>
      </w:pPr>
    </w:p>
    <w:p>
      <w:pPr>
        <w:jc w:val="both"/>
        <w:ind w:firstLine="496"/>
        <w:spacing w:after="0" w:line="253" w:lineRule="auto"/>
        <w:rPr>
          <w:sz w:val="20"/>
          <w:szCs w:val="20"/>
          <w:color w:val="auto"/>
        </w:rPr>
      </w:pPr>
      <w:r>
        <w:rPr>
          <w:rFonts w:ascii="Arial" w:cs="Arial" w:eastAsia="Arial" w:hAnsi="Arial"/>
          <w:sz w:val="16"/>
          <w:szCs w:val="16"/>
          <w:color w:val="auto"/>
        </w:rPr>
        <w:t xml:space="preserve">Section 14.4. </w:t>
      </w:r>
      <w:r>
        <w:rPr>
          <w:rFonts w:ascii="Arial" w:cs="Arial" w:eastAsia="Arial" w:hAnsi="Arial"/>
          <w:sz w:val="16"/>
          <w:szCs w:val="16"/>
          <w:u w:val="single" w:color="auto"/>
          <w:color w:val="auto"/>
        </w:rPr>
        <w:t>Survival of Payment Obligations</w:t>
      </w:r>
      <w:r>
        <w:rPr>
          <w:rFonts w:ascii="Arial" w:cs="Arial" w:eastAsia="Arial" w:hAnsi="Arial"/>
          <w:sz w:val="16"/>
          <w:szCs w:val="16"/>
          <w:color w:val="auto"/>
        </w:rPr>
        <w:t>. Upon termination of this Order, each Party shall remain liable to the other Party for all amounts owing under this Order. Utility shall continue to collect and remit, pursuant to the terms of the Servicing Arrangement and the principles provided in the Settlement Principles for Remittances and Surplus Revenues provided in Exhibit C hereto and any DWR Charges billed to customers or, prior to the MRTU Effective Date, any DWR Surplus Energy Sales Revenues attributable to sales entered into before the effective date of termination of the Servicing Arrangement.</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Section 14.5.  </w:t>
      </w:r>
      <w:r>
        <w:rPr>
          <w:rFonts w:ascii="Arial" w:cs="Arial" w:eastAsia="Arial" w:hAnsi="Arial"/>
          <w:sz w:val="14"/>
          <w:szCs w:val="14"/>
          <w:u w:val="single" w:color="auto"/>
          <w:color w:val="auto"/>
        </w:rPr>
        <w:t>Third-Party Beneficiaries</w:t>
      </w:r>
      <w:r>
        <w:rPr>
          <w:rFonts w:ascii="Arial" w:cs="Arial" w:eastAsia="Arial" w:hAnsi="Arial"/>
          <w:sz w:val="14"/>
          <w:szCs w:val="14"/>
          <w:color w:val="auto"/>
        </w:rPr>
        <w:t>. The provisions of this Order are exclusively for the benefit of the Parties and any permitted assignee of either Party.</w:t>
      </w:r>
    </w:p>
    <w:p>
      <w:pPr>
        <w:spacing w:after="0" w:line="180" w:lineRule="exact"/>
        <w:rPr>
          <w:sz w:val="20"/>
          <w:szCs w:val="20"/>
          <w:color w:val="auto"/>
        </w:rPr>
      </w:pPr>
    </w:p>
    <w:p>
      <w:pPr>
        <w:jc w:val="both"/>
        <w:ind w:firstLine="496"/>
        <w:spacing w:after="0" w:line="245" w:lineRule="auto"/>
        <w:rPr>
          <w:sz w:val="20"/>
          <w:szCs w:val="20"/>
          <w:color w:val="auto"/>
        </w:rPr>
      </w:pPr>
      <w:r>
        <w:rPr>
          <w:rFonts w:ascii="Arial" w:cs="Arial" w:eastAsia="Arial" w:hAnsi="Arial"/>
          <w:sz w:val="17"/>
          <w:szCs w:val="17"/>
          <w:color w:val="auto"/>
        </w:rPr>
        <w:t xml:space="preserve">Section 14.6. </w:t>
      </w:r>
      <w:r>
        <w:rPr>
          <w:rFonts w:ascii="Arial" w:cs="Arial" w:eastAsia="Arial" w:hAnsi="Arial"/>
          <w:sz w:val="17"/>
          <w:szCs w:val="17"/>
          <w:u w:val="single" w:color="auto"/>
          <w:color w:val="auto"/>
        </w:rPr>
        <w:t>Governing Law</w:t>
      </w:r>
      <w:r>
        <w:rPr>
          <w:rFonts w:ascii="Arial" w:cs="Arial" w:eastAsia="Arial" w:hAnsi="Arial"/>
          <w:sz w:val="17"/>
          <w:szCs w:val="17"/>
          <w:color w:val="auto"/>
        </w:rPr>
        <w:t>. This Order shall be interpreted, governed and construed under the laws of the State of California without regard to choice of law provisions.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 xml:space="preserve">Section 14.7.  </w:t>
      </w:r>
      <w:r>
        <w:rPr>
          <w:rFonts w:ascii="Arial" w:cs="Arial" w:eastAsia="Arial" w:hAnsi="Arial"/>
          <w:sz w:val="17"/>
          <w:szCs w:val="17"/>
          <w:u w:val="single" w:color="auto"/>
          <w:color w:val="auto"/>
        </w:rPr>
        <w:t>[Reserved.]</w:t>
      </w:r>
    </w:p>
    <w:p>
      <w:pPr>
        <w:spacing w:after="0" w:line="156" w:lineRule="exact"/>
        <w:rPr>
          <w:sz w:val="20"/>
          <w:szCs w:val="20"/>
          <w:color w:val="auto"/>
        </w:rPr>
      </w:pPr>
    </w:p>
    <w:p>
      <w:pPr>
        <w:jc w:val="both"/>
        <w:ind w:firstLine="496"/>
        <w:spacing w:after="0" w:line="245" w:lineRule="auto"/>
        <w:rPr>
          <w:sz w:val="20"/>
          <w:szCs w:val="20"/>
          <w:color w:val="auto"/>
        </w:rPr>
      </w:pPr>
      <w:r>
        <w:rPr>
          <w:rFonts w:ascii="Arial" w:cs="Arial" w:eastAsia="Arial" w:hAnsi="Arial"/>
          <w:sz w:val="17"/>
          <w:szCs w:val="17"/>
          <w:color w:val="auto"/>
        </w:rPr>
        <w:t xml:space="preserve">Section 14.8. </w:t>
      </w:r>
      <w:r>
        <w:rPr>
          <w:rFonts w:ascii="Arial" w:cs="Arial" w:eastAsia="Arial" w:hAnsi="Arial"/>
          <w:sz w:val="17"/>
          <w:szCs w:val="17"/>
          <w:u w:val="single" w:color="auto"/>
          <w:color w:val="auto"/>
        </w:rPr>
        <w:t>Section Headings</w:t>
      </w:r>
      <w:r>
        <w:rPr>
          <w:rFonts w:ascii="Arial" w:cs="Arial" w:eastAsia="Arial" w:hAnsi="Arial"/>
          <w:sz w:val="17"/>
          <w:szCs w:val="17"/>
          <w:color w:val="auto"/>
        </w:rPr>
        <w:t>. Section and paragraph headings appearing in this Order are inserted for convenience only and shall not be construed as interpretations of text.</w:t>
      </w:r>
    </w:p>
    <w:p>
      <w:pPr>
        <w:spacing w:after="0" w:line="128" w:lineRule="exact"/>
        <w:rPr>
          <w:sz w:val="20"/>
          <w:szCs w:val="20"/>
          <w:color w:val="auto"/>
        </w:rPr>
      </w:pPr>
    </w:p>
    <w:p>
      <w:pPr>
        <w:jc w:val="both"/>
        <w:ind w:firstLine="496"/>
        <w:spacing w:after="0" w:line="313" w:lineRule="auto"/>
        <w:rPr>
          <w:sz w:val="20"/>
          <w:szCs w:val="20"/>
          <w:color w:val="auto"/>
        </w:rPr>
      </w:pPr>
      <w:r>
        <w:rPr>
          <w:rFonts w:ascii="Arial" w:cs="Arial" w:eastAsia="Arial" w:hAnsi="Arial"/>
          <w:sz w:val="14"/>
          <w:szCs w:val="14"/>
          <w:color w:val="auto"/>
        </w:rPr>
        <w:t xml:space="preserve">Section 14.9. </w:t>
      </w:r>
      <w:r>
        <w:rPr>
          <w:rFonts w:ascii="Arial" w:cs="Arial" w:eastAsia="Arial" w:hAnsi="Arial"/>
          <w:sz w:val="14"/>
          <w:szCs w:val="14"/>
          <w:u w:val="single" w:color="auto"/>
          <w:color w:val="auto"/>
        </w:rPr>
        <w:t>Amendments</w:t>
      </w:r>
      <w:r>
        <w:rPr>
          <w:rFonts w:ascii="Arial" w:cs="Arial" w:eastAsia="Arial" w:hAnsi="Arial"/>
          <w:sz w:val="14"/>
          <w:szCs w:val="14"/>
          <w:color w:val="auto"/>
        </w:rPr>
        <w:t>. No amendment, modification, or supplement to this Order shall be effective unless it is in writing and signed by the authorized representatives of both Parties and approved as required, and by reference incorporates this Order and identifies the specific portions that are amended, modified, or supplemented or indicates that the material is new. No oral understanding or agreement not incorporated in this Order is binding on either of the Parties.</w:t>
      </w:r>
    </w:p>
    <w:p>
      <w:pPr>
        <w:spacing w:after="0" w:line="83" w:lineRule="exact"/>
        <w:rPr>
          <w:sz w:val="20"/>
          <w:szCs w:val="20"/>
          <w:color w:val="auto"/>
        </w:rPr>
      </w:pPr>
    </w:p>
    <w:p>
      <w:pPr>
        <w:jc w:val="both"/>
        <w:ind w:firstLine="496"/>
        <w:spacing w:after="0" w:line="285" w:lineRule="auto"/>
        <w:rPr>
          <w:sz w:val="20"/>
          <w:szCs w:val="20"/>
          <w:color w:val="auto"/>
        </w:rPr>
      </w:pPr>
      <w:r>
        <w:rPr>
          <w:rFonts w:ascii="Arial" w:cs="Arial" w:eastAsia="Arial" w:hAnsi="Arial"/>
          <w:sz w:val="14"/>
          <w:szCs w:val="14"/>
          <w:color w:val="auto"/>
        </w:rPr>
        <w:t xml:space="preserve">Section 14.10. </w:t>
      </w:r>
      <w:r>
        <w:rPr>
          <w:rFonts w:ascii="Arial" w:cs="Arial" w:eastAsia="Arial" w:hAnsi="Arial"/>
          <w:sz w:val="14"/>
          <w:szCs w:val="14"/>
          <w:u w:val="single" w:color="auto"/>
          <w:color w:val="auto"/>
        </w:rPr>
        <w:t>Amendment Upon Changed Circumstances</w:t>
      </w:r>
      <w:r>
        <w:rPr>
          <w:rFonts w:ascii="Arial" w:cs="Arial" w:eastAsia="Arial" w:hAnsi="Arial"/>
          <w:sz w:val="14"/>
          <w:szCs w:val="14"/>
          <w:color w:val="auto"/>
        </w:rPr>
        <w:t>. (a) The Parties acknowledge that compliance with any Commission decision, legislative action or other governmental action (whether issued before or after the Effective Date of this Order) affecting the operation of this Order, including but not limited to (i) dissolution of the ISO, (ii) changes in the ISO market structure, including but not limited to MRTU or a reversion related thereto, (iii) a decision regarding direct access currently pending before the Commission, (iv) the establishment of other Governmental Programs, or (v) a modification to the Contract Allocation Order may require that amendment(s) be made to this Order. If either Party reasonably determines that such a decision or action would materially affect the services to be provided hereunder or the reasonable costs thereof, then upon the issuance of such decision or the approval of such action (unless and until it is stayed), the Parties shall negotiate the amendment(s) to this Order that is (or are) appropriate in order to effectuate the required changes in services to be provided or the reimbursement thereof. If the Parties are unable to reach agreement on such amendments within 60 days after the issuance of such decision or approval of such action, either Party may, in the exercise of its sole discretion, submit the disagreement to the Commission for proposed resolution, in accordance with Applicable Law. Nothing herein shall preclude either Party from challenging the decision or action which such Party deems may adversely affect its interests in any appropriate forum of the Party’s choosing.</w:t>
      </w:r>
    </w:p>
    <w:p>
      <w:pPr>
        <w:spacing w:after="0" w:line="295" w:lineRule="exact"/>
        <w:rPr>
          <w:sz w:val="20"/>
          <w:szCs w:val="20"/>
          <w:color w:val="auto"/>
        </w:rPr>
      </w:pPr>
    </w:p>
    <w:p>
      <w:pPr>
        <w:jc w:val="both"/>
        <w:ind w:firstLine="3"/>
        <w:spacing w:after="0" w:line="237" w:lineRule="auto"/>
        <w:tabs>
          <w:tab w:leader="none" w:pos="298"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Parties shall, if the rating agencies request changes to this Order which the Parties reasonably determine are necessary and appropriate, negotiate in good faith, but will be under no obligation to reach agreement or to ask the Commission to amend this Order to accommodate the rating agency requests. The Parties will cooperate in obtaining any required approvals of the Commission or other entities for such amendments.</w:t>
      </w:r>
    </w:p>
    <w:p>
      <w:pPr>
        <w:spacing w:after="0" w:line="144" w:lineRule="exact"/>
        <w:rPr>
          <w:rFonts w:ascii="Arial" w:cs="Arial" w:eastAsia="Arial" w:hAnsi="Arial"/>
          <w:sz w:val="17"/>
          <w:szCs w:val="17"/>
          <w:color w:val="auto"/>
        </w:rPr>
      </w:pPr>
    </w:p>
    <w:p>
      <w:pPr>
        <w:jc w:val="both"/>
        <w:ind w:firstLine="499"/>
        <w:spacing w:after="0" w:line="247" w:lineRule="auto"/>
        <w:tabs>
          <w:tab w:leader="none" w:pos="893" w:val="left"/>
        </w:tabs>
        <w:numPr>
          <w:ilvl w:val="1"/>
          <w:numId w:val="75"/>
        </w:numPr>
        <w:rPr>
          <w:rFonts w:ascii="Arial" w:cs="Arial" w:eastAsia="Arial" w:hAnsi="Arial"/>
          <w:sz w:val="16"/>
          <w:szCs w:val="16"/>
          <w:color w:val="auto"/>
        </w:rPr>
      </w:pPr>
      <w:r>
        <w:rPr>
          <w:rFonts w:ascii="Arial" w:cs="Arial" w:eastAsia="Arial" w:hAnsi="Arial"/>
          <w:sz w:val="16"/>
          <w:szCs w:val="16"/>
          <w:color w:val="auto"/>
        </w:rPr>
        <w:t>Upon request of DWR, the Utility agrees to a meet and confer for any reasonable issues identified by DWR as necessary and appropriate for DWR as related to its financial reporting and fiduciary responsibilities and any rights and obligations related to this Operating Order. In addition, upon the reasonable request of DWR, the Utility will provide to DWR any information in respect of Utility that is applicable to the rights and obligations of the Parties under this Operating Order or any material information that is reasonably necessary for DWR to monitor and manage their risks and perform their fiduciary responsibilities. Likewise, upon the reasonable request of Utility, DWR will provide to Utility any information in respect of DWR that is applicable to the rights and obligations of the Parties under this Operating Order or any material information that is reasonably necessary for Utility to operationally administer the Allocated Contracts. If the joint analysis of this information and the “meet and confer” process indicate DWR should, in its judgment, revise its revenue requirement determination for submittal to the Commission, the Utility agrees to support an appropriate revised determination by DWR.</w:t>
      </w:r>
    </w:p>
    <w:p>
      <w:pPr>
        <w:spacing w:after="0" w:line="139" w:lineRule="exact"/>
        <w:rPr>
          <w:sz w:val="20"/>
          <w:szCs w:val="20"/>
          <w:color w:val="auto"/>
        </w:rPr>
      </w:pPr>
    </w:p>
    <w:p>
      <w:pPr>
        <w:jc w:val="both"/>
        <w:ind w:firstLine="496"/>
        <w:spacing w:after="0" w:line="237" w:lineRule="auto"/>
        <w:rPr>
          <w:sz w:val="20"/>
          <w:szCs w:val="20"/>
          <w:color w:val="auto"/>
        </w:rPr>
      </w:pPr>
      <w:r>
        <w:rPr>
          <w:rFonts w:ascii="Arial" w:cs="Arial" w:eastAsia="Arial" w:hAnsi="Arial"/>
          <w:sz w:val="17"/>
          <w:szCs w:val="17"/>
          <w:color w:val="auto"/>
        </w:rPr>
        <w:t>DWR and the Utility agree that as MRTU moves forward either DWR or Utility may identify further changes required to properly administer the Allocated Contracts under MRTU. DWR and the Utility shall meet and confer on mutual solutions to such changes, implement such solutions, and include them in modifications to the Servicing Arrangement and/or this Operating Order.</w:t>
      </w:r>
    </w:p>
    <w:p>
      <w:pPr>
        <w:spacing w:after="0" w:line="5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 xml:space="preserve">Section 14.11. </w:t>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146" w:lineRule="exact"/>
        <w:rPr>
          <w:sz w:val="20"/>
          <w:szCs w:val="20"/>
          <w:color w:val="auto"/>
        </w:rPr>
      </w:pPr>
    </w:p>
    <w:p>
      <w:pPr>
        <w:jc w:val="both"/>
        <w:ind w:left="1000" w:hanging="501"/>
        <w:spacing w:after="0" w:line="280" w:lineRule="auto"/>
        <w:tabs>
          <w:tab w:leader="none" w:pos="1000" w:val="left"/>
        </w:tabs>
        <w:numPr>
          <w:ilvl w:val="0"/>
          <w:numId w:val="76"/>
        </w:numPr>
        <w:rPr>
          <w:rFonts w:ascii="Arial" w:cs="Arial" w:eastAsia="Arial" w:hAnsi="Arial"/>
          <w:sz w:val="14"/>
          <w:szCs w:val="14"/>
          <w:color w:val="auto"/>
        </w:rPr>
      </w:pPr>
      <w:r>
        <w:rPr>
          <w:rFonts w:ascii="Arial" w:cs="Arial" w:eastAsia="Arial" w:hAnsi="Arial"/>
          <w:sz w:val="14"/>
          <w:szCs w:val="14"/>
          <w:u w:val="single" w:color="auto"/>
          <w:color w:val="auto"/>
        </w:rPr>
        <w:t>Indemnification of DWR</w:t>
      </w:r>
      <w:r>
        <w:rPr>
          <w:rFonts w:ascii="Arial" w:cs="Arial" w:eastAsia="Arial" w:hAnsi="Arial"/>
          <w:sz w:val="14"/>
          <w:szCs w:val="14"/>
          <w:color w:val="auto"/>
        </w:rPr>
        <w:t>. Utility (the “Indemnitor”) shall at all times protect, indemnify, defend and hold harmless DWR, and its elected officials, appointed officers, employees, representatives, agents and contractors (each, an “Indemnified Party” or an “Indemnitee”) from and against (and pay the full amount of) any and all claims (whether in tort, contract or otherwise), demands, expenses (including, without limitation, in-house and retained attorneys’ fees) and liabilities for losses, damage, injury and liability of every kind and nature and however caused, and taxes (of any kind and by whomsoever imposed), to third parties arising from or in connection with (or alleged to arise from in connection with): (1) any failure by Utility to perform its material obligations under this Order; (2) any material representation or warranty made by Utility shall prove to be false, misleading or incorrect in any material respect as of the date made;</w:t>
      </w:r>
    </w:p>
    <w:p>
      <w:pPr>
        <w:spacing w:after="0" w:line="3" w:lineRule="exact"/>
        <w:rPr>
          <w:rFonts w:ascii="Arial" w:cs="Arial" w:eastAsia="Arial" w:hAnsi="Arial"/>
          <w:sz w:val="14"/>
          <w:szCs w:val="14"/>
          <w:color w:val="auto"/>
        </w:rPr>
      </w:pPr>
    </w:p>
    <w:p>
      <w:pPr>
        <w:jc w:val="both"/>
        <w:ind w:left="1000" w:hanging="5"/>
        <w:spacing w:after="0" w:line="231" w:lineRule="auto"/>
        <w:tabs>
          <w:tab w:leader="none" w:pos="1248" w:val="left"/>
        </w:tabs>
        <w:numPr>
          <w:ilvl w:val="1"/>
          <w:numId w:val="76"/>
        </w:numPr>
        <w:rPr>
          <w:rFonts w:ascii="Arial" w:cs="Arial" w:eastAsia="Arial" w:hAnsi="Arial"/>
          <w:sz w:val="17"/>
          <w:szCs w:val="17"/>
          <w:color w:val="auto"/>
        </w:rPr>
      </w:pPr>
      <w:r>
        <w:rPr>
          <w:rFonts w:ascii="Arial" w:cs="Arial" w:eastAsia="Arial" w:hAnsi="Arial"/>
          <w:sz w:val="17"/>
          <w:szCs w:val="17"/>
          <w:color w:val="auto"/>
        </w:rPr>
        <w:t>the gross negligence or willful misconduct of Utility or any of its officers, directors, employees, agents, representatives, subcontractors or assignees in connection with this Order; and (4) any violation of or failure by Utility or Indemnitor to comply with any Applicable Commission Orders or Applicable Law; provided, however, that the foregoing indemnifications and protections shall not extend to any losses arising from gross negligence or willful misconduct of any Indemnified Party.</w:t>
      </w:r>
    </w:p>
    <w:p>
      <w:pPr>
        <w:sectPr>
          <w:pgSz w:w="11900" w:h="16883" w:orient="portrait"/>
          <w:cols w:equalWidth="0" w:num="1">
            <w:col w:w="11460"/>
          </w:cols>
          <w:pgMar w:left="220" w:top="124" w:right="219" w:bottom="0" w:gutter="0" w:footer="0" w:header="0"/>
        </w:sectPr>
      </w:pPr>
    </w:p>
    <w:bookmarkStart w:id="73" w:name="page74"/>
    <w:bookmarkEnd w:id="73"/>
    <w:p>
      <w:pPr>
        <w:jc w:val="both"/>
        <w:ind w:left="1000" w:hanging="501"/>
        <w:spacing w:after="0" w:line="235" w:lineRule="auto"/>
        <w:tabs>
          <w:tab w:leader="none" w:pos="100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Obligation of Utility</w:t>
      </w:r>
      <w:r>
        <w:rPr>
          <w:rFonts w:ascii="Arial" w:cs="Arial" w:eastAsia="Arial" w:hAnsi="Arial"/>
          <w:sz w:val="17"/>
          <w:szCs w:val="17"/>
          <w:color w:val="auto"/>
        </w:rPr>
        <w:t>. Consistent with the Contract Allocation Order, Utility shall not, in acting as limited agent of DWR hereunder be required to perform any obligations of any Supplier or on behalf of any Supplier under any Allocated Contract or to make any payments on behalf of such Supplier or as the result of the failure of such Supplier to perform under any Allocated Contract, except as otherwise explicitly noted in the Operating Protocols attached as Exhibit A and as further provided in Section B of Part III of Exhibit C attached hereto.</w:t>
      </w:r>
    </w:p>
    <w:p>
      <w:pPr>
        <w:spacing w:after="0" w:line="133" w:lineRule="exact"/>
        <w:rPr>
          <w:rFonts w:ascii="Arial" w:cs="Arial" w:eastAsia="Arial" w:hAnsi="Arial"/>
          <w:sz w:val="17"/>
          <w:szCs w:val="17"/>
          <w:color w:val="auto"/>
        </w:rPr>
      </w:pPr>
    </w:p>
    <w:p>
      <w:pPr>
        <w:jc w:val="both"/>
        <w:ind w:left="1000" w:hanging="501"/>
        <w:spacing w:after="0" w:line="285" w:lineRule="auto"/>
        <w:tabs>
          <w:tab w:leader="none" w:pos="1000" w:val="left"/>
        </w:tabs>
        <w:numPr>
          <w:ilvl w:val="0"/>
          <w:numId w:val="77"/>
        </w:numPr>
        <w:rPr>
          <w:rFonts w:ascii="Arial" w:cs="Arial" w:eastAsia="Arial" w:hAnsi="Arial"/>
          <w:sz w:val="14"/>
          <w:szCs w:val="14"/>
          <w:color w:val="auto"/>
        </w:rPr>
      </w:pPr>
      <w:r>
        <w:rPr>
          <w:rFonts w:ascii="Arial" w:cs="Arial" w:eastAsia="Arial" w:hAnsi="Arial"/>
          <w:sz w:val="14"/>
          <w:szCs w:val="14"/>
          <w:u w:val="single" w:color="auto"/>
          <w:color w:val="auto"/>
        </w:rPr>
        <w:t>Indemnification of Utility</w:t>
      </w:r>
      <w:r>
        <w:rPr>
          <w:rFonts w:ascii="Arial" w:cs="Arial" w:eastAsia="Arial" w:hAnsi="Arial"/>
          <w:sz w:val="14"/>
          <w:szCs w:val="14"/>
          <w:color w:val="auto"/>
        </w:rPr>
        <w:t>. To the extent permitted by law, DWR (“Indemnitor”) shall at all times protect, indemnify, defend and hold harmless Utility, and its officers, employees, representatives, agents and contractors (each, an “Indemnified Party” or “Indemnitee”), from and against (and pay the full amount of) any and all claims (whether in tort, contract or otherwise), demands, expenses (including, without limitation, in-house and retained attorneys’ fees) and liabilities for losses, damage, injury and liability of every kind and nature and however caused, and taxes (of any kind and by whomsoever imposed), to third parties arising from or in connection with (or alleged to arise from on in connection with): (1) any failure by DWR to perform its material obligations under this Order or any Allocated Contract; (2) any material representation or warranty made by DWR shall prove to be false, misleading or incorrect in any material respect as of the date made; (3) the gross negligence or willful misconduct of the DWR or any of its officers, directors or employees, agents, representatives, subcontractors or assignees in connection with this Order; (4) any action claiming Utility failed to perform any Supplier’s obligations under a Contract; and (5) any violation of or failure by DWR or Indemnitor to comply with any Applicable Law; and provided, however, that the foregoing indemnifications and protections shall not extend to any losses arising from the gross negligence or willful misconduct of any Indemnified Party.</w:t>
      </w:r>
    </w:p>
    <w:p>
      <w:pPr>
        <w:spacing w:after="0" w:line="114" w:lineRule="exact"/>
        <w:rPr>
          <w:rFonts w:ascii="Arial" w:cs="Arial" w:eastAsia="Arial" w:hAnsi="Arial"/>
          <w:sz w:val="14"/>
          <w:szCs w:val="14"/>
          <w:color w:val="auto"/>
        </w:rPr>
      </w:pPr>
    </w:p>
    <w:p>
      <w:pPr>
        <w:jc w:val="both"/>
        <w:ind w:left="1060" w:hanging="561"/>
        <w:spacing w:after="0" w:line="287" w:lineRule="auto"/>
        <w:tabs>
          <w:tab w:leader="none" w:pos="1005" w:val="left"/>
        </w:tabs>
        <w:numPr>
          <w:ilvl w:val="0"/>
          <w:numId w:val="77"/>
        </w:numPr>
        <w:rPr>
          <w:rFonts w:ascii="Arial" w:cs="Arial" w:eastAsia="Arial" w:hAnsi="Arial"/>
          <w:sz w:val="14"/>
          <w:szCs w:val="14"/>
          <w:color w:val="auto"/>
        </w:rPr>
      </w:pPr>
      <w:r>
        <w:rPr>
          <w:rFonts w:ascii="Arial" w:cs="Arial" w:eastAsia="Arial" w:hAnsi="Arial"/>
          <w:sz w:val="14"/>
          <w:szCs w:val="14"/>
          <w:u w:val="single" w:color="auto"/>
          <w:color w:val="auto"/>
        </w:rPr>
        <w:t>Indemnification Procedures</w:t>
      </w:r>
      <w:r>
        <w:rPr>
          <w:rFonts w:ascii="Arial" w:cs="Arial" w:eastAsia="Arial" w:hAnsi="Arial"/>
          <w:sz w:val="14"/>
          <w:szCs w:val="14"/>
          <w:color w:val="auto"/>
        </w:rPr>
        <w:t>. Indemnitee shall promptly give notice to Indemnitor of any claim or action to which it seeks indemnification from Indemnitor. Indemnitor shall defend any such claim or action brought against it, and may also defend such claim or action on behalf of the Indemnitee (with counsel</w:t>
      </w:r>
    </w:p>
    <w:p>
      <w:pPr>
        <w:spacing w:after="0" w:line="1" w:lineRule="exact"/>
        <w:rPr>
          <w:sz w:val="20"/>
          <w:szCs w:val="20"/>
          <w:color w:val="auto"/>
        </w:rPr>
      </w:pPr>
    </w:p>
    <w:p>
      <w:pPr>
        <w:jc w:val="both"/>
        <w:ind w:left="1000"/>
        <w:spacing w:after="0" w:line="246" w:lineRule="auto"/>
        <w:rPr>
          <w:sz w:val="20"/>
          <w:szCs w:val="20"/>
          <w:color w:val="auto"/>
        </w:rPr>
      </w:pPr>
      <w:r>
        <w:rPr>
          <w:rFonts w:ascii="Arial" w:cs="Arial" w:eastAsia="Arial" w:hAnsi="Arial"/>
          <w:sz w:val="16"/>
          <w:szCs w:val="16"/>
          <w:color w:val="auto"/>
        </w:rPr>
        <w:t>reasonably satisfactory to Indemnitor) unless there is any actual or potential conflict between Indemnitor and Indemnitee with respect to such claim or action. If there is any actual or potential conflict between Indemnitor and Indemnitee with respect to such claim or action, Indemnitee shall have the opportunity to assume (at Indemnitor’s expense) defense of any claim or action brought against Indemnitee by a third party; however, failure by Indemnitee to request defense of such claim or action by the Indemnitor shall not affect Indemnitee’s right to indemnity under this Section 14.11. In any action or claim involving Indemnitee, Indemnitor shall not settle or compromise any claim without the prior written consent of Indemnitee.</w:t>
      </w:r>
    </w:p>
    <w:p>
      <w:pPr>
        <w:spacing w:after="0" w:line="128" w:lineRule="exact"/>
        <w:rPr>
          <w:sz w:val="20"/>
          <w:szCs w:val="20"/>
          <w:color w:val="auto"/>
        </w:rPr>
      </w:pPr>
    </w:p>
    <w:p>
      <w:pPr>
        <w:jc w:val="both"/>
        <w:ind w:firstLine="496"/>
        <w:spacing w:after="0" w:line="234" w:lineRule="auto"/>
        <w:rPr>
          <w:sz w:val="20"/>
          <w:szCs w:val="20"/>
          <w:color w:val="auto"/>
        </w:rPr>
      </w:pPr>
      <w:r>
        <w:rPr>
          <w:rFonts w:ascii="Arial" w:cs="Arial" w:eastAsia="Arial" w:hAnsi="Arial"/>
          <w:sz w:val="17"/>
          <w:szCs w:val="17"/>
          <w:color w:val="auto"/>
        </w:rPr>
        <w:t xml:space="preserve">Section 14.12. </w:t>
      </w:r>
      <w:r>
        <w:rPr>
          <w:rFonts w:ascii="Arial" w:cs="Arial" w:eastAsia="Arial" w:hAnsi="Arial"/>
          <w:sz w:val="17"/>
          <w:szCs w:val="17"/>
          <w:u w:val="single" w:color="auto"/>
          <w:color w:val="auto"/>
        </w:rPr>
        <w:t>Notices and Demands</w:t>
      </w:r>
      <w:r>
        <w:rPr>
          <w:rFonts w:ascii="Arial" w:cs="Arial" w:eastAsia="Arial" w:hAnsi="Arial"/>
          <w:sz w:val="17"/>
          <w:szCs w:val="17"/>
          <w:color w:val="auto"/>
        </w:rPr>
        <w:t>. (a) Except as otherwise provided under this Order, all notices, demands, or requests pertaining to this Order shall be in writing and shall be deemed to have been given (i) on the date delivered in person, (ii) on the date when sent by facsimile (with receipt confirmed by telephone by the intended recipient or his or her authorized representative) or electronic transmission (with receipt confirmed telephonically or electronically by the intended recipient or his or her authorized representative) or by special messenger, or (iii) 72 hours following delivery to a United States post office when sent by certified or registered United States mail postage prepaid, and addressed as set forth below:</w:t>
      </w:r>
    </w:p>
    <w:p>
      <w:pPr>
        <w:spacing w:after="0" w:line="127" w:lineRule="exact"/>
        <w:rPr>
          <w:sz w:val="20"/>
          <w:szCs w:val="20"/>
          <w:color w:val="auto"/>
        </w:rPr>
      </w:pPr>
    </w:p>
    <w:p>
      <w:pPr>
        <w:ind w:left="1500"/>
        <w:spacing w:after="0"/>
        <w:tabs>
          <w:tab w:leader="none" w:pos="2100" w:val="left"/>
        </w:tabs>
        <w:rPr>
          <w:sz w:val="20"/>
          <w:szCs w:val="20"/>
          <w:color w:val="auto"/>
        </w:rPr>
      </w:pPr>
      <w:r>
        <w:rPr>
          <w:rFonts w:ascii="Arial" w:cs="Arial" w:eastAsia="Arial" w:hAnsi="Arial"/>
          <w:sz w:val="17"/>
          <w:szCs w:val="17"/>
          <w:color w:val="auto"/>
        </w:rPr>
        <w:t>Utility:</w:t>
      </w:r>
      <w:r>
        <w:rPr>
          <w:sz w:val="20"/>
          <w:szCs w:val="20"/>
          <w:color w:val="auto"/>
        </w:rPr>
        <w:tab/>
      </w:r>
      <w:r>
        <w:rPr>
          <w:rFonts w:ascii="Arial" w:cs="Arial" w:eastAsia="Arial" w:hAnsi="Arial"/>
          <w:sz w:val="14"/>
          <w:szCs w:val="14"/>
          <w:color w:val="auto"/>
        </w:rPr>
        <w:t>San Diego Gas &amp; Electric Company</w:t>
      </w:r>
    </w:p>
    <w:tbl>
      <w:tblPr>
        <w:tblLayout w:type="fixed"/>
        <w:tblInd w:w="1500" w:type="dxa"/>
        <w:tblCellMar>
          <w:top w:w="0" w:type="dxa"/>
          <w:left w:w="0" w:type="dxa"/>
          <w:bottom w:w="0" w:type="dxa"/>
          <w:right w:w="0" w:type="dxa"/>
        </w:tblCellMar>
      </w:tblPr>
      <w:tr>
        <w:trPr>
          <w:trHeight w:val="182"/>
        </w:trPr>
        <w:tc>
          <w:tcPr>
            <w:tcW w:w="520" w:type="dxa"/>
            <w:vAlign w:val="bottom"/>
          </w:tcPr>
          <w:p>
            <w:pPr>
              <w:spacing w:after="0"/>
              <w:rPr>
                <w:sz w:val="15"/>
                <w:szCs w:val="15"/>
                <w:color w:val="auto"/>
              </w:rPr>
            </w:pPr>
          </w:p>
        </w:tc>
        <w:tc>
          <w:tcPr>
            <w:tcW w:w="3400" w:type="dxa"/>
            <w:vAlign w:val="bottom"/>
            <w:gridSpan w:val="2"/>
          </w:tcPr>
          <w:p>
            <w:pPr>
              <w:ind w:left="100"/>
              <w:spacing w:after="0" w:line="182" w:lineRule="exact"/>
              <w:rPr>
                <w:sz w:val="20"/>
                <w:szCs w:val="20"/>
                <w:color w:val="auto"/>
              </w:rPr>
            </w:pPr>
            <w:r>
              <w:rPr>
                <w:rFonts w:ascii="Arial" w:cs="Arial" w:eastAsia="Arial" w:hAnsi="Arial"/>
                <w:sz w:val="17"/>
                <w:szCs w:val="17"/>
                <w:color w:val="auto"/>
              </w:rPr>
              <w:t>Electric and Fuel Procurement</w:t>
            </w:r>
          </w:p>
        </w:tc>
      </w:tr>
      <w:tr>
        <w:trPr>
          <w:trHeight w:val="186"/>
        </w:trPr>
        <w:tc>
          <w:tcPr>
            <w:tcW w:w="520" w:type="dxa"/>
            <w:vAlign w:val="bottom"/>
          </w:tcPr>
          <w:p>
            <w:pPr>
              <w:spacing w:after="0"/>
              <w:rPr>
                <w:sz w:val="16"/>
                <w:szCs w:val="16"/>
                <w:color w:val="auto"/>
              </w:rPr>
            </w:pPr>
          </w:p>
        </w:tc>
        <w:tc>
          <w:tcPr>
            <w:tcW w:w="3400" w:type="dxa"/>
            <w:vAlign w:val="bottom"/>
            <w:gridSpan w:val="2"/>
          </w:tcPr>
          <w:p>
            <w:pPr>
              <w:ind w:left="100"/>
              <w:spacing w:after="0" w:line="186" w:lineRule="exact"/>
              <w:rPr>
                <w:sz w:val="20"/>
                <w:szCs w:val="20"/>
                <w:color w:val="auto"/>
              </w:rPr>
            </w:pPr>
            <w:r>
              <w:rPr>
                <w:rFonts w:ascii="Arial" w:cs="Arial" w:eastAsia="Arial" w:hAnsi="Arial"/>
                <w:sz w:val="17"/>
                <w:szCs w:val="17"/>
                <w:color w:val="auto"/>
              </w:rPr>
              <w:t>8315 Century Park Court</w:t>
            </w:r>
          </w:p>
        </w:tc>
      </w:tr>
      <w:tr>
        <w:trPr>
          <w:trHeight w:val="209"/>
        </w:trPr>
        <w:tc>
          <w:tcPr>
            <w:tcW w:w="520" w:type="dxa"/>
            <w:vAlign w:val="bottom"/>
          </w:tcPr>
          <w:p>
            <w:pPr>
              <w:spacing w:after="0"/>
              <w:rPr>
                <w:sz w:val="18"/>
                <w:szCs w:val="18"/>
                <w:color w:val="auto"/>
              </w:rPr>
            </w:pPr>
          </w:p>
        </w:tc>
        <w:tc>
          <w:tcPr>
            <w:tcW w:w="3400" w:type="dxa"/>
            <w:vAlign w:val="bottom"/>
            <w:gridSpan w:val="2"/>
          </w:tcPr>
          <w:p>
            <w:pPr>
              <w:ind w:left="100"/>
              <w:spacing w:after="0"/>
              <w:rPr>
                <w:sz w:val="20"/>
                <w:szCs w:val="20"/>
                <w:color w:val="auto"/>
              </w:rPr>
            </w:pPr>
            <w:r>
              <w:rPr>
                <w:rFonts w:ascii="Arial" w:cs="Arial" w:eastAsia="Arial" w:hAnsi="Arial"/>
                <w:sz w:val="17"/>
                <w:szCs w:val="17"/>
                <w:color w:val="auto"/>
              </w:rPr>
              <w:t>San Diego, California 92123</w:t>
            </w:r>
          </w:p>
        </w:tc>
      </w:tr>
      <w:tr>
        <w:trPr>
          <w:trHeight w:val="328"/>
        </w:trPr>
        <w:tc>
          <w:tcPr>
            <w:tcW w:w="520" w:type="dxa"/>
            <w:vAlign w:val="bottom"/>
          </w:tcPr>
          <w:p>
            <w:pPr>
              <w:spacing w:after="0"/>
              <w:rPr>
                <w:sz w:val="20"/>
                <w:szCs w:val="20"/>
                <w:color w:val="auto"/>
              </w:rPr>
            </w:pPr>
            <w:r>
              <w:rPr>
                <w:rFonts w:ascii="Arial" w:cs="Arial" w:eastAsia="Arial" w:hAnsi="Arial"/>
                <w:sz w:val="17"/>
                <w:szCs w:val="17"/>
                <w:color w:val="auto"/>
              </w:rPr>
              <w:t>Attn:</w:t>
            </w:r>
          </w:p>
        </w:tc>
        <w:tc>
          <w:tcPr>
            <w:tcW w:w="3400" w:type="dxa"/>
            <w:vAlign w:val="bottom"/>
            <w:gridSpan w:val="2"/>
          </w:tcPr>
          <w:p>
            <w:pPr>
              <w:ind w:left="100"/>
              <w:spacing w:after="0"/>
              <w:rPr>
                <w:sz w:val="20"/>
                <w:szCs w:val="20"/>
                <w:color w:val="auto"/>
              </w:rPr>
            </w:pPr>
            <w:r>
              <w:rPr>
                <w:rFonts w:ascii="Arial" w:cs="Arial" w:eastAsia="Arial" w:hAnsi="Arial"/>
                <w:sz w:val="17"/>
                <w:szCs w:val="17"/>
                <w:color w:val="auto"/>
              </w:rPr>
              <w:t>Michael Strong</w:t>
            </w:r>
          </w:p>
        </w:tc>
      </w:tr>
      <w:tr>
        <w:trPr>
          <w:trHeight w:val="186"/>
        </w:trPr>
        <w:tc>
          <w:tcPr>
            <w:tcW w:w="520" w:type="dxa"/>
            <w:vAlign w:val="bottom"/>
          </w:tcPr>
          <w:p>
            <w:pPr>
              <w:spacing w:after="0"/>
              <w:rPr>
                <w:sz w:val="16"/>
                <w:szCs w:val="16"/>
                <w:color w:val="auto"/>
              </w:rPr>
            </w:pPr>
          </w:p>
        </w:tc>
        <w:tc>
          <w:tcPr>
            <w:tcW w:w="3400" w:type="dxa"/>
            <w:vAlign w:val="bottom"/>
            <w:gridSpan w:val="2"/>
          </w:tcPr>
          <w:p>
            <w:pPr>
              <w:ind w:left="100"/>
              <w:spacing w:after="0" w:line="186" w:lineRule="exact"/>
              <w:rPr>
                <w:sz w:val="20"/>
                <w:szCs w:val="20"/>
                <w:color w:val="auto"/>
              </w:rPr>
            </w:pPr>
            <w:r>
              <w:rPr>
                <w:rFonts w:ascii="Arial" w:cs="Arial" w:eastAsia="Arial" w:hAnsi="Arial"/>
                <w:sz w:val="17"/>
                <w:szCs w:val="17"/>
                <w:color w:val="auto"/>
              </w:rPr>
              <w:t>Manager - Settlements &amp; Systems</w:t>
            </w:r>
          </w:p>
        </w:tc>
      </w:tr>
      <w:tr>
        <w:trPr>
          <w:trHeight w:val="186"/>
        </w:trPr>
        <w:tc>
          <w:tcPr>
            <w:tcW w:w="520" w:type="dxa"/>
            <w:vAlign w:val="bottom"/>
          </w:tcPr>
          <w:p>
            <w:pPr>
              <w:spacing w:after="0"/>
              <w:rPr>
                <w:sz w:val="16"/>
                <w:szCs w:val="16"/>
                <w:color w:val="auto"/>
              </w:rPr>
            </w:pPr>
          </w:p>
        </w:tc>
        <w:tc>
          <w:tcPr>
            <w:tcW w:w="3400" w:type="dxa"/>
            <w:vAlign w:val="bottom"/>
            <w:gridSpan w:val="2"/>
          </w:tcPr>
          <w:p>
            <w:pPr>
              <w:ind w:left="100"/>
              <w:spacing w:after="0" w:line="186" w:lineRule="exact"/>
              <w:rPr>
                <w:sz w:val="20"/>
                <w:szCs w:val="20"/>
                <w:color w:val="auto"/>
              </w:rPr>
            </w:pPr>
            <w:r>
              <w:rPr>
                <w:rFonts w:ascii="Arial" w:cs="Arial" w:eastAsia="Arial" w:hAnsi="Arial"/>
                <w:sz w:val="17"/>
                <w:szCs w:val="17"/>
                <w:color w:val="auto"/>
              </w:rPr>
              <w:t>Telephone: (858) 650-6154</w:t>
            </w:r>
          </w:p>
        </w:tc>
      </w:tr>
      <w:tr>
        <w:trPr>
          <w:trHeight w:val="186"/>
        </w:trPr>
        <w:tc>
          <w:tcPr>
            <w:tcW w:w="520" w:type="dxa"/>
            <w:vAlign w:val="bottom"/>
          </w:tcPr>
          <w:p>
            <w:pPr>
              <w:spacing w:after="0"/>
              <w:rPr>
                <w:sz w:val="16"/>
                <w:szCs w:val="16"/>
                <w:color w:val="auto"/>
              </w:rPr>
            </w:pPr>
          </w:p>
        </w:tc>
        <w:tc>
          <w:tcPr>
            <w:tcW w:w="3400" w:type="dxa"/>
            <w:vAlign w:val="bottom"/>
            <w:gridSpan w:val="2"/>
          </w:tcPr>
          <w:p>
            <w:pPr>
              <w:ind w:left="100"/>
              <w:spacing w:after="0" w:line="186" w:lineRule="exact"/>
              <w:rPr>
                <w:sz w:val="20"/>
                <w:szCs w:val="20"/>
                <w:color w:val="auto"/>
              </w:rPr>
            </w:pPr>
            <w:r>
              <w:rPr>
                <w:rFonts w:ascii="Arial" w:cs="Arial" w:eastAsia="Arial" w:hAnsi="Arial"/>
                <w:sz w:val="17"/>
                <w:szCs w:val="17"/>
                <w:color w:val="auto"/>
              </w:rPr>
              <w:t>Facsimile: (858) 650-6190</w:t>
            </w:r>
          </w:p>
        </w:tc>
      </w:tr>
      <w:tr>
        <w:trPr>
          <w:trHeight w:val="209"/>
        </w:trPr>
        <w:tc>
          <w:tcPr>
            <w:tcW w:w="520" w:type="dxa"/>
            <w:vAlign w:val="bottom"/>
          </w:tcPr>
          <w:p>
            <w:pPr>
              <w:spacing w:after="0"/>
              <w:rPr>
                <w:sz w:val="18"/>
                <w:szCs w:val="18"/>
                <w:color w:val="auto"/>
              </w:rPr>
            </w:pPr>
          </w:p>
        </w:tc>
        <w:tc>
          <w:tcPr>
            <w:tcW w:w="3400" w:type="dxa"/>
            <w:vAlign w:val="bottom"/>
            <w:gridSpan w:val="2"/>
          </w:tcPr>
          <w:p>
            <w:pPr>
              <w:ind w:left="100"/>
              <w:spacing w:after="0"/>
              <w:rPr>
                <w:sz w:val="20"/>
                <w:szCs w:val="20"/>
                <w:color w:val="auto"/>
              </w:rPr>
            </w:pPr>
            <w:r>
              <w:rPr>
                <w:rFonts w:ascii="Arial" w:cs="Arial" w:eastAsia="Arial" w:hAnsi="Arial"/>
                <w:sz w:val="17"/>
                <w:szCs w:val="17"/>
                <w:color w:val="auto"/>
              </w:rPr>
              <w:t>Email: mgstrong@semprautilities.com</w:t>
            </w:r>
          </w:p>
        </w:tc>
      </w:tr>
      <w:tr>
        <w:trPr>
          <w:trHeight w:val="318"/>
        </w:trPr>
        <w:tc>
          <w:tcPr>
            <w:tcW w:w="520" w:type="dxa"/>
            <w:vAlign w:val="bottom"/>
          </w:tcPr>
          <w:p>
            <w:pPr>
              <w:spacing w:after="0"/>
              <w:rPr>
                <w:sz w:val="20"/>
                <w:szCs w:val="20"/>
                <w:color w:val="auto"/>
              </w:rPr>
            </w:pPr>
            <w:r>
              <w:rPr>
                <w:rFonts w:ascii="Arial" w:cs="Arial" w:eastAsia="Arial" w:hAnsi="Arial"/>
                <w:sz w:val="17"/>
                <w:szCs w:val="17"/>
                <w:color w:val="auto"/>
              </w:rPr>
              <w:t>DWR:</w:t>
            </w:r>
          </w:p>
        </w:tc>
        <w:tc>
          <w:tcPr>
            <w:tcW w:w="3400" w:type="dxa"/>
            <w:vAlign w:val="bottom"/>
            <w:gridSpan w:val="2"/>
          </w:tcPr>
          <w:p>
            <w:pPr>
              <w:ind w:left="100"/>
              <w:spacing w:after="0"/>
              <w:rPr>
                <w:sz w:val="20"/>
                <w:szCs w:val="20"/>
                <w:color w:val="auto"/>
              </w:rPr>
            </w:pPr>
            <w:r>
              <w:rPr>
                <w:rFonts w:ascii="Arial" w:cs="Arial" w:eastAsia="Arial" w:hAnsi="Arial"/>
                <w:sz w:val="17"/>
                <w:szCs w:val="17"/>
                <w:color w:val="auto"/>
              </w:rPr>
              <w:t>State of California</w:t>
            </w:r>
          </w:p>
        </w:tc>
      </w:tr>
      <w:tr>
        <w:trPr>
          <w:trHeight w:val="186"/>
        </w:trPr>
        <w:tc>
          <w:tcPr>
            <w:tcW w:w="520" w:type="dxa"/>
            <w:vAlign w:val="bottom"/>
          </w:tcPr>
          <w:p>
            <w:pPr>
              <w:spacing w:after="0"/>
              <w:rPr>
                <w:sz w:val="16"/>
                <w:szCs w:val="16"/>
                <w:color w:val="auto"/>
              </w:rPr>
            </w:pPr>
          </w:p>
        </w:tc>
        <w:tc>
          <w:tcPr>
            <w:tcW w:w="3400" w:type="dxa"/>
            <w:vAlign w:val="bottom"/>
            <w:gridSpan w:val="2"/>
          </w:tcPr>
          <w:p>
            <w:pPr>
              <w:ind w:left="100"/>
              <w:spacing w:after="0" w:line="186" w:lineRule="exact"/>
              <w:rPr>
                <w:sz w:val="20"/>
                <w:szCs w:val="20"/>
                <w:color w:val="auto"/>
              </w:rPr>
            </w:pPr>
            <w:r>
              <w:rPr>
                <w:rFonts w:ascii="Arial" w:cs="Arial" w:eastAsia="Arial" w:hAnsi="Arial"/>
                <w:sz w:val="17"/>
                <w:szCs w:val="17"/>
                <w:color w:val="auto"/>
              </w:rPr>
              <w:t>The Resources Agency</w:t>
            </w:r>
          </w:p>
        </w:tc>
      </w:tr>
      <w:tr>
        <w:trPr>
          <w:trHeight w:val="186"/>
        </w:trPr>
        <w:tc>
          <w:tcPr>
            <w:tcW w:w="520" w:type="dxa"/>
            <w:vAlign w:val="bottom"/>
          </w:tcPr>
          <w:p>
            <w:pPr>
              <w:spacing w:after="0"/>
              <w:rPr>
                <w:sz w:val="16"/>
                <w:szCs w:val="16"/>
                <w:color w:val="auto"/>
              </w:rPr>
            </w:pPr>
          </w:p>
        </w:tc>
        <w:tc>
          <w:tcPr>
            <w:tcW w:w="3400" w:type="dxa"/>
            <w:vAlign w:val="bottom"/>
            <w:gridSpan w:val="2"/>
          </w:tcPr>
          <w:p>
            <w:pPr>
              <w:ind w:left="100"/>
              <w:spacing w:after="0" w:line="186" w:lineRule="exact"/>
              <w:rPr>
                <w:sz w:val="20"/>
                <w:szCs w:val="20"/>
                <w:color w:val="auto"/>
              </w:rPr>
            </w:pPr>
            <w:r>
              <w:rPr>
                <w:rFonts w:ascii="Arial" w:cs="Arial" w:eastAsia="Arial" w:hAnsi="Arial"/>
                <w:sz w:val="17"/>
                <w:szCs w:val="17"/>
                <w:color w:val="auto"/>
              </w:rPr>
              <w:t>Department of Water Resources</w:t>
            </w:r>
          </w:p>
        </w:tc>
      </w:tr>
      <w:tr>
        <w:trPr>
          <w:trHeight w:val="186"/>
        </w:trPr>
        <w:tc>
          <w:tcPr>
            <w:tcW w:w="520" w:type="dxa"/>
            <w:vAlign w:val="bottom"/>
          </w:tcPr>
          <w:p>
            <w:pPr>
              <w:spacing w:after="0"/>
              <w:rPr>
                <w:sz w:val="16"/>
                <w:szCs w:val="16"/>
                <w:color w:val="auto"/>
              </w:rPr>
            </w:pPr>
          </w:p>
        </w:tc>
        <w:tc>
          <w:tcPr>
            <w:tcW w:w="3400" w:type="dxa"/>
            <w:vAlign w:val="bottom"/>
            <w:gridSpan w:val="2"/>
          </w:tcPr>
          <w:p>
            <w:pPr>
              <w:ind w:left="100"/>
              <w:spacing w:after="0" w:line="186" w:lineRule="exact"/>
              <w:rPr>
                <w:sz w:val="20"/>
                <w:szCs w:val="20"/>
                <w:color w:val="auto"/>
              </w:rPr>
            </w:pPr>
            <w:r>
              <w:rPr>
                <w:rFonts w:ascii="Arial" w:cs="Arial" w:eastAsia="Arial" w:hAnsi="Arial"/>
                <w:sz w:val="17"/>
                <w:szCs w:val="17"/>
                <w:color w:val="auto"/>
                <w:w w:val="88"/>
              </w:rPr>
              <w:t>California Energy Resources Scheduling Division</w:t>
            </w:r>
          </w:p>
        </w:tc>
      </w:tr>
      <w:tr>
        <w:trPr>
          <w:trHeight w:val="186"/>
        </w:trPr>
        <w:tc>
          <w:tcPr>
            <w:tcW w:w="520" w:type="dxa"/>
            <w:vAlign w:val="bottom"/>
          </w:tcPr>
          <w:p>
            <w:pPr>
              <w:spacing w:after="0"/>
              <w:rPr>
                <w:sz w:val="16"/>
                <w:szCs w:val="16"/>
                <w:color w:val="auto"/>
              </w:rPr>
            </w:pPr>
          </w:p>
        </w:tc>
        <w:tc>
          <w:tcPr>
            <w:tcW w:w="3400" w:type="dxa"/>
            <w:vAlign w:val="bottom"/>
            <w:gridSpan w:val="2"/>
          </w:tcPr>
          <w:p>
            <w:pPr>
              <w:ind w:left="100"/>
              <w:spacing w:after="0" w:line="186" w:lineRule="exact"/>
              <w:rPr>
                <w:sz w:val="20"/>
                <w:szCs w:val="20"/>
                <w:color w:val="auto"/>
              </w:rPr>
            </w:pPr>
            <w:r>
              <w:rPr>
                <w:rFonts w:ascii="Arial" w:cs="Arial" w:eastAsia="Arial" w:hAnsi="Arial"/>
                <w:sz w:val="17"/>
                <w:szCs w:val="17"/>
                <w:color w:val="auto"/>
              </w:rPr>
              <w:t>2033 Howe Avenue, Suite 220</w:t>
            </w:r>
          </w:p>
        </w:tc>
      </w:tr>
      <w:tr>
        <w:trPr>
          <w:trHeight w:val="209"/>
        </w:trPr>
        <w:tc>
          <w:tcPr>
            <w:tcW w:w="520" w:type="dxa"/>
            <w:vAlign w:val="bottom"/>
          </w:tcPr>
          <w:p>
            <w:pPr>
              <w:spacing w:after="0"/>
              <w:rPr>
                <w:sz w:val="18"/>
                <w:szCs w:val="18"/>
                <w:color w:val="auto"/>
              </w:rPr>
            </w:pPr>
          </w:p>
        </w:tc>
        <w:tc>
          <w:tcPr>
            <w:tcW w:w="3400" w:type="dxa"/>
            <w:vAlign w:val="bottom"/>
            <w:gridSpan w:val="2"/>
          </w:tcPr>
          <w:p>
            <w:pPr>
              <w:ind w:left="100"/>
              <w:spacing w:after="0"/>
              <w:rPr>
                <w:sz w:val="20"/>
                <w:szCs w:val="20"/>
                <w:color w:val="auto"/>
              </w:rPr>
            </w:pPr>
            <w:r>
              <w:rPr>
                <w:rFonts w:ascii="Arial" w:cs="Arial" w:eastAsia="Arial" w:hAnsi="Arial"/>
                <w:sz w:val="17"/>
                <w:szCs w:val="17"/>
                <w:color w:val="auto"/>
              </w:rPr>
              <w:t>Sacramento, California 95825</w:t>
            </w:r>
          </w:p>
        </w:tc>
      </w:tr>
      <w:tr>
        <w:trPr>
          <w:trHeight w:val="318"/>
        </w:trPr>
        <w:tc>
          <w:tcPr>
            <w:tcW w:w="520" w:type="dxa"/>
            <w:vAlign w:val="bottom"/>
          </w:tcPr>
          <w:p>
            <w:pPr>
              <w:spacing w:after="0"/>
              <w:rPr>
                <w:sz w:val="20"/>
                <w:szCs w:val="20"/>
                <w:color w:val="auto"/>
              </w:rPr>
            </w:pPr>
            <w:r>
              <w:rPr>
                <w:rFonts w:ascii="Arial" w:cs="Arial" w:eastAsia="Arial" w:hAnsi="Arial"/>
                <w:sz w:val="17"/>
                <w:szCs w:val="17"/>
                <w:color w:val="auto"/>
              </w:rPr>
              <w:t>Attn:</w:t>
            </w:r>
          </w:p>
        </w:tc>
        <w:tc>
          <w:tcPr>
            <w:tcW w:w="3400" w:type="dxa"/>
            <w:vAlign w:val="bottom"/>
            <w:gridSpan w:val="2"/>
          </w:tcPr>
          <w:p>
            <w:pPr>
              <w:ind w:left="100"/>
              <w:spacing w:after="0"/>
              <w:rPr>
                <w:sz w:val="20"/>
                <w:szCs w:val="20"/>
                <w:color w:val="auto"/>
              </w:rPr>
            </w:pPr>
            <w:r>
              <w:rPr>
                <w:rFonts w:ascii="Arial" w:cs="Arial" w:eastAsia="Arial" w:hAnsi="Arial"/>
                <w:sz w:val="17"/>
                <w:szCs w:val="17"/>
                <w:color w:val="auto"/>
              </w:rPr>
              <w:t>John Pacheco</w:t>
            </w:r>
          </w:p>
        </w:tc>
      </w:tr>
      <w:tr>
        <w:trPr>
          <w:trHeight w:val="186"/>
        </w:trPr>
        <w:tc>
          <w:tcPr>
            <w:tcW w:w="520" w:type="dxa"/>
            <w:vAlign w:val="bottom"/>
          </w:tcPr>
          <w:p>
            <w:pPr>
              <w:spacing w:after="0"/>
              <w:rPr>
                <w:sz w:val="16"/>
                <w:szCs w:val="16"/>
                <w:color w:val="auto"/>
              </w:rPr>
            </w:pPr>
          </w:p>
        </w:tc>
        <w:tc>
          <w:tcPr>
            <w:tcW w:w="3400" w:type="dxa"/>
            <w:vAlign w:val="bottom"/>
            <w:gridSpan w:val="2"/>
          </w:tcPr>
          <w:p>
            <w:pPr>
              <w:ind w:left="100"/>
              <w:spacing w:after="0" w:line="186" w:lineRule="exact"/>
              <w:rPr>
                <w:sz w:val="20"/>
                <w:szCs w:val="20"/>
                <w:color w:val="auto"/>
              </w:rPr>
            </w:pPr>
            <w:r>
              <w:rPr>
                <w:rFonts w:ascii="Arial" w:cs="Arial" w:eastAsia="Arial" w:hAnsi="Arial"/>
                <w:sz w:val="17"/>
                <w:szCs w:val="17"/>
                <w:color w:val="auto"/>
              </w:rPr>
              <w:t>Acting Deputy Director</w:t>
            </w:r>
          </w:p>
        </w:tc>
      </w:tr>
      <w:tr>
        <w:trPr>
          <w:trHeight w:val="186"/>
        </w:trPr>
        <w:tc>
          <w:tcPr>
            <w:tcW w:w="520" w:type="dxa"/>
            <w:vAlign w:val="bottom"/>
          </w:tcPr>
          <w:p>
            <w:pPr>
              <w:spacing w:after="0"/>
              <w:rPr>
                <w:sz w:val="16"/>
                <w:szCs w:val="16"/>
                <w:color w:val="auto"/>
              </w:rPr>
            </w:pPr>
          </w:p>
        </w:tc>
        <w:tc>
          <w:tcPr>
            <w:tcW w:w="840" w:type="dxa"/>
            <w:vAlign w:val="bottom"/>
          </w:tcPr>
          <w:p>
            <w:pPr>
              <w:ind w:left="100"/>
              <w:spacing w:after="0" w:line="186" w:lineRule="exact"/>
              <w:rPr>
                <w:sz w:val="20"/>
                <w:szCs w:val="20"/>
                <w:color w:val="auto"/>
              </w:rPr>
            </w:pPr>
            <w:r>
              <w:rPr>
                <w:rFonts w:ascii="Arial" w:cs="Arial" w:eastAsia="Arial" w:hAnsi="Arial"/>
                <w:sz w:val="17"/>
                <w:szCs w:val="17"/>
                <w:color w:val="auto"/>
                <w:w w:val="84"/>
              </w:rPr>
              <w:t>Telephone:</w:t>
            </w:r>
          </w:p>
        </w:tc>
        <w:tc>
          <w:tcPr>
            <w:tcW w:w="2560" w:type="dxa"/>
            <w:vAlign w:val="bottom"/>
          </w:tcPr>
          <w:p>
            <w:pPr>
              <w:jc w:val="right"/>
              <w:ind w:right="1377"/>
              <w:spacing w:after="0" w:line="186" w:lineRule="exact"/>
              <w:rPr>
                <w:sz w:val="20"/>
                <w:szCs w:val="20"/>
                <w:color w:val="auto"/>
              </w:rPr>
            </w:pPr>
            <w:r>
              <w:rPr>
                <w:rFonts w:ascii="Arial" w:cs="Arial" w:eastAsia="Arial" w:hAnsi="Arial"/>
                <w:sz w:val="17"/>
                <w:szCs w:val="17"/>
                <w:color w:val="auto"/>
                <w:w w:val="92"/>
              </w:rPr>
              <w:t>(916) 574-0311</w:t>
            </w:r>
          </w:p>
        </w:tc>
      </w:tr>
      <w:tr>
        <w:trPr>
          <w:trHeight w:val="200"/>
        </w:trPr>
        <w:tc>
          <w:tcPr>
            <w:tcW w:w="520" w:type="dxa"/>
            <w:vAlign w:val="bottom"/>
          </w:tcPr>
          <w:p>
            <w:pPr>
              <w:spacing w:after="0"/>
              <w:rPr>
                <w:sz w:val="17"/>
                <w:szCs w:val="17"/>
                <w:color w:val="auto"/>
              </w:rPr>
            </w:pPr>
          </w:p>
        </w:tc>
        <w:tc>
          <w:tcPr>
            <w:tcW w:w="840" w:type="dxa"/>
            <w:vAlign w:val="bottom"/>
          </w:tcPr>
          <w:p>
            <w:pPr>
              <w:ind w:left="100"/>
              <w:spacing w:after="0"/>
              <w:rPr>
                <w:sz w:val="20"/>
                <w:szCs w:val="20"/>
                <w:color w:val="auto"/>
              </w:rPr>
            </w:pPr>
            <w:r>
              <w:rPr>
                <w:rFonts w:ascii="Arial" w:cs="Arial" w:eastAsia="Arial" w:hAnsi="Arial"/>
                <w:sz w:val="17"/>
                <w:szCs w:val="17"/>
                <w:color w:val="auto"/>
                <w:w w:val="94"/>
              </w:rPr>
              <w:t>Facsimile:</w:t>
            </w:r>
          </w:p>
        </w:tc>
        <w:tc>
          <w:tcPr>
            <w:tcW w:w="2560" w:type="dxa"/>
            <w:vAlign w:val="bottom"/>
          </w:tcPr>
          <w:p>
            <w:pPr>
              <w:jc w:val="right"/>
              <w:ind w:right="1417"/>
              <w:spacing w:after="0"/>
              <w:rPr>
                <w:sz w:val="20"/>
                <w:szCs w:val="20"/>
                <w:color w:val="auto"/>
              </w:rPr>
            </w:pPr>
            <w:r>
              <w:rPr>
                <w:rFonts w:ascii="Arial" w:cs="Arial" w:eastAsia="Arial" w:hAnsi="Arial"/>
                <w:sz w:val="17"/>
                <w:szCs w:val="17"/>
                <w:color w:val="auto"/>
                <w:w w:val="89"/>
              </w:rPr>
              <w:t>(916) 574-2512</w:t>
            </w:r>
          </w:p>
        </w:tc>
      </w:tr>
    </w:tbl>
    <w:p>
      <w:pPr>
        <w:ind w:left="2120"/>
        <w:spacing w:after="0"/>
        <w:rPr>
          <w:sz w:val="20"/>
          <w:szCs w:val="20"/>
          <w:color w:val="auto"/>
        </w:rPr>
      </w:pPr>
      <w:r>
        <w:rPr>
          <w:rFonts w:ascii="Arial" w:cs="Arial" w:eastAsia="Arial" w:hAnsi="Arial"/>
          <w:sz w:val="17"/>
          <w:szCs w:val="17"/>
          <w:color w:val="auto"/>
        </w:rPr>
        <w:t>Email: jpacheco@water.ca.gov</w:t>
      </w:r>
    </w:p>
    <w:p>
      <w:pPr>
        <w:spacing w:after="0" w:line="142" w:lineRule="exact"/>
        <w:rPr>
          <w:sz w:val="20"/>
          <w:szCs w:val="20"/>
          <w:color w:val="auto"/>
        </w:rPr>
      </w:pPr>
    </w:p>
    <w:p>
      <w:pPr>
        <w:ind w:left="1000" w:hanging="501"/>
        <w:spacing w:after="0" w:line="275" w:lineRule="auto"/>
        <w:tabs>
          <w:tab w:leader="none" w:pos="10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DWR agrees and with respect to the Utility it is ordered that each Party shall be entitled to specify as its proper address any other address in the United States, or specify any change to the above information, upon written notice to the other Party complying with this Section 14.12.</w:t>
      </w:r>
    </w:p>
    <w:p>
      <w:pPr>
        <w:spacing w:after="0" w:line="105" w:lineRule="exact"/>
        <w:rPr>
          <w:rFonts w:ascii="Arial" w:cs="Arial" w:eastAsia="Arial" w:hAnsi="Arial"/>
          <w:sz w:val="16"/>
          <w:szCs w:val="16"/>
          <w:color w:val="auto"/>
        </w:rPr>
      </w:pPr>
    </w:p>
    <w:p>
      <w:pPr>
        <w:jc w:val="both"/>
        <w:ind w:left="1000" w:hanging="501"/>
        <w:spacing w:after="0" w:line="237" w:lineRule="auto"/>
        <w:tabs>
          <w:tab w:leader="none" w:pos="10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DWR agrees and with respect to the Utility it is ordered that each Party shall designate on Attachment A the person(s) to be contacted with respect to specific operational matters. Each Party shall be entitled to specify any change to such person(s) upon written notice to the other Party complying with this Section 14.12.</w:t>
      </w:r>
    </w:p>
    <w:p>
      <w:pPr>
        <w:spacing w:after="0" w:line="134" w:lineRule="exact"/>
        <w:rPr>
          <w:sz w:val="20"/>
          <w:szCs w:val="20"/>
          <w:color w:val="auto"/>
        </w:rPr>
      </w:pPr>
    </w:p>
    <w:p>
      <w:pPr>
        <w:jc w:val="both"/>
        <w:ind w:firstLine="496"/>
        <w:spacing w:after="0" w:line="237" w:lineRule="auto"/>
        <w:rPr>
          <w:sz w:val="20"/>
          <w:szCs w:val="20"/>
          <w:color w:val="auto"/>
        </w:rPr>
      </w:pPr>
      <w:r>
        <w:rPr>
          <w:rFonts w:ascii="Arial" w:cs="Arial" w:eastAsia="Arial" w:hAnsi="Arial"/>
          <w:sz w:val="17"/>
          <w:szCs w:val="17"/>
          <w:color w:val="auto"/>
        </w:rPr>
        <w:t xml:space="preserve">Section 14.13. </w:t>
      </w:r>
      <w:r>
        <w:rPr>
          <w:rFonts w:ascii="Arial" w:cs="Arial" w:eastAsia="Arial" w:hAnsi="Arial"/>
          <w:sz w:val="17"/>
          <w:szCs w:val="17"/>
          <w:u w:val="single" w:color="auto"/>
          <w:color w:val="auto"/>
        </w:rPr>
        <w:t>Effective Date.</w:t>
      </w:r>
      <w:r>
        <w:rPr>
          <w:rFonts w:ascii="Arial" w:cs="Arial" w:eastAsia="Arial" w:hAnsi="Arial"/>
          <w:sz w:val="17"/>
          <w:szCs w:val="17"/>
          <w:color w:val="auto"/>
        </w:rPr>
        <w:t xml:space="preserve"> This Order shall be effective on the effective date set forth in the decision in which the Commission adopts this Order. Except as expressly provided otherwise herein, neither Party may commence performance hereunder until such date. Any delay in the commencement of performance hereunder as a consequence of waiting for such adoption(s) shall not be a breach or default under this Order.</w:t>
      </w:r>
    </w:p>
    <w:p>
      <w:pPr>
        <w:spacing w:after="0" w:line="144" w:lineRule="exact"/>
        <w:rPr>
          <w:sz w:val="20"/>
          <w:szCs w:val="20"/>
          <w:color w:val="auto"/>
        </w:rPr>
      </w:pPr>
    </w:p>
    <w:p>
      <w:pPr>
        <w:jc w:val="both"/>
        <w:ind w:firstLine="496"/>
        <w:spacing w:after="0" w:line="301" w:lineRule="auto"/>
        <w:rPr>
          <w:sz w:val="20"/>
          <w:szCs w:val="20"/>
          <w:color w:val="auto"/>
        </w:rPr>
      </w:pPr>
      <w:r>
        <w:rPr>
          <w:rFonts w:ascii="Arial" w:cs="Arial" w:eastAsia="Arial" w:hAnsi="Arial"/>
          <w:sz w:val="14"/>
          <w:szCs w:val="14"/>
          <w:color w:val="auto"/>
        </w:rPr>
        <w:t xml:space="preserve">Section 14.14. </w:t>
      </w:r>
      <w:r>
        <w:rPr>
          <w:rFonts w:ascii="Arial" w:cs="Arial" w:eastAsia="Arial" w:hAnsi="Arial"/>
          <w:sz w:val="14"/>
          <w:szCs w:val="14"/>
          <w:u w:val="single" w:color="auto"/>
          <w:color w:val="auto"/>
        </w:rPr>
        <w:t>Government Code and Public Contract Code Inapplicable</w:t>
      </w:r>
      <w:r>
        <w:rPr>
          <w:rFonts w:ascii="Arial" w:cs="Arial" w:eastAsia="Arial" w:hAnsi="Arial"/>
          <w:sz w:val="14"/>
          <w:szCs w:val="14"/>
          <w:color w:val="auto"/>
        </w:rPr>
        <w:t>. DWR has determined, pursuant to Section 80014(b) of the California Water Code, that application of certain provisions of the Government Code and Public Contract Code applicable to State contracts, including but not limited to advertising and competitive bidding requirements and prompt payment requirements, would be detrimental to accomplishing the purposes of Division 27 (commencing with Section 80000) of the California Water Code and that such provisions and requirements are therefore not applicable to or incorporated in this Order.</w:t>
      </w:r>
    </w:p>
    <w:p>
      <w:pPr>
        <w:spacing w:after="0" w:line="92" w:lineRule="exact"/>
        <w:rPr>
          <w:sz w:val="20"/>
          <w:szCs w:val="20"/>
          <w:color w:val="auto"/>
        </w:rPr>
      </w:pPr>
    </w:p>
    <w:p>
      <w:pPr>
        <w:jc w:val="both"/>
        <w:ind w:firstLine="496"/>
        <w:spacing w:after="0" w:line="237" w:lineRule="auto"/>
        <w:rPr>
          <w:sz w:val="20"/>
          <w:szCs w:val="20"/>
          <w:color w:val="auto"/>
        </w:rPr>
      </w:pPr>
      <w:r>
        <w:rPr>
          <w:rFonts w:ascii="Arial" w:cs="Arial" w:eastAsia="Arial" w:hAnsi="Arial"/>
          <w:sz w:val="17"/>
          <w:szCs w:val="17"/>
          <w:color w:val="auto"/>
        </w:rPr>
        <w:t xml:space="preserve">Section 14.15. </w:t>
      </w:r>
      <w:r>
        <w:rPr>
          <w:rFonts w:ascii="Arial" w:cs="Arial" w:eastAsia="Arial" w:hAnsi="Arial"/>
          <w:sz w:val="17"/>
          <w:szCs w:val="17"/>
          <w:u w:val="single" w:color="auto"/>
          <w:color w:val="auto"/>
        </w:rPr>
        <w:t>Annual Review</w:t>
      </w:r>
      <w:r>
        <w:rPr>
          <w:rFonts w:ascii="Arial" w:cs="Arial" w:eastAsia="Arial" w:hAnsi="Arial"/>
          <w:sz w:val="17"/>
          <w:szCs w:val="17"/>
          <w:color w:val="auto"/>
        </w:rPr>
        <w:t>. The provisions of the Exhibits are subject to annual review by DWR and Utility to ensure their relevance and usefulness. In the event that the Parties mutually agree that certain provisions of the Exhibits should be amended or supplemented, an amendment to the Exhibit should be executed and Utility shall submit to the Commission for approval.</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Section 14.16. [Reserved]</w:t>
      </w:r>
    </w:p>
    <w:p>
      <w:pPr>
        <w:sectPr>
          <w:pgSz w:w="11900" w:h="16838" w:orient="portrait"/>
          <w:cols w:equalWidth="0" w:num="1">
            <w:col w:w="11460"/>
          </w:cols>
          <w:pgMar w:left="220" w:top="124" w:right="219" w:bottom="1440" w:gutter="0" w:footer="0" w:header="0"/>
        </w:sectPr>
      </w:pPr>
    </w:p>
    <w:bookmarkStart w:id="74" w:name="page75"/>
    <w:bookmarkEnd w:id="74"/>
    <w:tbl>
      <w:tblPr>
        <w:tblLayout w:type="fixed"/>
        <w:tblInd w:w="10" w:type="dxa"/>
        <w:tblCellMar>
          <w:top w:w="0" w:type="dxa"/>
          <w:left w:w="0" w:type="dxa"/>
          <w:bottom w:w="0" w:type="dxa"/>
          <w:right w:w="0" w:type="dxa"/>
        </w:tblCellMar>
      </w:tblPr>
      <w:tr>
        <w:trPr>
          <w:trHeight w:val="209"/>
        </w:trPr>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ind w:left="480"/>
              <w:spacing w:after="0"/>
              <w:rPr>
                <w:sz w:val="20"/>
                <w:szCs w:val="20"/>
                <w:color w:val="auto"/>
              </w:rPr>
            </w:pPr>
            <w:r>
              <w:rPr>
                <w:rFonts w:ascii="Arial" w:cs="Arial" w:eastAsia="Arial" w:hAnsi="Arial"/>
                <w:sz w:val="17"/>
                <w:szCs w:val="17"/>
                <w:color w:val="auto"/>
              </w:rPr>
              <w:t>Schedule 1</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0" w:type="dxa"/>
            <w:vAlign w:val="bottom"/>
            <w:gridSpan w:val="3"/>
          </w:tcPr>
          <w:p>
            <w:pPr>
              <w:ind w:left="180"/>
              <w:spacing w:after="0"/>
              <w:rPr>
                <w:sz w:val="20"/>
                <w:szCs w:val="20"/>
                <w:color w:val="auto"/>
              </w:rPr>
            </w:pPr>
            <w:r>
              <w:rPr>
                <w:rFonts w:ascii="Arial" w:cs="Arial" w:eastAsia="Arial" w:hAnsi="Arial"/>
                <w:sz w:val="17"/>
                <w:szCs w:val="17"/>
                <w:b w:val="1"/>
                <w:bCs w:val="1"/>
                <w:color w:val="auto"/>
              </w:rPr>
              <w:t>ALLOCATED CONTRACTS</w:t>
            </w:r>
          </w:p>
        </w:tc>
        <w:tc>
          <w:tcPr>
            <w:tcW w:w="0" w:type="dxa"/>
            <w:vAlign w:val="bottom"/>
          </w:tcPr>
          <w:p>
            <w:pPr>
              <w:spacing w:after="0"/>
              <w:rPr>
                <w:sz w:val="1"/>
                <w:szCs w:val="1"/>
                <w:color w:val="auto"/>
              </w:rPr>
            </w:pPr>
          </w:p>
        </w:tc>
      </w:tr>
      <w:tr>
        <w:trPr>
          <w:trHeight w:val="551"/>
        </w:trPr>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gridSpan w:val="6"/>
          </w:tcPr>
          <w:p>
            <w:pPr>
              <w:spacing w:after="0"/>
              <w:rPr>
                <w:sz w:val="24"/>
                <w:szCs w:val="24"/>
                <w:color w:val="auto"/>
              </w:rPr>
            </w:pPr>
          </w:p>
        </w:tc>
        <w:tc>
          <w:tcPr>
            <w:tcW w:w="1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60" w:type="dxa"/>
            <w:vAlign w:val="bottom"/>
            <w:tcBorders>
              <w:left w:val="single" w:sz="8" w:color="auto"/>
              <w:right w:val="single" w:sz="8" w:color="auto"/>
            </w:tcBorders>
            <w:shd w:val="clear" w:color="auto" w:fill="000000"/>
          </w:tcPr>
          <w:p>
            <w:pPr>
              <w:ind w:left="320"/>
              <w:spacing w:after="0" w:line="172" w:lineRule="exact"/>
              <w:rPr>
                <w:sz w:val="20"/>
                <w:szCs w:val="20"/>
                <w:color w:val="auto"/>
              </w:rPr>
            </w:pPr>
            <w:r>
              <w:rPr>
                <w:rFonts w:ascii="Arial" w:cs="Arial" w:eastAsia="Arial" w:hAnsi="Arial"/>
                <w:sz w:val="17"/>
                <w:szCs w:val="17"/>
                <w:b w:val="1"/>
                <w:bCs w:val="1"/>
                <w:color w:val="FFFFFF"/>
              </w:rPr>
              <w:t>SDG&amp;E</w:t>
            </w:r>
          </w:p>
        </w:tc>
        <w:tc>
          <w:tcPr>
            <w:tcW w:w="1420" w:type="dxa"/>
            <w:vAlign w:val="bottom"/>
            <w:shd w:val="clear" w:color="auto" w:fill="000000"/>
          </w:tcPr>
          <w:p>
            <w:pPr>
              <w:spacing w:after="0"/>
              <w:rPr>
                <w:sz w:val="14"/>
                <w:szCs w:val="14"/>
                <w:color w:val="auto"/>
              </w:rPr>
            </w:pPr>
          </w:p>
        </w:tc>
        <w:tc>
          <w:tcPr>
            <w:tcW w:w="2200" w:type="dxa"/>
            <w:vAlign w:val="bottom"/>
            <w:gridSpan w:val="6"/>
            <w:shd w:val="clear" w:color="auto" w:fill="000000"/>
          </w:tcPr>
          <w:p>
            <w:pPr>
              <w:ind w:left="260"/>
              <w:spacing w:after="0" w:line="172" w:lineRule="exact"/>
              <w:rPr>
                <w:sz w:val="20"/>
                <w:szCs w:val="20"/>
                <w:color w:val="auto"/>
              </w:rPr>
            </w:pPr>
            <w:r>
              <w:rPr>
                <w:rFonts w:ascii="Arial" w:cs="Arial" w:eastAsia="Arial" w:hAnsi="Arial"/>
                <w:sz w:val="17"/>
                <w:szCs w:val="17"/>
                <w:b w:val="1"/>
                <w:bCs w:val="1"/>
                <w:color w:val="FFFFFF"/>
              </w:rPr>
              <w:t>Contract Bidding and</w:t>
            </w:r>
          </w:p>
        </w:tc>
        <w:tc>
          <w:tcPr>
            <w:tcW w:w="1580" w:type="dxa"/>
            <w:vAlign w:val="bottom"/>
            <w:shd w:val="clear" w:color="auto" w:fill="000000"/>
          </w:tcPr>
          <w:p>
            <w:pPr>
              <w:ind w:left="340"/>
              <w:spacing w:after="0" w:line="172" w:lineRule="exact"/>
              <w:rPr>
                <w:sz w:val="20"/>
                <w:szCs w:val="20"/>
                <w:color w:val="auto"/>
              </w:rPr>
            </w:pPr>
            <w:r>
              <w:rPr>
                <w:rFonts w:ascii="Arial" w:cs="Arial" w:eastAsia="Arial" w:hAnsi="Arial"/>
                <w:sz w:val="17"/>
                <w:szCs w:val="17"/>
                <w:b w:val="1"/>
                <w:bCs w:val="1"/>
                <w:color w:val="FFFFFF"/>
              </w:rPr>
              <w:t>Remittance</w:t>
            </w:r>
          </w:p>
        </w:tc>
        <w:tc>
          <w:tcPr>
            <w:tcW w:w="1840" w:type="dxa"/>
            <w:vAlign w:val="bottom"/>
            <w:shd w:val="clear" w:color="auto" w:fill="000000"/>
          </w:tcPr>
          <w:p>
            <w:pPr>
              <w:ind w:left="400"/>
              <w:spacing w:after="0" w:line="172" w:lineRule="exact"/>
              <w:rPr>
                <w:sz w:val="20"/>
                <w:szCs w:val="20"/>
                <w:color w:val="auto"/>
              </w:rPr>
            </w:pPr>
            <w:r>
              <w:rPr>
                <w:rFonts w:ascii="Arial" w:cs="Arial" w:eastAsia="Arial" w:hAnsi="Arial"/>
                <w:sz w:val="17"/>
                <w:szCs w:val="17"/>
                <w:b w:val="1"/>
                <w:bCs w:val="1"/>
                <w:color w:val="FFFFFF"/>
              </w:rPr>
              <w:t>Contract Stated</w:t>
            </w:r>
          </w:p>
        </w:tc>
        <w:tc>
          <w:tcPr>
            <w:tcW w:w="0" w:type="dxa"/>
            <w:vAlign w:val="bottom"/>
          </w:tcPr>
          <w:p>
            <w:pPr>
              <w:spacing w:after="0"/>
              <w:rPr>
                <w:sz w:val="1"/>
                <w:szCs w:val="1"/>
                <w:color w:val="auto"/>
              </w:rPr>
            </w:pPr>
          </w:p>
        </w:tc>
      </w:tr>
      <w:tr>
        <w:trPr>
          <w:trHeight w:val="221"/>
        </w:trPr>
        <w:tc>
          <w:tcPr>
            <w:tcW w:w="1260" w:type="dxa"/>
            <w:vAlign w:val="bottom"/>
            <w:tcBorders>
              <w:left w:val="single" w:sz="8" w:color="auto"/>
              <w:right w:val="single" w:sz="8" w:color="auto"/>
            </w:tcBorders>
            <w:shd w:val="clear" w:color="auto" w:fill="000000"/>
          </w:tcPr>
          <w:p>
            <w:pPr>
              <w:ind w:left="220"/>
              <w:spacing w:after="0"/>
              <w:rPr>
                <w:sz w:val="20"/>
                <w:szCs w:val="20"/>
                <w:color w:val="auto"/>
              </w:rPr>
            </w:pPr>
            <w:r>
              <w:rPr>
                <w:rFonts w:ascii="Arial" w:cs="Arial" w:eastAsia="Arial" w:hAnsi="Arial"/>
                <w:sz w:val="17"/>
                <w:szCs w:val="17"/>
                <w:b w:val="1"/>
                <w:bCs w:val="1"/>
                <w:color w:val="FFFFFF"/>
              </w:rPr>
              <w:t>Contracts</w:t>
            </w:r>
          </w:p>
        </w:tc>
        <w:tc>
          <w:tcPr>
            <w:tcW w:w="1420" w:type="dxa"/>
            <w:vAlign w:val="bottom"/>
            <w:shd w:val="clear" w:color="auto" w:fill="000000"/>
          </w:tcPr>
          <w:p>
            <w:pPr>
              <w:ind w:left="100"/>
              <w:spacing w:after="0"/>
              <w:rPr>
                <w:sz w:val="20"/>
                <w:szCs w:val="20"/>
                <w:color w:val="auto"/>
              </w:rPr>
            </w:pPr>
            <w:r>
              <w:rPr>
                <w:rFonts w:ascii="Arial" w:cs="Arial" w:eastAsia="Arial" w:hAnsi="Arial"/>
                <w:sz w:val="17"/>
                <w:szCs w:val="17"/>
                <w:b w:val="1"/>
                <w:bCs w:val="1"/>
                <w:color w:val="FFFFFF"/>
              </w:rPr>
              <w:t>Contract Name</w:t>
            </w:r>
          </w:p>
        </w:tc>
        <w:tc>
          <w:tcPr>
            <w:tcW w:w="2200" w:type="dxa"/>
            <w:vAlign w:val="bottom"/>
            <w:gridSpan w:val="6"/>
            <w:shd w:val="clear" w:color="auto" w:fill="000000"/>
          </w:tcPr>
          <w:p>
            <w:pPr>
              <w:ind w:left="260"/>
              <w:spacing w:after="0"/>
              <w:rPr>
                <w:sz w:val="20"/>
                <w:szCs w:val="20"/>
                <w:color w:val="auto"/>
              </w:rPr>
            </w:pPr>
            <w:r>
              <w:rPr>
                <w:rFonts w:ascii="Arial" w:cs="Arial" w:eastAsia="Arial" w:hAnsi="Arial"/>
                <w:sz w:val="17"/>
                <w:szCs w:val="17"/>
                <w:b w:val="1"/>
                <w:bCs w:val="1"/>
                <w:color w:val="FFFFFF"/>
              </w:rPr>
              <w:t>Operations Summary</w:t>
            </w:r>
          </w:p>
        </w:tc>
        <w:tc>
          <w:tcPr>
            <w:tcW w:w="1580" w:type="dxa"/>
            <w:vAlign w:val="bottom"/>
            <w:shd w:val="clear" w:color="auto" w:fill="000000"/>
          </w:tcPr>
          <w:p>
            <w:pPr>
              <w:ind w:left="560"/>
              <w:spacing w:after="0"/>
              <w:rPr>
                <w:sz w:val="20"/>
                <w:szCs w:val="20"/>
                <w:color w:val="auto"/>
              </w:rPr>
            </w:pPr>
            <w:r>
              <w:rPr>
                <w:rFonts w:ascii="Arial" w:cs="Arial" w:eastAsia="Arial" w:hAnsi="Arial"/>
                <w:sz w:val="17"/>
                <w:szCs w:val="17"/>
                <w:b w:val="1"/>
                <w:bCs w:val="1"/>
                <w:color w:val="FFFFFF"/>
              </w:rPr>
              <w:t>Basis</w:t>
            </w:r>
          </w:p>
        </w:tc>
        <w:tc>
          <w:tcPr>
            <w:tcW w:w="1840" w:type="dxa"/>
            <w:vAlign w:val="bottom"/>
            <w:shd w:val="clear" w:color="auto" w:fill="000000"/>
          </w:tcPr>
          <w:p>
            <w:pPr>
              <w:jc w:val="center"/>
              <w:spacing w:after="0"/>
              <w:rPr>
                <w:sz w:val="20"/>
                <w:szCs w:val="20"/>
                <w:color w:val="auto"/>
              </w:rPr>
            </w:pPr>
            <w:r>
              <w:rPr>
                <w:rFonts w:ascii="Arial" w:cs="Arial" w:eastAsia="Arial" w:hAnsi="Arial"/>
                <w:sz w:val="17"/>
                <w:szCs w:val="17"/>
                <w:b w:val="1"/>
                <w:bCs w:val="1"/>
                <w:color w:val="FFFFFF"/>
                <w:w w:val="96"/>
              </w:rPr>
              <w:t>Termination Date</w:t>
            </w:r>
          </w:p>
        </w:tc>
        <w:tc>
          <w:tcPr>
            <w:tcW w:w="0" w:type="dxa"/>
            <w:vAlign w:val="bottom"/>
          </w:tcPr>
          <w:p>
            <w:pPr>
              <w:spacing w:after="0"/>
              <w:rPr>
                <w:sz w:val="1"/>
                <w:szCs w:val="1"/>
                <w:color w:val="auto"/>
              </w:rPr>
            </w:pPr>
          </w:p>
        </w:tc>
      </w:tr>
      <w:tr>
        <w:trPr>
          <w:trHeight w:val="154"/>
        </w:trPr>
        <w:tc>
          <w:tcPr>
            <w:tcW w:w="1260" w:type="dxa"/>
            <w:vAlign w:val="bottom"/>
            <w:tcBorders>
              <w:left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Must-Take</w:t>
            </w:r>
          </w:p>
        </w:tc>
        <w:tc>
          <w:tcPr>
            <w:tcW w:w="1420" w:type="dxa"/>
            <w:vAlign w:val="bottom"/>
            <w:vMerge w:val="restart"/>
          </w:tcPr>
          <w:p>
            <w:pPr>
              <w:ind w:left="60"/>
              <w:spacing w:after="0"/>
              <w:rPr>
                <w:sz w:val="20"/>
                <w:szCs w:val="20"/>
                <w:color w:val="auto"/>
              </w:rPr>
            </w:pPr>
            <w:r>
              <w:rPr>
                <w:rFonts w:ascii="Arial" w:cs="Arial" w:eastAsia="Arial" w:hAnsi="Arial"/>
                <w:sz w:val="14"/>
                <w:szCs w:val="14"/>
                <w:color w:val="auto"/>
              </w:rPr>
              <w:t>JP Morgan B/C</w:t>
            </w:r>
          </w:p>
        </w:tc>
        <w:tc>
          <w:tcPr>
            <w:tcW w:w="2200" w:type="dxa"/>
            <w:vAlign w:val="bottom"/>
            <w:gridSpan w:val="6"/>
          </w:tcPr>
          <w:p>
            <w:pPr>
              <w:ind w:left="100"/>
              <w:spacing w:after="0" w:line="155" w:lineRule="exact"/>
              <w:rPr>
                <w:sz w:val="20"/>
                <w:szCs w:val="20"/>
                <w:color w:val="auto"/>
              </w:rPr>
            </w:pPr>
            <w:r>
              <w:rPr>
                <w:rFonts w:ascii="Arial" w:cs="Arial" w:eastAsia="Arial" w:hAnsi="Arial"/>
                <w:sz w:val="14"/>
                <w:szCs w:val="14"/>
                <w:color w:val="auto"/>
              </w:rPr>
              <w:t>IST in Day Ahead at SP15 Gen</w:t>
            </w:r>
          </w:p>
        </w:tc>
        <w:tc>
          <w:tcPr>
            <w:tcW w:w="1580" w:type="dxa"/>
            <w:vAlign w:val="bottom"/>
            <w:vMerge w:val="restart"/>
          </w:tcPr>
          <w:p>
            <w:pPr>
              <w:ind w:left="100"/>
              <w:spacing w:after="0"/>
              <w:rPr>
                <w:sz w:val="20"/>
                <w:szCs w:val="20"/>
                <w:color w:val="auto"/>
              </w:rPr>
            </w:pPr>
            <w:r>
              <w:rPr>
                <w:rFonts w:ascii="Arial" w:cs="Arial" w:eastAsia="Arial" w:hAnsi="Arial"/>
                <w:sz w:val="14"/>
                <w:szCs w:val="14"/>
                <w:color w:val="auto"/>
              </w:rPr>
              <w:t>IST Quantity</w:t>
            </w:r>
          </w:p>
        </w:tc>
        <w:tc>
          <w:tcPr>
            <w:tcW w:w="1840" w:type="dxa"/>
            <w:vAlign w:val="bottom"/>
            <w:vMerge w:val="restart"/>
          </w:tcPr>
          <w:p>
            <w:pPr>
              <w:jc w:val="center"/>
              <w:spacing w:after="0"/>
              <w:rPr>
                <w:sz w:val="20"/>
                <w:szCs w:val="20"/>
                <w:color w:val="auto"/>
              </w:rPr>
            </w:pPr>
            <w:r>
              <w:rPr>
                <w:rFonts w:ascii="Arial" w:cs="Arial" w:eastAsia="Arial" w:hAnsi="Arial"/>
                <w:sz w:val="14"/>
                <w:szCs w:val="14"/>
                <w:color w:val="auto"/>
                <w:w w:val="96"/>
              </w:rPr>
              <w:t>12/31/2010</w:t>
            </w:r>
          </w:p>
        </w:tc>
        <w:tc>
          <w:tcPr>
            <w:tcW w:w="0" w:type="dxa"/>
            <w:vAlign w:val="bottom"/>
          </w:tcPr>
          <w:p>
            <w:pPr>
              <w:spacing w:after="0"/>
              <w:rPr>
                <w:sz w:val="1"/>
                <w:szCs w:val="1"/>
                <w:color w:val="auto"/>
              </w:rPr>
            </w:pPr>
          </w:p>
        </w:tc>
      </w:tr>
      <w:tr>
        <w:trPr>
          <w:trHeight w:val="82"/>
        </w:trPr>
        <w:tc>
          <w:tcPr>
            <w:tcW w:w="1260" w:type="dxa"/>
            <w:vAlign w:val="bottom"/>
            <w:tcBorders>
              <w:left w:val="single" w:sz="8" w:color="auto"/>
              <w:right w:val="single" w:sz="8" w:color="auto"/>
            </w:tcBorders>
            <w:vMerge w:val="restart"/>
          </w:tcPr>
          <w:p>
            <w:pPr>
              <w:ind w:left="120"/>
              <w:spacing w:after="0" w:line="156" w:lineRule="exact"/>
              <w:rPr>
                <w:sz w:val="20"/>
                <w:szCs w:val="20"/>
                <w:color w:val="auto"/>
              </w:rPr>
            </w:pPr>
            <w:r>
              <w:rPr>
                <w:rFonts w:ascii="Arial" w:cs="Arial" w:eastAsia="Arial" w:hAnsi="Arial"/>
                <w:sz w:val="14"/>
                <w:szCs w:val="14"/>
                <w:color w:val="auto"/>
              </w:rPr>
              <w:t>Contract</w:t>
            </w:r>
          </w:p>
        </w:tc>
        <w:tc>
          <w:tcPr>
            <w:tcW w:w="1420" w:type="dxa"/>
            <w:vAlign w:val="bottom"/>
            <w:vMerge w:val="continue"/>
          </w:tcPr>
          <w:p>
            <w:pPr>
              <w:spacing w:after="0"/>
              <w:rPr>
                <w:sz w:val="7"/>
                <w:szCs w:val="7"/>
                <w:color w:val="auto"/>
              </w:rPr>
            </w:pPr>
          </w:p>
        </w:tc>
        <w:tc>
          <w:tcPr>
            <w:tcW w:w="440" w:type="dxa"/>
            <w:vAlign w:val="bottom"/>
            <w:vMerge w:val="restart"/>
          </w:tcPr>
          <w:p>
            <w:pPr>
              <w:ind w:left="100"/>
              <w:spacing w:after="0" w:line="156" w:lineRule="exact"/>
              <w:rPr>
                <w:sz w:val="20"/>
                <w:szCs w:val="20"/>
                <w:color w:val="auto"/>
              </w:rPr>
            </w:pPr>
            <w:r>
              <w:rPr>
                <w:rFonts w:ascii="Arial" w:cs="Arial" w:eastAsia="Arial" w:hAnsi="Arial"/>
                <w:sz w:val="14"/>
                <w:szCs w:val="14"/>
                <w:color w:val="auto"/>
              </w:rPr>
              <w:t>Hub</w:t>
            </w: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26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60" w:type="dxa"/>
            <w:vAlign w:val="bottom"/>
            <w:tcBorders>
              <w:left w:val="single" w:sz="8" w:color="auto"/>
              <w:right w:val="single" w:sz="8" w:color="auto"/>
            </w:tcBorders>
          </w:tcPr>
          <w:p>
            <w:pPr>
              <w:ind w:left="120"/>
              <w:spacing w:after="0" w:line="135" w:lineRule="exact"/>
              <w:rPr>
                <w:sz w:val="20"/>
                <w:szCs w:val="20"/>
                <w:color w:val="auto"/>
              </w:rPr>
            </w:pPr>
            <w:r>
              <w:rPr>
                <w:rFonts w:ascii="Arial" w:cs="Arial" w:eastAsia="Arial" w:hAnsi="Arial"/>
                <w:sz w:val="14"/>
                <w:szCs w:val="14"/>
                <w:color w:val="auto"/>
              </w:rPr>
              <w:t>Large</w:t>
            </w:r>
          </w:p>
        </w:tc>
        <w:tc>
          <w:tcPr>
            <w:tcW w:w="1420" w:type="dxa"/>
            <w:vAlign w:val="bottom"/>
            <w:vMerge w:val="restart"/>
          </w:tcPr>
          <w:p>
            <w:pPr>
              <w:ind w:left="60"/>
              <w:spacing w:after="0"/>
              <w:rPr>
                <w:sz w:val="20"/>
                <w:szCs w:val="20"/>
                <w:color w:val="auto"/>
              </w:rPr>
            </w:pPr>
            <w:r>
              <w:rPr>
                <w:rFonts w:ascii="Arial" w:cs="Arial" w:eastAsia="Arial" w:hAnsi="Arial"/>
                <w:sz w:val="14"/>
                <w:szCs w:val="14"/>
                <w:color w:val="auto"/>
              </w:rPr>
              <w:t>Sunrise</w:t>
            </w:r>
          </w:p>
        </w:tc>
        <w:tc>
          <w:tcPr>
            <w:tcW w:w="1820" w:type="dxa"/>
            <w:vAlign w:val="bottom"/>
            <w:gridSpan w:val="5"/>
            <w:vMerge w:val="restart"/>
          </w:tcPr>
          <w:p>
            <w:pPr>
              <w:ind w:left="100"/>
              <w:spacing w:after="0"/>
              <w:rPr>
                <w:sz w:val="20"/>
                <w:szCs w:val="20"/>
                <w:color w:val="auto"/>
              </w:rPr>
            </w:pPr>
            <w:r>
              <w:rPr>
                <w:rFonts w:ascii="Arial" w:cs="Arial" w:eastAsia="Arial" w:hAnsi="Arial"/>
                <w:sz w:val="14"/>
                <w:szCs w:val="14"/>
                <w:color w:val="auto"/>
              </w:rPr>
              <w:t>Unit will be bid into Market</w:t>
            </w:r>
          </w:p>
        </w:tc>
        <w:tc>
          <w:tcPr>
            <w:tcW w:w="380" w:type="dxa"/>
            <w:vAlign w:val="bottom"/>
          </w:tcPr>
          <w:p>
            <w:pPr>
              <w:spacing w:after="0"/>
              <w:rPr>
                <w:sz w:val="11"/>
                <w:szCs w:val="11"/>
                <w:color w:val="auto"/>
              </w:rPr>
            </w:pPr>
          </w:p>
        </w:tc>
        <w:tc>
          <w:tcPr>
            <w:tcW w:w="1580" w:type="dxa"/>
            <w:vAlign w:val="bottom"/>
            <w:vMerge w:val="restart"/>
          </w:tcPr>
          <w:p>
            <w:pPr>
              <w:ind w:left="100"/>
              <w:spacing w:after="0"/>
              <w:rPr>
                <w:sz w:val="20"/>
                <w:szCs w:val="20"/>
                <w:color w:val="auto"/>
              </w:rPr>
            </w:pPr>
            <w:r>
              <w:rPr>
                <w:rFonts w:ascii="Arial" w:cs="Arial" w:eastAsia="Arial" w:hAnsi="Arial"/>
                <w:sz w:val="14"/>
                <w:szCs w:val="14"/>
                <w:color w:val="auto"/>
              </w:rPr>
              <w:t>Metered Amount</w:t>
            </w:r>
            <w:r>
              <w:rPr>
                <w:rFonts w:ascii="Arial" w:cs="Arial" w:eastAsia="Arial" w:hAnsi="Arial"/>
                <w:sz w:val="22"/>
                <w:szCs w:val="22"/>
                <w:color w:val="auto"/>
                <w:vertAlign w:val="superscript"/>
              </w:rPr>
              <w:t>1</w:t>
            </w:r>
          </w:p>
        </w:tc>
        <w:tc>
          <w:tcPr>
            <w:tcW w:w="1840" w:type="dxa"/>
            <w:vAlign w:val="bottom"/>
            <w:vMerge w:val="restart"/>
          </w:tcPr>
          <w:p>
            <w:pPr>
              <w:jc w:val="center"/>
              <w:spacing w:after="0"/>
              <w:rPr>
                <w:sz w:val="20"/>
                <w:szCs w:val="20"/>
                <w:color w:val="auto"/>
              </w:rPr>
            </w:pPr>
            <w:r>
              <w:rPr>
                <w:rFonts w:ascii="Arial" w:cs="Arial" w:eastAsia="Arial" w:hAnsi="Arial"/>
                <w:sz w:val="14"/>
                <w:szCs w:val="14"/>
                <w:color w:val="auto"/>
                <w:w w:val="99"/>
              </w:rPr>
              <w:t>6/30/2012</w:t>
            </w:r>
          </w:p>
        </w:tc>
        <w:tc>
          <w:tcPr>
            <w:tcW w:w="0" w:type="dxa"/>
            <w:vAlign w:val="bottom"/>
          </w:tcPr>
          <w:p>
            <w:pPr>
              <w:spacing w:after="0"/>
              <w:rPr>
                <w:sz w:val="1"/>
                <w:szCs w:val="1"/>
                <w:color w:val="auto"/>
              </w:rPr>
            </w:pPr>
          </w:p>
        </w:tc>
      </w:tr>
      <w:tr>
        <w:trPr>
          <w:trHeight w:val="125"/>
        </w:trPr>
        <w:tc>
          <w:tcPr>
            <w:tcW w:w="1260" w:type="dxa"/>
            <w:vAlign w:val="bottom"/>
            <w:tcBorders>
              <w:left w:val="single" w:sz="8" w:color="auto"/>
              <w:right w:val="single" w:sz="8" w:color="auto"/>
            </w:tcBorders>
            <w:vMerge w:val="restart"/>
          </w:tcPr>
          <w:p>
            <w:pPr>
              <w:ind w:left="120"/>
              <w:spacing w:after="0" w:line="151" w:lineRule="exact"/>
              <w:rPr>
                <w:sz w:val="20"/>
                <w:szCs w:val="20"/>
                <w:color w:val="auto"/>
              </w:rPr>
            </w:pPr>
            <w:r>
              <w:rPr>
                <w:rFonts w:ascii="Arial" w:cs="Arial" w:eastAsia="Arial" w:hAnsi="Arial"/>
                <w:sz w:val="14"/>
                <w:szCs w:val="14"/>
                <w:color w:val="auto"/>
              </w:rPr>
              <w:t>Dispatchable</w:t>
            </w:r>
          </w:p>
        </w:tc>
        <w:tc>
          <w:tcPr>
            <w:tcW w:w="1420" w:type="dxa"/>
            <w:vAlign w:val="bottom"/>
            <w:vMerge w:val="continue"/>
          </w:tcPr>
          <w:p>
            <w:pPr>
              <w:spacing w:after="0"/>
              <w:rPr>
                <w:sz w:val="10"/>
                <w:szCs w:val="10"/>
                <w:color w:val="auto"/>
              </w:rPr>
            </w:pPr>
          </w:p>
        </w:tc>
        <w:tc>
          <w:tcPr>
            <w:tcW w:w="1820" w:type="dxa"/>
            <w:vAlign w:val="bottom"/>
            <w:gridSpan w:val="5"/>
            <w:vMerge w:val="continue"/>
          </w:tcPr>
          <w:p>
            <w:pPr>
              <w:spacing w:after="0"/>
              <w:rPr>
                <w:sz w:val="10"/>
                <w:szCs w:val="10"/>
                <w:color w:val="auto"/>
              </w:rPr>
            </w:pPr>
          </w:p>
        </w:tc>
        <w:tc>
          <w:tcPr>
            <w:tcW w:w="38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126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1260" w:type="dxa"/>
            <w:vAlign w:val="bottom"/>
            <w:tcBorders>
              <w:left w:val="single" w:sz="8" w:color="auto"/>
              <w:right w:val="single" w:sz="8" w:color="auto"/>
            </w:tcBorders>
          </w:tcPr>
          <w:p>
            <w:pPr>
              <w:spacing w:after="0"/>
              <w:rPr>
                <w:sz w:val="13"/>
                <w:szCs w:val="13"/>
                <w:color w:val="auto"/>
              </w:rPr>
            </w:pPr>
          </w:p>
        </w:tc>
        <w:tc>
          <w:tcPr>
            <w:tcW w:w="1420" w:type="dxa"/>
            <w:vAlign w:val="bottom"/>
          </w:tcPr>
          <w:p>
            <w:pPr>
              <w:ind w:left="60"/>
              <w:spacing w:after="0"/>
              <w:rPr>
                <w:sz w:val="20"/>
                <w:szCs w:val="20"/>
                <w:color w:val="auto"/>
              </w:rPr>
            </w:pPr>
            <w:r>
              <w:rPr>
                <w:rFonts w:ascii="Arial" w:cs="Arial" w:eastAsia="Arial" w:hAnsi="Arial"/>
                <w:sz w:val="14"/>
                <w:szCs w:val="14"/>
                <w:color w:val="auto"/>
              </w:rPr>
              <w:t>Calpeak - Border, El</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80" w:type="dxa"/>
            <w:vAlign w:val="bottom"/>
            <w:vMerge w:val="restart"/>
          </w:tcPr>
          <w:p>
            <w:pPr>
              <w:ind w:left="100"/>
              <w:spacing w:after="0"/>
              <w:rPr>
                <w:sz w:val="20"/>
                <w:szCs w:val="20"/>
                <w:color w:val="auto"/>
              </w:rPr>
            </w:pPr>
            <w:r>
              <w:rPr>
                <w:rFonts w:ascii="Arial" w:cs="Arial" w:eastAsia="Arial" w:hAnsi="Arial"/>
                <w:sz w:val="14"/>
                <w:szCs w:val="14"/>
                <w:color w:val="auto"/>
              </w:rPr>
              <w:t>Metered Amount</w:t>
            </w:r>
            <w:r>
              <w:rPr>
                <w:rFonts w:ascii="Arial" w:cs="Arial" w:eastAsia="Arial" w:hAnsi="Arial"/>
                <w:sz w:val="22"/>
                <w:szCs w:val="22"/>
                <w:color w:val="auto"/>
                <w:vertAlign w:val="superscript"/>
              </w:rPr>
              <w:t>1</w:t>
            </w:r>
          </w:p>
        </w:tc>
        <w:tc>
          <w:tcPr>
            <w:tcW w:w="1840" w:type="dxa"/>
            <w:vAlign w:val="bottom"/>
            <w:vMerge w:val="restart"/>
          </w:tcPr>
          <w:p>
            <w:pPr>
              <w:jc w:val="center"/>
              <w:spacing w:after="0"/>
              <w:rPr>
                <w:sz w:val="20"/>
                <w:szCs w:val="20"/>
                <w:color w:val="auto"/>
              </w:rPr>
            </w:pPr>
            <w:r>
              <w:rPr>
                <w:rFonts w:ascii="Arial" w:cs="Arial" w:eastAsia="Arial" w:hAnsi="Arial"/>
                <w:sz w:val="14"/>
                <w:szCs w:val="14"/>
                <w:color w:val="auto"/>
                <w:w w:val="98"/>
              </w:rPr>
              <w:t>12/8/2011 - Escondido</w:t>
            </w:r>
          </w:p>
        </w:tc>
        <w:tc>
          <w:tcPr>
            <w:tcW w:w="0" w:type="dxa"/>
            <w:vAlign w:val="bottom"/>
          </w:tcPr>
          <w:p>
            <w:pPr>
              <w:spacing w:after="0"/>
              <w:rPr>
                <w:sz w:val="1"/>
                <w:szCs w:val="1"/>
                <w:color w:val="auto"/>
              </w:rPr>
            </w:pPr>
          </w:p>
        </w:tc>
      </w:tr>
      <w:tr>
        <w:trPr>
          <w:trHeight w:val="41"/>
        </w:trPr>
        <w:tc>
          <w:tcPr>
            <w:tcW w:w="1260" w:type="dxa"/>
            <w:vAlign w:val="bottom"/>
            <w:tcBorders>
              <w:left w:val="single" w:sz="8" w:color="auto"/>
              <w:right w:val="single" w:sz="8" w:color="auto"/>
            </w:tcBorders>
          </w:tcPr>
          <w:p>
            <w:pPr>
              <w:spacing w:after="0"/>
              <w:rPr>
                <w:sz w:val="3"/>
                <w:szCs w:val="3"/>
                <w:color w:val="auto"/>
              </w:rPr>
            </w:pPr>
          </w:p>
        </w:tc>
        <w:tc>
          <w:tcPr>
            <w:tcW w:w="1420" w:type="dxa"/>
            <w:vAlign w:val="bottom"/>
            <w:vMerge w:val="restart"/>
          </w:tcPr>
          <w:p>
            <w:pPr>
              <w:ind w:left="60"/>
              <w:spacing w:after="0"/>
              <w:rPr>
                <w:sz w:val="20"/>
                <w:szCs w:val="20"/>
                <w:color w:val="auto"/>
              </w:rPr>
            </w:pPr>
            <w:r>
              <w:rPr>
                <w:rFonts w:ascii="Arial" w:cs="Arial" w:eastAsia="Arial" w:hAnsi="Arial"/>
                <w:sz w:val="14"/>
                <w:szCs w:val="14"/>
                <w:color w:val="auto"/>
              </w:rPr>
              <w:t>Cajon, Enterprise -</w:t>
            </w:r>
          </w:p>
        </w:tc>
        <w:tc>
          <w:tcPr>
            <w:tcW w:w="1820" w:type="dxa"/>
            <w:vAlign w:val="bottom"/>
            <w:gridSpan w:val="5"/>
            <w:vMerge w:val="restart"/>
          </w:tcPr>
          <w:p>
            <w:pPr>
              <w:ind w:left="100"/>
              <w:spacing w:after="0"/>
              <w:rPr>
                <w:sz w:val="20"/>
                <w:szCs w:val="20"/>
                <w:color w:val="auto"/>
              </w:rPr>
            </w:pPr>
            <w:r>
              <w:rPr>
                <w:rFonts w:ascii="Arial" w:cs="Arial" w:eastAsia="Arial" w:hAnsi="Arial"/>
                <w:sz w:val="14"/>
                <w:szCs w:val="14"/>
                <w:color w:val="auto"/>
              </w:rPr>
              <w:t>Unit will be bid into Market</w:t>
            </w:r>
          </w:p>
        </w:tc>
        <w:tc>
          <w:tcPr>
            <w:tcW w:w="380" w:type="dxa"/>
            <w:vAlign w:val="bottom"/>
          </w:tcPr>
          <w:p>
            <w:pPr>
              <w:spacing w:after="0"/>
              <w:rPr>
                <w:sz w:val="3"/>
                <w:szCs w:val="3"/>
                <w:color w:val="auto"/>
              </w:rPr>
            </w:pPr>
          </w:p>
        </w:tc>
        <w:tc>
          <w:tcPr>
            <w:tcW w:w="1580" w:type="dxa"/>
            <w:vAlign w:val="bottom"/>
            <w:vMerge w:val="continue"/>
          </w:tcPr>
          <w:p>
            <w:pPr>
              <w:spacing w:after="0"/>
              <w:rPr>
                <w:sz w:val="3"/>
                <w:szCs w:val="3"/>
                <w:color w:val="auto"/>
              </w:rPr>
            </w:pPr>
          </w:p>
        </w:tc>
        <w:tc>
          <w:tcPr>
            <w:tcW w:w="1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1260" w:type="dxa"/>
            <w:vAlign w:val="bottom"/>
            <w:tcBorders>
              <w:left w:val="single" w:sz="8" w:color="auto"/>
              <w:right w:val="single" w:sz="8" w:color="auto"/>
            </w:tcBorders>
          </w:tcPr>
          <w:p>
            <w:pPr>
              <w:spacing w:after="0"/>
              <w:rPr>
                <w:sz w:val="10"/>
                <w:szCs w:val="10"/>
                <w:color w:val="auto"/>
              </w:rPr>
            </w:pPr>
          </w:p>
        </w:tc>
        <w:tc>
          <w:tcPr>
            <w:tcW w:w="1420" w:type="dxa"/>
            <w:vAlign w:val="bottom"/>
            <w:vMerge w:val="continue"/>
          </w:tcPr>
          <w:p>
            <w:pPr>
              <w:spacing w:after="0"/>
              <w:rPr>
                <w:sz w:val="10"/>
                <w:szCs w:val="10"/>
                <w:color w:val="auto"/>
              </w:rPr>
            </w:pPr>
          </w:p>
        </w:tc>
        <w:tc>
          <w:tcPr>
            <w:tcW w:w="1820" w:type="dxa"/>
            <w:vAlign w:val="bottom"/>
            <w:gridSpan w:val="5"/>
            <w:vMerge w:val="continue"/>
          </w:tcPr>
          <w:p>
            <w:pPr>
              <w:spacing w:after="0"/>
              <w:rPr>
                <w:sz w:val="10"/>
                <w:szCs w:val="10"/>
                <w:color w:val="auto"/>
              </w:rPr>
            </w:pPr>
          </w:p>
        </w:tc>
        <w:tc>
          <w:tcPr>
            <w:tcW w:w="38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840" w:type="dxa"/>
            <w:vAlign w:val="bottom"/>
          </w:tcPr>
          <w:p>
            <w:pPr>
              <w:jc w:val="center"/>
              <w:spacing w:after="0" w:line="125" w:lineRule="exact"/>
              <w:rPr>
                <w:sz w:val="20"/>
                <w:szCs w:val="20"/>
                <w:color w:val="auto"/>
              </w:rPr>
            </w:pPr>
            <w:r>
              <w:rPr>
                <w:rFonts w:ascii="Arial" w:cs="Arial" w:eastAsia="Arial" w:hAnsi="Arial"/>
                <w:sz w:val="14"/>
                <w:szCs w:val="14"/>
                <w:color w:val="auto"/>
                <w:w w:val="99"/>
              </w:rPr>
              <w:t>12/12/2011 - Border</w:t>
            </w:r>
          </w:p>
        </w:tc>
        <w:tc>
          <w:tcPr>
            <w:tcW w:w="0" w:type="dxa"/>
            <w:vAlign w:val="bottom"/>
          </w:tcPr>
          <w:p>
            <w:pPr>
              <w:spacing w:after="0"/>
              <w:rPr>
                <w:sz w:val="1"/>
                <w:szCs w:val="1"/>
                <w:color w:val="auto"/>
              </w:rPr>
            </w:pPr>
          </w:p>
        </w:tc>
      </w:tr>
      <w:tr>
        <w:trPr>
          <w:trHeight w:val="155"/>
        </w:trPr>
        <w:tc>
          <w:tcPr>
            <w:tcW w:w="12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Small</w:t>
            </w:r>
          </w:p>
        </w:tc>
        <w:tc>
          <w:tcPr>
            <w:tcW w:w="1420" w:type="dxa"/>
            <w:vAlign w:val="bottom"/>
          </w:tcPr>
          <w:p>
            <w:pPr>
              <w:ind w:left="60"/>
              <w:spacing w:after="0" w:line="155" w:lineRule="exact"/>
              <w:rPr>
                <w:sz w:val="20"/>
                <w:szCs w:val="20"/>
                <w:color w:val="auto"/>
              </w:rPr>
            </w:pPr>
            <w:r>
              <w:rPr>
                <w:rFonts w:ascii="Arial" w:cs="Arial" w:eastAsia="Arial" w:hAnsi="Arial"/>
                <w:sz w:val="14"/>
                <w:szCs w:val="14"/>
                <w:color w:val="auto"/>
              </w:rPr>
              <w:t>SDG&amp;E is SC*</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color w:val="auto"/>
                <w:w w:val="98"/>
              </w:rPr>
              <w:t>1/1/2012 - El Cajon</w:t>
            </w:r>
          </w:p>
        </w:tc>
        <w:tc>
          <w:tcPr>
            <w:tcW w:w="0" w:type="dxa"/>
            <w:vAlign w:val="bottom"/>
          </w:tcPr>
          <w:p>
            <w:pPr>
              <w:spacing w:after="0"/>
              <w:rPr>
                <w:sz w:val="1"/>
                <w:szCs w:val="1"/>
                <w:color w:val="auto"/>
              </w:rPr>
            </w:pPr>
          </w:p>
        </w:tc>
      </w:tr>
      <w:tr>
        <w:trPr>
          <w:trHeight w:val="31"/>
        </w:trPr>
        <w:tc>
          <w:tcPr>
            <w:tcW w:w="1260" w:type="dxa"/>
            <w:vAlign w:val="bottom"/>
            <w:tcBorders>
              <w:left w:val="single" w:sz="8" w:color="auto"/>
              <w:right w:val="single" w:sz="8" w:color="auto"/>
            </w:tcBorders>
            <w:vMerge w:val="continue"/>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1"/>
        </w:trPr>
        <w:tc>
          <w:tcPr>
            <w:tcW w:w="1260" w:type="dxa"/>
            <w:vAlign w:val="bottom"/>
            <w:tcBorders>
              <w:left w:val="single" w:sz="8" w:color="auto"/>
              <w:right w:val="single" w:sz="8" w:color="auto"/>
            </w:tcBorders>
            <w:vMerge w:val="continue"/>
          </w:tcPr>
          <w:p>
            <w:pPr>
              <w:spacing w:after="0"/>
              <w:rPr>
                <w:sz w:val="3"/>
                <w:szCs w:val="3"/>
                <w:color w:val="auto"/>
              </w:rPr>
            </w:pPr>
          </w:p>
        </w:tc>
        <w:tc>
          <w:tcPr>
            <w:tcW w:w="1420" w:type="dxa"/>
            <w:vAlign w:val="bottom"/>
          </w:tcPr>
          <w:p>
            <w:pPr>
              <w:spacing w:after="0"/>
              <w:rPr>
                <w:sz w:val="3"/>
                <w:szCs w:val="3"/>
                <w:color w:val="auto"/>
              </w:rPr>
            </w:pPr>
          </w:p>
        </w:tc>
        <w:tc>
          <w:tcPr>
            <w:tcW w:w="440" w:type="dxa"/>
            <w:vAlign w:val="bottom"/>
            <w:vMerge w:val="restart"/>
          </w:tcPr>
          <w:p>
            <w:pPr>
              <w:ind w:left="100"/>
              <w:spacing w:after="0" w:line="145" w:lineRule="exact"/>
              <w:rPr>
                <w:sz w:val="20"/>
                <w:szCs w:val="20"/>
                <w:color w:val="auto"/>
              </w:rPr>
            </w:pPr>
            <w:r>
              <w:rPr>
                <w:rFonts w:ascii="Arial" w:cs="Arial" w:eastAsia="Arial" w:hAnsi="Arial"/>
                <w:sz w:val="14"/>
                <w:szCs w:val="14"/>
                <w:color w:val="auto"/>
              </w:rPr>
              <w:t>Bid</w:t>
            </w:r>
          </w:p>
        </w:tc>
        <w:tc>
          <w:tcPr>
            <w:tcW w:w="240" w:type="dxa"/>
            <w:vAlign w:val="bottom"/>
            <w:vMerge w:val="restart"/>
          </w:tcPr>
          <w:p>
            <w:pPr>
              <w:jc w:val="right"/>
              <w:ind w:right="11"/>
              <w:spacing w:after="0" w:line="145" w:lineRule="exact"/>
              <w:rPr>
                <w:sz w:val="20"/>
                <w:szCs w:val="20"/>
                <w:color w:val="auto"/>
              </w:rPr>
            </w:pPr>
            <w:r>
              <w:rPr>
                <w:rFonts w:ascii="Arial" w:cs="Arial" w:eastAsia="Arial" w:hAnsi="Arial"/>
                <w:sz w:val="14"/>
                <w:szCs w:val="14"/>
                <w:color w:val="auto"/>
              </w:rPr>
              <w:t>or</w:t>
            </w:r>
          </w:p>
        </w:tc>
        <w:tc>
          <w:tcPr>
            <w:tcW w:w="1140" w:type="dxa"/>
            <w:vAlign w:val="bottom"/>
            <w:gridSpan w:val="3"/>
            <w:vMerge w:val="restart"/>
          </w:tcPr>
          <w:p>
            <w:pPr>
              <w:ind w:left="120"/>
              <w:spacing w:after="0" w:line="145" w:lineRule="exact"/>
              <w:rPr>
                <w:sz w:val="20"/>
                <w:szCs w:val="20"/>
                <w:color w:val="auto"/>
              </w:rPr>
            </w:pPr>
            <w:r>
              <w:rPr>
                <w:rFonts w:ascii="Arial" w:cs="Arial" w:eastAsia="Arial" w:hAnsi="Arial"/>
                <w:sz w:val="14"/>
                <w:szCs w:val="14"/>
                <w:color w:val="auto"/>
              </w:rPr>
              <w:t>self-scheduled</w:t>
            </w:r>
          </w:p>
        </w:tc>
        <w:tc>
          <w:tcPr>
            <w:tcW w:w="380" w:type="dxa"/>
            <w:vAlign w:val="bottom"/>
            <w:vMerge w:val="restart"/>
          </w:tcPr>
          <w:p>
            <w:pPr>
              <w:jc w:val="right"/>
              <w:ind w:right="28"/>
              <w:spacing w:after="0" w:line="145" w:lineRule="exact"/>
              <w:rPr>
                <w:sz w:val="20"/>
                <w:szCs w:val="20"/>
                <w:color w:val="auto"/>
              </w:rPr>
            </w:pPr>
            <w:r>
              <w:rPr>
                <w:rFonts w:ascii="Arial" w:cs="Arial" w:eastAsia="Arial" w:hAnsi="Arial"/>
                <w:sz w:val="14"/>
                <w:szCs w:val="14"/>
                <w:color w:val="auto"/>
              </w:rPr>
              <w:t>into</w:t>
            </w:r>
          </w:p>
        </w:tc>
        <w:tc>
          <w:tcPr>
            <w:tcW w:w="15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260" w:type="dxa"/>
            <w:vAlign w:val="bottom"/>
            <w:tcBorders>
              <w:left w:val="single" w:sz="8" w:color="auto"/>
              <w:right w:val="single" w:sz="8" w:color="auto"/>
            </w:tcBorders>
            <w:vMerge w:val="restart"/>
          </w:tcPr>
          <w:p>
            <w:pPr>
              <w:ind w:left="120"/>
              <w:spacing w:after="0" w:line="155" w:lineRule="exact"/>
              <w:rPr>
                <w:sz w:val="20"/>
                <w:szCs w:val="20"/>
                <w:color w:val="auto"/>
              </w:rPr>
            </w:pPr>
            <w:r>
              <w:rPr>
                <w:rFonts w:ascii="Arial" w:cs="Arial" w:eastAsia="Arial" w:hAnsi="Arial"/>
                <w:sz w:val="14"/>
                <w:szCs w:val="14"/>
                <w:color w:val="auto"/>
              </w:rPr>
              <w:t>Dispatchable</w:t>
            </w:r>
          </w:p>
        </w:tc>
        <w:tc>
          <w:tcPr>
            <w:tcW w:w="14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1580" w:type="dxa"/>
            <w:vAlign w:val="bottom"/>
          </w:tcPr>
          <w:p>
            <w:pPr>
              <w:spacing w:after="0"/>
              <w:rPr>
                <w:sz w:val="8"/>
                <w:szCs w:val="8"/>
                <w:color w:val="auto"/>
              </w:rPr>
            </w:pPr>
          </w:p>
        </w:tc>
        <w:tc>
          <w:tcPr>
            <w:tcW w:w="1840" w:type="dxa"/>
            <w:vAlign w:val="bottom"/>
            <w:vMerge w:val="restart"/>
          </w:tcPr>
          <w:p>
            <w:pPr>
              <w:jc w:val="center"/>
              <w:spacing w:after="0" w:line="155" w:lineRule="exact"/>
              <w:rPr>
                <w:sz w:val="20"/>
                <w:szCs w:val="20"/>
                <w:color w:val="auto"/>
              </w:rPr>
            </w:pPr>
            <w:r>
              <w:rPr>
                <w:rFonts w:ascii="Arial" w:cs="Arial" w:eastAsia="Arial" w:hAnsi="Arial"/>
                <w:sz w:val="14"/>
                <w:szCs w:val="14"/>
                <w:color w:val="auto"/>
                <w:w w:val="98"/>
              </w:rPr>
              <w:t>12/8/2011 - Escondido</w:t>
            </w:r>
          </w:p>
        </w:tc>
        <w:tc>
          <w:tcPr>
            <w:tcW w:w="0" w:type="dxa"/>
            <w:vAlign w:val="bottom"/>
          </w:tcPr>
          <w:p>
            <w:pPr>
              <w:spacing w:after="0"/>
              <w:rPr>
                <w:sz w:val="1"/>
                <w:szCs w:val="1"/>
                <w:color w:val="auto"/>
              </w:rPr>
            </w:pPr>
          </w:p>
        </w:tc>
      </w:tr>
      <w:tr>
        <w:trPr>
          <w:trHeight w:val="52"/>
        </w:trPr>
        <w:tc>
          <w:tcPr>
            <w:tcW w:w="1260" w:type="dxa"/>
            <w:vAlign w:val="bottom"/>
            <w:tcBorders>
              <w:left w:val="single" w:sz="8" w:color="auto"/>
              <w:right w:val="single" w:sz="8" w:color="auto"/>
            </w:tcBorders>
            <w:vMerge w:val="continue"/>
          </w:tcPr>
          <w:p>
            <w:pPr>
              <w:spacing w:after="0"/>
              <w:rPr>
                <w:sz w:val="4"/>
                <w:szCs w:val="4"/>
                <w:color w:val="auto"/>
              </w:rPr>
            </w:pPr>
          </w:p>
        </w:tc>
        <w:tc>
          <w:tcPr>
            <w:tcW w:w="1420" w:type="dxa"/>
            <w:vAlign w:val="bottom"/>
            <w:vMerge w:val="restart"/>
          </w:tcPr>
          <w:p>
            <w:pPr>
              <w:ind w:left="60"/>
              <w:spacing w:after="0" w:line="155" w:lineRule="exact"/>
              <w:rPr>
                <w:sz w:val="20"/>
                <w:szCs w:val="20"/>
                <w:color w:val="auto"/>
              </w:rPr>
            </w:pPr>
            <w:r>
              <w:rPr>
                <w:rFonts w:ascii="Arial" w:cs="Arial" w:eastAsia="Arial" w:hAnsi="Arial"/>
                <w:sz w:val="14"/>
                <w:szCs w:val="14"/>
                <w:color w:val="auto"/>
              </w:rPr>
              <w:t>Calpeak - Border, El</w:t>
            </w:r>
          </w:p>
        </w:tc>
        <w:tc>
          <w:tcPr>
            <w:tcW w:w="1040" w:type="dxa"/>
            <w:vAlign w:val="bottom"/>
            <w:gridSpan w:val="3"/>
            <w:vMerge w:val="restart"/>
          </w:tcPr>
          <w:p>
            <w:pPr>
              <w:ind w:left="100"/>
              <w:spacing w:after="0" w:line="155" w:lineRule="exact"/>
              <w:rPr>
                <w:sz w:val="20"/>
                <w:szCs w:val="20"/>
                <w:color w:val="auto"/>
              </w:rPr>
            </w:pPr>
            <w:r>
              <w:rPr>
                <w:rFonts w:ascii="Arial" w:cs="Arial" w:eastAsia="Arial" w:hAnsi="Arial"/>
                <w:sz w:val="14"/>
                <w:szCs w:val="14"/>
                <w:color w:val="auto"/>
              </w:rPr>
              <w:t>market for all</w:t>
            </w:r>
          </w:p>
        </w:tc>
        <w:tc>
          <w:tcPr>
            <w:tcW w:w="780" w:type="dxa"/>
            <w:vAlign w:val="bottom"/>
            <w:gridSpan w:val="2"/>
            <w:vMerge w:val="restart"/>
          </w:tcPr>
          <w:p>
            <w:pPr>
              <w:ind w:left="20"/>
              <w:spacing w:after="0" w:line="155" w:lineRule="exact"/>
              <w:rPr>
                <w:sz w:val="20"/>
                <w:szCs w:val="20"/>
                <w:color w:val="auto"/>
              </w:rPr>
            </w:pPr>
            <w:r>
              <w:rPr>
                <w:rFonts w:ascii="Arial" w:cs="Arial" w:eastAsia="Arial" w:hAnsi="Arial"/>
                <w:sz w:val="14"/>
                <w:szCs w:val="14"/>
                <w:color w:val="auto"/>
              </w:rPr>
              <w:t>hours (with</w:t>
            </w:r>
          </w:p>
        </w:tc>
        <w:tc>
          <w:tcPr>
            <w:tcW w:w="380" w:type="dxa"/>
            <w:vAlign w:val="bottom"/>
            <w:vMerge w:val="restart"/>
          </w:tcPr>
          <w:p>
            <w:pPr>
              <w:jc w:val="right"/>
              <w:ind w:right="48"/>
              <w:spacing w:after="0" w:line="155" w:lineRule="exact"/>
              <w:rPr>
                <w:sz w:val="20"/>
                <w:szCs w:val="20"/>
                <w:color w:val="auto"/>
              </w:rPr>
            </w:pPr>
            <w:r>
              <w:rPr>
                <w:rFonts w:ascii="Arial" w:cs="Arial" w:eastAsia="Arial" w:hAnsi="Arial"/>
                <w:sz w:val="14"/>
                <w:szCs w:val="14"/>
                <w:color w:val="auto"/>
              </w:rPr>
              <w:t>IST</w:t>
            </w:r>
          </w:p>
        </w:tc>
        <w:tc>
          <w:tcPr>
            <w:tcW w:w="158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12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(Peakers)</w:t>
            </w:r>
          </w:p>
        </w:tc>
        <w:tc>
          <w:tcPr>
            <w:tcW w:w="1420" w:type="dxa"/>
            <w:vAlign w:val="bottom"/>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1580" w:type="dxa"/>
            <w:vAlign w:val="bottom"/>
          </w:tcPr>
          <w:p>
            <w:pPr>
              <w:spacing w:after="0"/>
              <w:rPr>
                <w:sz w:val="8"/>
                <w:szCs w:val="8"/>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color w:val="auto"/>
                <w:w w:val="99"/>
              </w:rPr>
              <w:t>12/12/2011 - Border</w:t>
            </w:r>
          </w:p>
        </w:tc>
        <w:tc>
          <w:tcPr>
            <w:tcW w:w="0" w:type="dxa"/>
            <w:vAlign w:val="bottom"/>
          </w:tcPr>
          <w:p>
            <w:pPr>
              <w:spacing w:after="0"/>
              <w:rPr>
                <w:sz w:val="1"/>
                <w:szCs w:val="1"/>
                <w:color w:val="auto"/>
              </w:rPr>
            </w:pPr>
          </w:p>
        </w:tc>
      </w:tr>
      <w:tr>
        <w:trPr>
          <w:trHeight w:val="72"/>
        </w:trPr>
        <w:tc>
          <w:tcPr>
            <w:tcW w:w="1260" w:type="dxa"/>
            <w:vAlign w:val="bottom"/>
            <w:tcBorders>
              <w:left w:val="single" w:sz="8" w:color="auto"/>
              <w:right w:val="single" w:sz="8" w:color="auto"/>
            </w:tcBorders>
            <w:vMerge w:val="continue"/>
          </w:tcPr>
          <w:p>
            <w:pPr>
              <w:spacing w:after="0"/>
              <w:rPr>
                <w:sz w:val="6"/>
                <w:szCs w:val="6"/>
                <w:color w:val="auto"/>
              </w:rPr>
            </w:pPr>
          </w:p>
        </w:tc>
        <w:tc>
          <w:tcPr>
            <w:tcW w:w="1420" w:type="dxa"/>
            <w:vAlign w:val="bottom"/>
            <w:vMerge w:val="restart"/>
          </w:tcPr>
          <w:p>
            <w:pPr>
              <w:ind w:left="60"/>
              <w:spacing w:after="0" w:line="156" w:lineRule="exact"/>
              <w:rPr>
                <w:sz w:val="20"/>
                <w:szCs w:val="20"/>
                <w:color w:val="auto"/>
              </w:rPr>
            </w:pPr>
            <w:r>
              <w:rPr>
                <w:rFonts w:ascii="Arial" w:cs="Arial" w:eastAsia="Arial" w:hAnsi="Arial"/>
                <w:sz w:val="14"/>
                <w:szCs w:val="14"/>
                <w:color w:val="auto"/>
              </w:rPr>
              <w:t>Cajon, Enterprise -</w:t>
            </w:r>
          </w:p>
        </w:tc>
        <w:tc>
          <w:tcPr>
            <w:tcW w:w="440" w:type="dxa"/>
            <w:vAlign w:val="bottom"/>
            <w:vMerge w:val="restart"/>
          </w:tcPr>
          <w:p>
            <w:pPr>
              <w:ind w:left="100"/>
              <w:spacing w:after="0" w:line="156" w:lineRule="exact"/>
              <w:rPr>
                <w:sz w:val="20"/>
                <w:szCs w:val="20"/>
                <w:color w:val="auto"/>
              </w:rPr>
            </w:pPr>
            <w:r>
              <w:rPr>
                <w:rFonts w:ascii="Arial" w:cs="Arial" w:eastAsia="Arial" w:hAnsi="Arial"/>
                <w:sz w:val="14"/>
                <w:szCs w:val="14"/>
                <w:color w:val="auto"/>
                <w:w w:val="95"/>
              </w:rPr>
              <w:t>when</w:t>
            </w:r>
          </w:p>
        </w:tc>
        <w:tc>
          <w:tcPr>
            <w:tcW w:w="1120" w:type="dxa"/>
            <w:vAlign w:val="bottom"/>
            <w:gridSpan w:val="3"/>
            <w:vMerge w:val="restart"/>
          </w:tcPr>
          <w:p>
            <w:pPr>
              <w:ind w:left="100"/>
              <w:spacing w:after="0" w:line="156" w:lineRule="exact"/>
              <w:rPr>
                <w:sz w:val="20"/>
                <w:szCs w:val="20"/>
                <w:color w:val="auto"/>
              </w:rPr>
            </w:pPr>
            <w:r>
              <w:rPr>
                <w:rFonts w:ascii="Arial" w:cs="Arial" w:eastAsia="Arial" w:hAnsi="Arial"/>
                <w:sz w:val="14"/>
                <w:szCs w:val="14"/>
                <w:color w:val="auto"/>
              </w:rPr>
              <w:t>self-scheduled)</w:t>
            </w:r>
          </w:p>
        </w:tc>
        <w:tc>
          <w:tcPr>
            <w:tcW w:w="260" w:type="dxa"/>
            <w:vAlign w:val="bottom"/>
            <w:vMerge w:val="restart"/>
          </w:tcPr>
          <w:p>
            <w:pPr>
              <w:ind w:left="20"/>
              <w:spacing w:after="0" w:line="156" w:lineRule="exact"/>
              <w:rPr>
                <w:sz w:val="20"/>
                <w:szCs w:val="20"/>
                <w:color w:val="auto"/>
              </w:rPr>
            </w:pPr>
            <w:r>
              <w:rPr>
                <w:rFonts w:ascii="Arial" w:cs="Arial" w:eastAsia="Arial" w:hAnsi="Arial"/>
                <w:sz w:val="14"/>
                <w:szCs w:val="14"/>
                <w:color w:val="auto"/>
              </w:rPr>
              <w:t>(in</w:t>
            </w:r>
          </w:p>
        </w:tc>
        <w:tc>
          <w:tcPr>
            <w:tcW w:w="380" w:type="dxa"/>
            <w:vAlign w:val="bottom"/>
            <w:vMerge w:val="restart"/>
          </w:tcPr>
          <w:p>
            <w:pPr>
              <w:jc w:val="right"/>
              <w:ind w:right="48"/>
              <w:spacing w:after="0" w:line="156" w:lineRule="exact"/>
              <w:rPr>
                <w:sz w:val="20"/>
                <w:szCs w:val="20"/>
                <w:color w:val="auto"/>
              </w:rPr>
            </w:pPr>
            <w:r>
              <w:rPr>
                <w:rFonts w:ascii="Arial" w:cs="Arial" w:eastAsia="Arial" w:hAnsi="Arial"/>
                <w:sz w:val="14"/>
                <w:szCs w:val="14"/>
                <w:color w:val="auto"/>
                <w:w w:val="96"/>
              </w:rPr>
              <w:t>Day</w:t>
            </w:r>
          </w:p>
        </w:tc>
        <w:tc>
          <w:tcPr>
            <w:tcW w:w="1580" w:type="dxa"/>
            <w:vAlign w:val="bottom"/>
            <w:vMerge w:val="restart"/>
          </w:tcPr>
          <w:p>
            <w:pPr>
              <w:ind w:left="100"/>
              <w:spacing w:after="0" w:line="156" w:lineRule="exact"/>
              <w:rPr>
                <w:sz w:val="20"/>
                <w:szCs w:val="20"/>
                <w:color w:val="auto"/>
              </w:rPr>
            </w:pPr>
            <w:r>
              <w:rPr>
                <w:rFonts w:ascii="Arial" w:cs="Arial" w:eastAsia="Arial" w:hAnsi="Arial"/>
                <w:sz w:val="12"/>
                <w:szCs w:val="12"/>
                <w:color w:val="auto"/>
              </w:rPr>
              <w:t>IST Quantities</w:t>
            </w:r>
            <w:r>
              <w:rPr>
                <w:rFonts w:ascii="Arial" w:cs="Arial" w:eastAsia="Arial" w:hAnsi="Arial"/>
                <w:sz w:val="18"/>
                <w:szCs w:val="18"/>
                <w:color w:val="auto"/>
                <w:vertAlign w:val="superscript"/>
              </w:rPr>
              <w:t>2</w:t>
            </w:r>
          </w:p>
        </w:tc>
        <w:tc>
          <w:tcPr>
            <w:tcW w:w="1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1260" w:type="dxa"/>
            <w:vAlign w:val="bottom"/>
            <w:tcBorders>
              <w:left w:val="single" w:sz="8" w:color="auto"/>
              <w:right w:val="single" w:sz="8" w:color="auto"/>
            </w:tcBorders>
          </w:tcPr>
          <w:p>
            <w:pPr>
              <w:spacing w:after="0"/>
              <w:rPr>
                <w:sz w:val="7"/>
                <w:szCs w:val="7"/>
                <w:color w:val="auto"/>
              </w:rPr>
            </w:pPr>
          </w:p>
        </w:tc>
        <w:tc>
          <w:tcPr>
            <w:tcW w:w="142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color w:val="auto"/>
                <w:w w:val="98"/>
              </w:rPr>
              <w:t>1/1/2012 - El Cajon</w:t>
            </w:r>
          </w:p>
        </w:tc>
        <w:tc>
          <w:tcPr>
            <w:tcW w:w="0" w:type="dxa"/>
            <w:vAlign w:val="bottom"/>
          </w:tcPr>
          <w:p>
            <w:pPr>
              <w:spacing w:after="0"/>
              <w:rPr>
                <w:sz w:val="1"/>
                <w:szCs w:val="1"/>
                <w:color w:val="auto"/>
              </w:rPr>
            </w:pPr>
          </w:p>
        </w:tc>
      </w:tr>
      <w:tr>
        <w:trPr>
          <w:trHeight w:val="81"/>
        </w:trPr>
        <w:tc>
          <w:tcPr>
            <w:tcW w:w="1260" w:type="dxa"/>
            <w:vAlign w:val="bottom"/>
            <w:tcBorders>
              <w:left w:val="single" w:sz="8" w:color="auto"/>
              <w:right w:val="single" w:sz="8" w:color="auto"/>
            </w:tcBorders>
          </w:tcPr>
          <w:p>
            <w:pPr>
              <w:spacing w:after="0"/>
              <w:rPr>
                <w:sz w:val="7"/>
                <w:szCs w:val="7"/>
                <w:color w:val="auto"/>
              </w:rPr>
            </w:pPr>
          </w:p>
        </w:tc>
        <w:tc>
          <w:tcPr>
            <w:tcW w:w="1420" w:type="dxa"/>
            <w:vAlign w:val="bottom"/>
            <w:vMerge w:val="restart"/>
          </w:tcPr>
          <w:p>
            <w:pPr>
              <w:ind w:left="60"/>
              <w:spacing w:after="0" w:line="155" w:lineRule="exact"/>
              <w:rPr>
                <w:sz w:val="20"/>
                <w:szCs w:val="20"/>
                <w:color w:val="auto"/>
              </w:rPr>
            </w:pPr>
            <w:r>
              <w:rPr>
                <w:rFonts w:ascii="Arial" w:cs="Arial" w:eastAsia="Arial" w:hAnsi="Arial"/>
                <w:sz w:val="14"/>
                <w:szCs w:val="14"/>
                <w:color w:val="auto"/>
              </w:rPr>
              <w:t>SDG&amp;E is not SC</w:t>
            </w:r>
          </w:p>
        </w:tc>
        <w:tc>
          <w:tcPr>
            <w:tcW w:w="2200" w:type="dxa"/>
            <w:vAlign w:val="bottom"/>
            <w:gridSpan w:val="6"/>
            <w:vMerge w:val="restart"/>
          </w:tcPr>
          <w:p>
            <w:pPr>
              <w:ind w:left="100"/>
              <w:spacing w:after="0" w:line="155" w:lineRule="exact"/>
              <w:rPr>
                <w:sz w:val="20"/>
                <w:szCs w:val="20"/>
                <w:color w:val="auto"/>
              </w:rPr>
            </w:pPr>
            <w:r>
              <w:rPr>
                <w:rFonts w:ascii="Arial" w:cs="Arial" w:eastAsia="Arial" w:hAnsi="Arial"/>
                <w:sz w:val="14"/>
                <w:szCs w:val="14"/>
                <w:color w:val="auto"/>
              </w:rPr>
              <w:t>Ahead  and/or  HASP)  at  P-</w:t>
            </w:r>
          </w:p>
        </w:tc>
        <w:tc>
          <w:tcPr>
            <w:tcW w:w="158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1260" w:type="dxa"/>
            <w:vAlign w:val="bottom"/>
            <w:tcBorders>
              <w:left w:val="single" w:sz="8" w:color="auto"/>
              <w:right w:val="single" w:sz="8" w:color="auto"/>
            </w:tcBorders>
          </w:tcPr>
          <w:p>
            <w:pPr>
              <w:spacing w:after="0"/>
              <w:rPr>
                <w:sz w:val="6"/>
                <w:szCs w:val="6"/>
                <w:color w:val="auto"/>
              </w:rPr>
            </w:pPr>
          </w:p>
        </w:tc>
        <w:tc>
          <w:tcPr>
            <w:tcW w:w="1420" w:type="dxa"/>
            <w:vAlign w:val="bottom"/>
            <w:vMerge w:val="continue"/>
          </w:tcPr>
          <w:p>
            <w:pPr>
              <w:spacing w:after="0"/>
              <w:rPr>
                <w:sz w:val="6"/>
                <w:szCs w:val="6"/>
                <w:color w:val="auto"/>
              </w:rPr>
            </w:pPr>
          </w:p>
        </w:tc>
        <w:tc>
          <w:tcPr>
            <w:tcW w:w="2200" w:type="dxa"/>
            <w:vAlign w:val="bottom"/>
            <w:gridSpan w:val="6"/>
            <w:vMerge w:val="continue"/>
          </w:tcPr>
          <w:p>
            <w:pPr>
              <w:spacing w:after="0"/>
              <w:rPr>
                <w:sz w:val="6"/>
                <w:szCs w:val="6"/>
                <w:color w:val="auto"/>
              </w:rPr>
            </w:pPr>
          </w:p>
        </w:tc>
        <w:tc>
          <w:tcPr>
            <w:tcW w:w="15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126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ind w:left="100"/>
              <w:spacing w:after="0" w:line="187" w:lineRule="exact"/>
              <w:rPr>
                <w:sz w:val="20"/>
                <w:szCs w:val="20"/>
                <w:color w:val="auto"/>
              </w:rPr>
            </w:pPr>
            <w:r>
              <w:rPr>
                <w:rFonts w:ascii="Arial" w:cs="Arial" w:eastAsia="Arial" w:hAnsi="Arial"/>
                <w:sz w:val="13"/>
                <w:szCs w:val="13"/>
                <w:color w:val="auto"/>
              </w:rPr>
              <w:t>node</w:t>
            </w:r>
            <w:r>
              <w:rPr>
                <w:rFonts w:ascii="Arial" w:cs="Arial" w:eastAsia="Arial" w:hAnsi="Arial"/>
                <w:sz w:val="21"/>
                <w:szCs w:val="21"/>
                <w:color w:val="auto"/>
                <w:vertAlign w:val="superscript"/>
              </w:rPr>
              <w:t>4, 5</w:t>
            </w: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1260" w:type="dxa"/>
            <w:vAlign w:val="bottom"/>
          </w:tcPr>
          <w:p>
            <w:pPr>
              <w:spacing w:after="0"/>
              <w:rPr>
                <w:sz w:val="10"/>
                <w:szCs w:val="10"/>
                <w:color w:val="auto"/>
              </w:rPr>
            </w:pPr>
          </w:p>
        </w:tc>
        <w:tc>
          <w:tcPr>
            <w:tcW w:w="1420" w:type="dxa"/>
            <w:vAlign w:val="bottom"/>
          </w:tcPr>
          <w:p>
            <w:pPr>
              <w:ind w:left="60"/>
              <w:spacing w:after="0" w:line="125" w:lineRule="exact"/>
              <w:rPr>
                <w:sz w:val="20"/>
                <w:szCs w:val="20"/>
                <w:color w:val="auto"/>
              </w:rPr>
            </w:pPr>
            <w:r>
              <w:rPr>
                <w:rFonts w:ascii="Arial" w:cs="Arial" w:eastAsia="Arial" w:hAnsi="Arial"/>
                <w:sz w:val="14"/>
                <w:szCs w:val="14"/>
                <w:color w:val="auto"/>
              </w:rPr>
              <w:t>Shell Wind -</w:t>
            </w:r>
          </w:p>
        </w:tc>
        <w:tc>
          <w:tcPr>
            <w:tcW w:w="440" w:type="dxa"/>
            <w:vAlign w:val="bottom"/>
            <w:vMerge w:val="restart"/>
          </w:tcPr>
          <w:p>
            <w:pPr>
              <w:ind w:left="100"/>
              <w:spacing w:after="0"/>
              <w:rPr>
                <w:sz w:val="20"/>
                <w:szCs w:val="20"/>
                <w:color w:val="auto"/>
              </w:rPr>
            </w:pPr>
            <w:r>
              <w:rPr>
                <w:rFonts w:ascii="Arial" w:cs="Arial" w:eastAsia="Arial" w:hAnsi="Arial"/>
                <w:sz w:val="14"/>
                <w:szCs w:val="14"/>
                <w:color w:val="auto"/>
              </w:rPr>
              <w:t>IST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(in</w:t>
            </w:r>
          </w:p>
        </w:tc>
        <w:tc>
          <w:tcPr>
            <w:tcW w:w="360" w:type="dxa"/>
            <w:vAlign w:val="bottom"/>
            <w:vMerge w:val="restart"/>
          </w:tcPr>
          <w:p>
            <w:pPr>
              <w:ind w:left="80"/>
              <w:spacing w:after="0"/>
              <w:rPr>
                <w:sz w:val="20"/>
                <w:szCs w:val="20"/>
                <w:color w:val="auto"/>
              </w:rPr>
            </w:pPr>
            <w:r>
              <w:rPr>
                <w:rFonts w:ascii="Arial" w:cs="Arial" w:eastAsia="Arial" w:hAnsi="Arial"/>
                <w:sz w:val="14"/>
                <w:szCs w:val="14"/>
                <w:color w:val="auto"/>
              </w:rPr>
              <w:t>Day</w:t>
            </w:r>
          </w:p>
        </w:tc>
        <w:tc>
          <w:tcPr>
            <w:tcW w:w="520" w:type="dxa"/>
            <w:vAlign w:val="bottom"/>
            <w:vMerge w:val="restart"/>
          </w:tcPr>
          <w:p>
            <w:pPr>
              <w:ind w:left="120"/>
              <w:spacing w:after="0"/>
              <w:rPr>
                <w:sz w:val="20"/>
                <w:szCs w:val="20"/>
                <w:color w:val="auto"/>
              </w:rPr>
            </w:pPr>
            <w:r>
              <w:rPr>
                <w:rFonts w:ascii="Arial" w:cs="Arial" w:eastAsia="Arial" w:hAnsi="Arial"/>
                <w:sz w:val="14"/>
                <w:szCs w:val="14"/>
                <w:color w:val="auto"/>
                <w:w w:val="93"/>
              </w:rPr>
              <w:t>Ahead</w:t>
            </w:r>
          </w:p>
        </w:tc>
        <w:tc>
          <w:tcPr>
            <w:tcW w:w="64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and/or</w:t>
            </w:r>
          </w:p>
        </w:tc>
        <w:tc>
          <w:tcPr>
            <w:tcW w:w="1580" w:type="dxa"/>
            <w:vAlign w:val="bottom"/>
            <w:vMerge w:val="restart"/>
          </w:tcPr>
          <w:p>
            <w:pPr>
              <w:ind w:left="100"/>
              <w:spacing w:after="0"/>
              <w:rPr>
                <w:sz w:val="20"/>
                <w:szCs w:val="20"/>
                <w:color w:val="auto"/>
              </w:rPr>
            </w:pPr>
            <w:r>
              <w:rPr>
                <w:rFonts w:ascii="Arial" w:cs="Arial" w:eastAsia="Arial" w:hAnsi="Arial"/>
                <w:sz w:val="14"/>
                <w:szCs w:val="14"/>
                <w:color w:val="auto"/>
              </w:rPr>
              <w:t>IST Quantities</w:t>
            </w:r>
            <w:r>
              <w:rPr>
                <w:rFonts w:ascii="Arial" w:cs="Arial" w:eastAsia="Arial" w:hAnsi="Arial"/>
                <w:sz w:val="22"/>
                <w:szCs w:val="22"/>
                <w:color w:val="auto"/>
                <w:vertAlign w:val="superscript"/>
              </w:rPr>
              <w:t>2</w:t>
            </w:r>
          </w:p>
        </w:tc>
        <w:tc>
          <w:tcPr>
            <w:tcW w:w="1840" w:type="dxa"/>
            <w:vAlign w:val="bottom"/>
            <w:vMerge w:val="restart"/>
          </w:tcPr>
          <w:p>
            <w:pPr>
              <w:jc w:val="center"/>
              <w:spacing w:after="0"/>
              <w:rPr>
                <w:sz w:val="20"/>
                <w:szCs w:val="20"/>
                <w:color w:val="auto"/>
              </w:rPr>
            </w:pPr>
            <w:r>
              <w:rPr>
                <w:rFonts w:ascii="Arial" w:cs="Arial" w:eastAsia="Arial" w:hAnsi="Arial"/>
                <w:sz w:val="14"/>
                <w:szCs w:val="14"/>
                <w:color w:val="auto"/>
                <w:w w:val="96"/>
              </w:rPr>
              <w:t>12/31/2013</w:t>
            </w:r>
          </w:p>
        </w:tc>
        <w:tc>
          <w:tcPr>
            <w:tcW w:w="0" w:type="dxa"/>
            <w:vAlign w:val="bottom"/>
          </w:tcPr>
          <w:p>
            <w:pPr>
              <w:spacing w:after="0"/>
              <w:rPr>
                <w:sz w:val="1"/>
                <w:szCs w:val="1"/>
                <w:color w:val="auto"/>
              </w:rPr>
            </w:pPr>
          </w:p>
        </w:tc>
      </w:tr>
      <w:tr>
        <w:trPr>
          <w:trHeight w:val="62"/>
        </w:trPr>
        <w:tc>
          <w:tcPr>
            <w:tcW w:w="1260" w:type="dxa"/>
            <w:vAlign w:val="bottom"/>
            <w:vMerge w:val="restart"/>
          </w:tcPr>
          <w:p>
            <w:pPr>
              <w:ind w:left="120"/>
              <w:spacing w:after="0" w:line="155" w:lineRule="exact"/>
              <w:rPr>
                <w:sz w:val="20"/>
                <w:szCs w:val="20"/>
                <w:color w:val="auto"/>
              </w:rPr>
            </w:pPr>
            <w:r>
              <w:rPr>
                <w:rFonts w:ascii="Arial" w:cs="Arial" w:eastAsia="Arial" w:hAnsi="Arial"/>
                <w:sz w:val="14"/>
                <w:szCs w:val="14"/>
                <w:color w:val="auto"/>
              </w:rPr>
              <w:t>PIRP</w:t>
            </w:r>
          </w:p>
        </w:tc>
        <w:tc>
          <w:tcPr>
            <w:tcW w:w="1420" w:type="dxa"/>
            <w:vAlign w:val="bottom"/>
            <w:vMerge w:val="restart"/>
          </w:tcPr>
          <w:p>
            <w:pPr>
              <w:ind w:left="60"/>
              <w:spacing w:after="0" w:line="155" w:lineRule="exact"/>
              <w:rPr>
                <w:sz w:val="20"/>
                <w:szCs w:val="20"/>
                <w:color w:val="auto"/>
              </w:rPr>
            </w:pPr>
            <w:r>
              <w:rPr>
                <w:rFonts w:ascii="Arial" w:cs="Arial" w:eastAsia="Arial" w:hAnsi="Arial"/>
                <w:sz w:val="14"/>
                <w:szCs w:val="14"/>
                <w:color w:val="auto"/>
              </w:rPr>
              <w:t>Cabazon,</w:t>
            </w:r>
          </w:p>
        </w:tc>
        <w:tc>
          <w:tcPr>
            <w:tcW w:w="44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26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560" w:type="dxa"/>
            <w:vAlign w:val="bottom"/>
            <w:gridSpan w:val="4"/>
            <w:vMerge w:val="restart"/>
          </w:tcPr>
          <w:p>
            <w:pPr>
              <w:ind w:left="100"/>
              <w:spacing w:after="0" w:line="218" w:lineRule="exact"/>
              <w:rPr>
                <w:sz w:val="20"/>
                <w:szCs w:val="20"/>
                <w:color w:val="auto"/>
              </w:rPr>
            </w:pPr>
            <w:r>
              <w:rPr>
                <w:rFonts w:ascii="Arial" w:cs="Arial" w:eastAsia="Arial" w:hAnsi="Arial"/>
                <w:sz w:val="14"/>
                <w:szCs w:val="14"/>
                <w:color w:val="auto"/>
              </w:rPr>
              <w:t>HASP) at P-node</w:t>
            </w:r>
            <w:r>
              <w:rPr>
                <w:rFonts w:ascii="Arial" w:cs="Arial" w:eastAsia="Arial" w:hAnsi="Arial"/>
                <w:sz w:val="22"/>
                <w:szCs w:val="22"/>
                <w:color w:val="auto"/>
                <w:vertAlign w:val="superscript"/>
              </w:rPr>
              <w:t>3</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1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1260" w:type="dxa"/>
            <w:vAlign w:val="bottom"/>
          </w:tcPr>
          <w:p>
            <w:pPr>
              <w:spacing w:after="0"/>
              <w:rPr>
                <w:sz w:val="10"/>
                <w:szCs w:val="10"/>
                <w:color w:val="auto"/>
              </w:rPr>
            </w:pPr>
          </w:p>
        </w:tc>
        <w:tc>
          <w:tcPr>
            <w:tcW w:w="1420" w:type="dxa"/>
            <w:vAlign w:val="bottom"/>
            <w:vMerge w:val="restart"/>
          </w:tcPr>
          <w:p>
            <w:pPr>
              <w:ind w:left="60"/>
              <w:spacing w:after="0"/>
              <w:rPr>
                <w:sz w:val="20"/>
                <w:szCs w:val="20"/>
                <w:color w:val="auto"/>
              </w:rPr>
            </w:pPr>
            <w:r>
              <w:rPr>
                <w:rFonts w:ascii="Arial" w:cs="Arial" w:eastAsia="Arial" w:hAnsi="Arial"/>
                <w:sz w:val="14"/>
                <w:szCs w:val="14"/>
                <w:color w:val="auto"/>
              </w:rPr>
              <w:t>Whitewater Hill</w:t>
            </w:r>
          </w:p>
        </w:tc>
        <w:tc>
          <w:tcPr>
            <w:tcW w:w="1560" w:type="dxa"/>
            <w:vAlign w:val="bottom"/>
            <w:gridSpan w:val="4"/>
            <w:vMerge w:val="continue"/>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26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-1829435</wp:posOffset>
            </wp:positionV>
            <wp:extent cx="5273675" cy="18345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73675" cy="1834515"/>
                    </a:xfrm>
                    <a:prstGeom prst="rect">
                      <a:avLst/>
                    </a:prstGeom>
                    <a:noFill/>
                  </pic:spPr>
                </pic:pic>
              </a:graphicData>
            </a:graphic>
          </wp:anchor>
        </w:drawing>
      </w:r>
    </w:p>
    <w:p>
      <w:pPr>
        <w:ind w:left="380" w:hanging="129"/>
        <w:spacing w:after="0" w:line="188" w:lineRule="auto"/>
        <w:tabs>
          <w:tab w:leader="none" w:pos="380" w:val="left"/>
        </w:tabs>
        <w:numPr>
          <w:ilvl w:val="0"/>
          <w:numId w:val="79"/>
        </w:numPr>
        <w:rPr>
          <w:rFonts w:ascii="Arial" w:cs="Arial" w:eastAsia="Arial" w:hAnsi="Arial"/>
          <w:sz w:val="26"/>
          <w:szCs w:val="26"/>
          <w:color w:val="auto"/>
          <w:vertAlign w:val="superscript"/>
        </w:rPr>
      </w:pPr>
      <w:r>
        <w:rPr>
          <w:rFonts w:ascii="Arial" w:cs="Arial" w:eastAsia="Arial" w:hAnsi="Arial"/>
          <w:sz w:val="16"/>
          <w:szCs w:val="16"/>
          <w:color w:val="auto"/>
        </w:rPr>
        <w:t>IOU-SC will retain market revenues/charges.</w:t>
      </w:r>
    </w:p>
    <w:p>
      <w:pPr>
        <w:spacing w:after="0" w:line="30" w:lineRule="exact"/>
        <w:rPr>
          <w:rFonts w:ascii="Arial" w:cs="Arial" w:eastAsia="Arial" w:hAnsi="Arial"/>
          <w:sz w:val="26"/>
          <w:szCs w:val="26"/>
          <w:color w:val="auto"/>
          <w:vertAlign w:val="superscript"/>
        </w:rPr>
      </w:pPr>
    </w:p>
    <w:p>
      <w:pPr>
        <w:ind w:left="260"/>
        <w:spacing w:after="0" w:line="182"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2</w:t>
      </w:r>
      <w:r>
        <w:rPr>
          <w:rFonts w:ascii="Arial" w:cs="Arial" w:eastAsia="Arial" w:hAnsi="Arial"/>
          <w:sz w:val="16"/>
          <w:szCs w:val="16"/>
          <w:color w:val="auto"/>
        </w:rPr>
        <w:t xml:space="preserve"> IST quantities include CPT quantities, if any.</w:t>
      </w:r>
    </w:p>
    <w:p>
      <w:pPr>
        <w:ind w:left="260"/>
        <w:spacing w:after="0" w:line="182"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3</w:t>
      </w:r>
      <w:r>
        <w:rPr>
          <w:rFonts w:ascii="Arial" w:cs="Arial" w:eastAsia="Arial" w:hAnsi="Arial"/>
          <w:sz w:val="16"/>
          <w:szCs w:val="16"/>
          <w:color w:val="auto"/>
        </w:rPr>
        <w:t xml:space="preserve"> IOU will schedule PIRP units according to PIRP requirements.</w:t>
      </w:r>
    </w:p>
    <w:p>
      <w:pPr>
        <w:ind w:left="260"/>
        <w:spacing w:after="0" w:line="180" w:lineRule="auto"/>
        <w:rPr>
          <w:rFonts w:ascii="Arial" w:cs="Arial" w:eastAsia="Arial" w:hAnsi="Arial"/>
          <w:sz w:val="26"/>
          <w:szCs w:val="26"/>
          <w:color w:val="auto"/>
          <w:vertAlign w:val="superscript"/>
        </w:rPr>
      </w:pPr>
      <w:r>
        <w:rPr>
          <w:rFonts w:ascii="Arial" w:cs="Arial" w:eastAsia="Arial" w:hAnsi="Arial"/>
          <w:sz w:val="22"/>
          <w:szCs w:val="22"/>
          <w:color w:val="auto"/>
          <w:vertAlign w:val="superscript"/>
        </w:rPr>
        <w:t>4</w:t>
      </w:r>
      <w:r>
        <w:rPr>
          <w:rFonts w:ascii="Arial" w:cs="Arial" w:eastAsia="Arial" w:hAnsi="Arial"/>
          <w:sz w:val="14"/>
          <w:szCs w:val="14"/>
          <w:color w:val="auto"/>
        </w:rPr>
        <w:t xml:space="preserve"> Market Revenues generated by Bid awards will be paid to DWR by the counterparty.</w:t>
      </w:r>
    </w:p>
    <w:p>
      <w:pPr>
        <w:spacing w:after="0" w:line="38" w:lineRule="exact"/>
        <w:rPr>
          <w:sz w:val="20"/>
          <w:szCs w:val="20"/>
          <w:color w:val="auto"/>
        </w:rPr>
      </w:pPr>
    </w:p>
    <w:p>
      <w:pPr>
        <w:jc w:val="both"/>
        <w:ind w:left="260" w:right="4699" w:hanging="9"/>
        <w:spacing w:after="0" w:line="190" w:lineRule="auto"/>
        <w:tabs>
          <w:tab w:leader="none" w:pos="382" w:val="left"/>
        </w:tabs>
        <w:numPr>
          <w:ilvl w:val="0"/>
          <w:numId w:val="80"/>
        </w:numPr>
        <w:rPr>
          <w:rFonts w:ascii="Arial" w:cs="Arial" w:eastAsia="Arial" w:hAnsi="Arial"/>
          <w:sz w:val="26"/>
          <w:szCs w:val="26"/>
          <w:color w:val="auto"/>
          <w:vertAlign w:val="superscript"/>
        </w:rPr>
      </w:pPr>
      <w:r>
        <w:rPr>
          <w:rFonts w:ascii="Arial" w:cs="Arial" w:eastAsia="Arial" w:hAnsi="Arial"/>
          <w:sz w:val="16"/>
          <w:szCs w:val="16"/>
          <w:color w:val="auto"/>
        </w:rPr>
        <w:t>A schedule reduction in HASP can only be accomplished by DEC bids. * Effective April 1, 2010, SDG&amp;E became the SC for Calpeak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S-1-</w:t>
      </w:r>
    </w:p>
    <w:p>
      <w:pPr>
        <w:sectPr>
          <w:pgSz w:w="11900" w:h="16838" w:orient="portrait"/>
          <w:cols w:equalWidth="0" w:num="1">
            <w:col w:w="10239"/>
          </w:cols>
          <w:pgMar w:left="220" w:top="1095" w:right="1440" w:bottom="1440" w:gutter="0" w:footer="0" w:header="0"/>
        </w:sectPr>
      </w:pPr>
    </w:p>
    <w:bookmarkStart w:id="75" w:name="page76"/>
    <w:bookmarkEnd w:id="75"/>
    <w:p>
      <w:pPr>
        <w:jc w:val="center"/>
        <w:ind w:right="1220"/>
        <w:spacing w:after="0"/>
        <w:rPr>
          <w:sz w:val="20"/>
          <w:szCs w:val="20"/>
          <w:color w:val="auto"/>
        </w:rPr>
      </w:pPr>
      <w:r>
        <w:rPr>
          <w:rFonts w:ascii="Arial" w:cs="Arial" w:eastAsia="Arial" w:hAnsi="Arial"/>
          <w:sz w:val="17"/>
          <w:szCs w:val="17"/>
          <w:color w:val="auto"/>
        </w:rPr>
        <w:t>Schedule 2</w:t>
      </w:r>
    </w:p>
    <w:p>
      <w:pPr>
        <w:spacing w:after="0" w:line="152"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REPRESENTATIVES AND CONTACTS</w:t>
      </w:r>
    </w:p>
    <w:p>
      <w:pPr>
        <w:spacing w:after="0" w:line="200" w:lineRule="exact"/>
        <w:rPr>
          <w:sz w:val="20"/>
          <w:szCs w:val="20"/>
          <w:color w:val="auto"/>
        </w:rPr>
      </w:pPr>
    </w:p>
    <w:p>
      <w:pPr>
        <w:spacing w:after="0" w:line="31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San Diego Gas &amp; Electric Company</w:t>
      </w:r>
    </w:p>
    <w:p>
      <w:pPr>
        <w:ind w:left="900"/>
        <w:spacing w:after="0" w:line="234" w:lineRule="auto"/>
        <w:rPr>
          <w:sz w:val="20"/>
          <w:szCs w:val="20"/>
          <w:color w:val="auto"/>
        </w:rPr>
      </w:pPr>
      <w:r>
        <w:rPr>
          <w:rFonts w:ascii="Arial" w:cs="Arial" w:eastAsia="Arial" w:hAnsi="Arial"/>
          <w:sz w:val="17"/>
          <w:szCs w:val="17"/>
          <w:color w:val="auto"/>
        </w:rPr>
        <w:t>Electric and Fuel Procurement</w:t>
      </w:r>
    </w:p>
    <w:p>
      <w:pPr>
        <w:ind w:left="900"/>
        <w:spacing w:after="0" w:line="228" w:lineRule="auto"/>
        <w:rPr>
          <w:sz w:val="20"/>
          <w:szCs w:val="20"/>
          <w:color w:val="auto"/>
        </w:rPr>
      </w:pPr>
      <w:r>
        <w:rPr>
          <w:rFonts w:ascii="Arial" w:cs="Arial" w:eastAsia="Arial" w:hAnsi="Arial"/>
          <w:sz w:val="17"/>
          <w:szCs w:val="17"/>
          <w:color w:val="auto"/>
        </w:rPr>
        <w:t>8315 Century Park Court</w:t>
      </w:r>
    </w:p>
    <w:p>
      <w:pPr>
        <w:ind w:left="900"/>
        <w:spacing w:after="0"/>
        <w:rPr>
          <w:sz w:val="20"/>
          <w:szCs w:val="20"/>
          <w:color w:val="auto"/>
        </w:rPr>
      </w:pPr>
      <w:r>
        <w:rPr>
          <w:rFonts w:ascii="Arial" w:cs="Arial" w:eastAsia="Arial" w:hAnsi="Arial"/>
          <w:sz w:val="17"/>
          <w:szCs w:val="17"/>
          <w:color w:val="auto"/>
        </w:rPr>
        <w:t>San Diego, California 92123</w:t>
      </w:r>
    </w:p>
    <w:p>
      <w:pPr>
        <w:spacing w:after="0" w:line="14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Michael Strong</w:t>
      </w:r>
    </w:p>
    <w:p>
      <w:pPr>
        <w:ind w:left="900"/>
        <w:spacing w:after="0" w:line="234" w:lineRule="auto"/>
        <w:rPr>
          <w:sz w:val="20"/>
          <w:szCs w:val="20"/>
          <w:color w:val="auto"/>
        </w:rPr>
      </w:pPr>
      <w:r>
        <w:rPr>
          <w:rFonts w:ascii="Arial" w:cs="Arial" w:eastAsia="Arial" w:hAnsi="Arial"/>
          <w:sz w:val="17"/>
          <w:szCs w:val="17"/>
          <w:color w:val="auto"/>
        </w:rPr>
        <w:t>Manager - Settlements &amp; Systems</w:t>
      </w:r>
    </w:p>
    <w:p>
      <w:pPr>
        <w:ind w:left="900"/>
        <w:spacing w:after="0" w:line="228" w:lineRule="auto"/>
        <w:rPr>
          <w:sz w:val="20"/>
          <w:szCs w:val="20"/>
          <w:color w:val="auto"/>
        </w:rPr>
      </w:pPr>
      <w:r>
        <w:rPr>
          <w:rFonts w:ascii="Arial" w:cs="Arial" w:eastAsia="Arial" w:hAnsi="Arial"/>
          <w:sz w:val="17"/>
          <w:szCs w:val="17"/>
          <w:color w:val="auto"/>
        </w:rPr>
        <w:t>Telephone: (858) 650-6154</w:t>
      </w:r>
    </w:p>
    <w:p>
      <w:pPr>
        <w:ind w:left="900"/>
        <w:spacing w:after="0" w:line="228" w:lineRule="auto"/>
        <w:rPr>
          <w:sz w:val="20"/>
          <w:szCs w:val="20"/>
          <w:color w:val="auto"/>
        </w:rPr>
      </w:pPr>
      <w:r>
        <w:rPr>
          <w:rFonts w:ascii="Arial" w:cs="Arial" w:eastAsia="Arial" w:hAnsi="Arial"/>
          <w:sz w:val="17"/>
          <w:szCs w:val="17"/>
          <w:color w:val="auto"/>
        </w:rPr>
        <w:t>Facsimile: (858) 650-6190</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Email: mgstrong@semprautilities.com</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Alternate Contact:</w:t>
      </w:r>
    </w:p>
    <w:p>
      <w:pPr>
        <w:spacing w:after="0" w:line="15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Sue Garcia</w:t>
      </w:r>
    </w:p>
    <w:p>
      <w:pPr>
        <w:ind w:left="900"/>
        <w:spacing w:after="0" w:line="234" w:lineRule="auto"/>
        <w:rPr>
          <w:sz w:val="20"/>
          <w:szCs w:val="20"/>
          <w:color w:val="auto"/>
        </w:rPr>
      </w:pPr>
      <w:r>
        <w:rPr>
          <w:rFonts w:ascii="Arial" w:cs="Arial" w:eastAsia="Arial" w:hAnsi="Arial"/>
          <w:sz w:val="17"/>
          <w:szCs w:val="17"/>
          <w:color w:val="auto"/>
        </w:rPr>
        <w:t>Settlements &amp; Administration Manager</w:t>
      </w:r>
    </w:p>
    <w:p>
      <w:pPr>
        <w:ind w:left="900"/>
        <w:spacing w:after="0" w:line="228" w:lineRule="auto"/>
        <w:rPr>
          <w:sz w:val="20"/>
          <w:szCs w:val="20"/>
          <w:color w:val="auto"/>
        </w:rPr>
      </w:pPr>
      <w:r>
        <w:rPr>
          <w:rFonts w:ascii="Arial" w:cs="Arial" w:eastAsia="Arial" w:hAnsi="Arial"/>
          <w:sz w:val="17"/>
          <w:szCs w:val="17"/>
          <w:color w:val="auto"/>
        </w:rPr>
        <w:t>Telephone: (858) 650-6189</w:t>
      </w:r>
    </w:p>
    <w:p>
      <w:pPr>
        <w:ind w:left="900"/>
        <w:spacing w:after="0" w:line="228" w:lineRule="auto"/>
        <w:rPr>
          <w:sz w:val="20"/>
          <w:szCs w:val="20"/>
          <w:color w:val="auto"/>
        </w:rPr>
      </w:pPr>
      <w:r>
        <w:rPr>
          <w:rFonts w:ascii="Arial" w:cs="Arial" w:eastAsia="Arial" w:hAnsi="Arial"/>
          <w:sz w:val="17"/>
          <w:szCs w:val="17"/>
          <w:color w:val="auto"/>
        </w:rPr>
        <w:t>Facsimile: (858) 650-6190</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Email: sgarcia@semprautilities.com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S-2-</w:t>
      </w:r>
    </w:p>
    <w:p>
      <w:pPr>
        <w:spacing w:after="0" w:line="36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8/23/2010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DWR/SDG&amp;E EXHIBIT A</w:t>
      </w:r>
    </w:p>
    <w:p>
      <w:pPr>
        <w:spacing w:after="0" w:line="156"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OPERATING PROTOCOLS</w:t>
      </w:r>
    </w:p>
    <w:p>
      <w:pPr>
        <w:sectPr>
          <w:pgSz w:w="11900" w:h="16838" w:orient="portrait"/>
          <w:cols w:equalWidth="0" w:num="1">
            <w:col w:w="10240"/>
          </w:cols>
          <w:pgMar w:left="1440" w:top="681" w:right="219" w:bottom="1440" w:gutter="0" w:footer="0" w:header="0"/>
        </w:sectPr>
      </w:pPr>
    </w:p>
    <w:bookmarkStart w:id="76" w:name="page77"/>
    <w:bookmarkEnd w:id="76"/>
    <w:p>
      <w:pPr>
        <w:jc w:val="center"/>
        <w:spacing w:after="0"/>
        <w:rPr>
          <w:sz w:val="20"/>
          <w:szCs w:val="20"/>
          <w:color w:val="auto"/>
        </w:rPr>
      </w:pPr>
      <w:r>
        <w:rPr>
          <w:rFonts w:ascii="Arial" w:cs="Arial" w:eastAsia="Arial" w:hAnsi="Arial"/>
          <w:sz w:val="17"/>
          <w:szCs w:val="17"/>
          <w:b w:val="1"/>
          <w:bCs w:val="1"/>
          <w:color w:val="auto"/>
        </w:rPr>
        <w:t>EXHIBIT A</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OPERATING PROTOCOLS</w:t>
      </w:r>
    </w:p>
    <w:p>
      <w:pPr>
        <w:spacing w:after="0" w:line="160"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Pursuant to Section 4.01 of the Operating Order, on behalf of DWR as its limited agent, Utility shall perform the day-to-day scheduling and dispatch functions, including day-ahead, hour-ahead and real-time trading, scheduling of transactions with all involved parties, making surplus energy sales (prior to the MRTU Effective Date) and obtaining relevant information for these functions such as transmission availability and others, with respect to the Allocated Contracts set forth in Schedule 1 to the Operating Order, all as more specifically provided below and in compliance with the provisions of each of the Contracts:</w:t>
      </w:r>
    </w:p>
    <w:p>
      <w:pPr>
        <w:spacing w:after="0" w:line="123" w:lineRule="exact"/>
        <w:rPr>
          <w:sz w:val="20"/>
          <w:szCs w:val="20"/>
          <w:color w:val="auto"/>
        </w:rPr>
      </w:pPr>
    </w:p>
    <w:p>
      <w:pPr>
        <w:ind w:left="500" w:right="40" w:hanging="497"/>
        <w:spacing w:after="0" w:line="250" w:lineRule="auto"/>
        <w:tabs>
          <w:tab w:leader="none" w:pos="500"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Resource Commitment and Dispatch</w:t>
      </w:r>
      <w:r>
        <w:rPr>
          <w:rFonts w:ascii="Arial" w:cs="Arial" w:eastAsia="Arial" w:hAnsi="Arial"/>
          <w:sz w:val="16"/>
          <w:szCs w:val="16"/>
          <w:color w:val="auto"/>
        </w:rPr>
        <w:t>. Utility agrees to use good faith efforts to dispatch Allocated Contracts, based on the principle of “least cost dispatch” to retail customers, consistent with the Contract Allocation Order and other Applicable Commission Orders. Utility shall undertake these least cost dispatch functions both of the Contracts and its URG so as to minimize the cost of service to retail customers based on circumstances known or that reasonably could have been known by Utility at the time dispatch decisions are made. DWR shall have no role in enforcement or review of Utility least cost dispatch under the Operating Order and all issues of Utility compliance with least cost dispatch shall be within the sole review of the Commission.</w:t>
      </w:r>
    </w:p>
    <w:p>
      <w:pPr>
        <w:spacing w:after="0" w:line="137" w:lineRule="exact"/>
        <w:rPr>
          <w:rFonts w:ascii="Arial" w:cs="Arial" w:eastAsia="Arial" w:hAnsi="Arial"/>
          <w:sz w:val="16"/>
          <w:szCs w:val="16"/>
          <w:color w:val="auto"/>
        </w:rPr>
      </w:pPr>
    </w:p>
    <w:p>
      <w:pPr>
        <w:ind w:left="1000" w:right="260" w:hanging="501"/>
        <w:spacing w:after="0" w:line="235" w:lineRule="auto"/>
        <w:tabs>
          <w:tab w:leader="none" w:pos="1000"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Annual, Quarterly and Weekly Load and Resource Assessment Studies</w:t>
      </w:r>
      <w:r>
        <w:rPr>
          <w:rFonts w:ascii="Arial" w:cs="Arial" w:eastAsia="Arial" w:hAnsi="Arial"/>
          <w:sz w:val="17"/>
          <w:szCs w:val="17"/>
          <w:color w:val="auto"/>
        </w:rPr>
        <w:t>. Utility shall provide to DWR copies of its annual and quarterly load and resource assessment studies. Provided that Utility submits substantially the same information to the Commission, copies of the Commission submission will be simultaneously sent to DWR to satisfy requirements of this section. In addition, Utility will provide a weekly commitment and dispatch plan for informational purposes to DWR in the same form that such plan is used internally.</w:t>
      </w:r>
    </w:p>
    <w:p>
      <w:pPr>
        <w:spacing w:after="0" w:line="133" w:lineRule="exact"/>
        <w:rPr>
          <w:rFonts w:ascii="Arial" w:cs="Arial" w:eastAsia="Arial" w:hAnsi="Arial"/>
          <w:sz w:val="17"/>
          <w:szCs w:val="17"/>
          <w:color w:val="auto"/>
        </w:rPr>
      </w:pPr>
    </w:p>
    <w:p>
      <w:pPr>
        <w:ind w:left="1000" w:hanging="501"/>
        <w:spacing w:after="0"/>
        <w:tabs>
          <w:tab w:leader="none" w:pos="1000"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Scheduling Protocols</w:t>
      </w:r>
      <w:r>
        <w:rPr>
          <w:rFonts w:ascii="Arial" w:cs="Arial" w:eastAsia="Arial" w:hAnsi="Arial"/>
          <w:sz w:val="17"/>
          <w:szCs w:val="17"/>
          <w:color w:val="auto"/>
        </w:rPr>
        <w:t>.</w:t>
      </w:r>
    </w:p>
    <w:p>
      <w:pPr>
        <w:spacing w:after="0" w:line="145" w:lineRule="exact"/>
        <w:rPr>
          <w:rFonts w:ascii="Arial" w:cs="Arial" w:eastAsia="Arial" w:hAnsi="Arial"/>
          <w:sz w:val="17"/>
          <w:szCs w:val="17"/>
          <w:color w:val="auto"/>
        </w:rPr>
      </w:pPr>
    </w:p>
    <w:p>
      <w:pPr>
        <w:ind w:left="1240" w:right="40" w:hanging="245"/>
        <w:spacing w:after="0" w:line="253" w:lineRule="auto"/>
        <w:tabs>
          <w:tab w:leader="none" w:pos="1240" w:val="left"/>
        </w:tabs>
        <w:numPr>
          <w:ilvl w:val="2"/>
          <w:numId w:val="81"/>
        </w:numPr>
        <w:rPr>
          <w:rFonts w:ascii="Arial" w:cs="Arial" w:eastAsia="Arial" w:hAnsi="Arial"/>
          <w:sz w:val="16"/>
          <w:szCs w:val="16"/>
          <w:color w:val="auto"/>
        </w:rPr>
      </w:pPr>
      <w:r>
        <w:rPr>
          <w:rFonts w:ascii="Arial" w:cs="Arial" w:eastAsia="Arial" w:hAnsi="Arial"/>
          <w:sz w:val="16"/>
          <w:szCs w:val="16"/>
          <w:color w:val="auto"/>
        </w:rPr>
        <w:t>DWR is responsible for notifying the counter-party to each of the Allocated Contracts that scheduling under the Allocated Contracts will be performed by Utility before the first day that schedules are due to be submitted by Utility. DWR is responsible for notifying Utility of any changes to the Allocated Contracts that it has negotiated, including changes to the scheduling terms. DWR agrees to provide such notice as soon as possible following the negotiation of any changed provisions and in any case prior to the time that any changed provisions become effective.</w:t>
      </w:r>
    </w:p>
    <w:p>
      <w:pPr>
        <w:spacing w:after="0" w:line="133" w:lineRule="exact"/>
        <w:rPr>
          <w:rFonts w:ascii="Arial" w:cs="Arial" w:eastAsia="Arial" w:hAnsi="Arial"/>
          <w:sz w:val="16"/>
          <w:szCs w:val="16"/>
          <w:color w:val="auto"/>
        </w:rPr>
      </w:pPr>
    </w:p>
    <w:p>
      <w:pPr>
        <w:ind w:left="1240" w:hanging="245"/>
        <w:spacing w:after="0" w:line="245" w:lineRule="auto"/>
        <w:tabs>
          <w:tab w:leader="none" w:pos="1240" w:val="left"/>
        </w:tabs>
        <w:numPr>
          <w:ilvl w:val="2"/>
          <w:numId w:val="81"/>
        </w:numPr>
        <w:rPr>
          <w:rFonts w:ascii="Arial" w:cs="Arial" w:eastAsia="Arial" w:hAnsi="Arial"/>
          <w:sz w:val="17"/>
          <w:szCs w:val="17"/>
          <w:color w:val="auto"/>
        </w:rPr>
      </w:pPr>
      <w:r>
        <w:rPr>
          <w:rFonts w:ascii="Arial" w:cs="Arial" w:eastAsia="Arial" w:hAnsi="Arial"/>
          <w:sz w:val="17"/>
          <w:szCs w:val="17"/>
          <w:color w:val="auto"/>
        </w:rPr>
        <w:t>Utility agrees to schedule Contracts in accordance with their terms and in accordance with the requirements of the Control Area operator or operators with whom the Contract must be scheduled to provide for power delivery.</w:t>
      </w:r>
    </w:p>
    <w:p>
      <w:pPr>
        <w:spacing w:after="0" w:line="128" w:lineRule="exact"/>
        <w:rPr>
          <w:sz w:val="20"/>
          <w:szCs w:val="20"/>
          <w:color w:val="auto"/>
        </w:rPr>
      </w:pPr>
    </w:p>
    <w:p>
      <w:pPr>
        <w:ind w:left="500" w:right="180" w:hanging="497"/>
        <w:spacing w:after="0" w:line="235" w:lineRule="auto"/>
        <w:tabs>
          <w:tab w:leader="none" w:pos="500"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ISO Ancillary Service (AS) Market</w:t>
      </w:r>
      <w:r>
        <w:rPr>
          <w:rFonts w:ascii="Arial" w:cs="Arial" w:eastAsia="Arial" w:hAnsi="Arial"/>
          <w:sz w:val="17"/>
          <w:szCs w:val="17"/>
          <w:color w:val="auto"/>
        </w:rPr>
        <w:t>. Among the Contracts are resources that are or may be qualified to be bid into the ISO’s Ancillary Services (“AS”) market or that Utility may use in its self-provision of AS. Utility is authorized to develop protocols and procedures for the use of DWR resources for AS. Utility shall, upon DWR’s request, provide to DWR such information concerning Utility’s intended use of DWR resources for AS as DWR may reasonably request for planning and revenue requirement purposes.</w:t>
      </w:r>
    </w:p>
    <w:p>
      <w:pPr>
        <w:spacing w:after="0" w:line="134" w:lineRule="exact"/>
        <w:rPr>
          <w:sz w:val="20"/>
          <w:szCs w:val="20"/>
          <w:color w:val="auto"/>
        </w:rPr>
      </w:pPr>
    </w:p>
    <w:p>
      <w:pPr>
        <w:ind w:left="500" w:right="160" w:hanging="497"/>
        <w:spacing w:after="0" w:line="245" w:lineRule="auto"/>
        <w:tabs>
          <w:tab w:leader="none" w:pos="500"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Surplus Energy Sales and Energy Exchanges - Prior to MRTU Effective Date</w:t>
      </w:r>
      <w:r>
        <w:rPr>
          <w:rFonts w:ascii="Arial" w:cs="Arial" w:eastAsia="Arial" w:hAnsi="Arial"/>
          <w:sz w:val="17"/>
          <w:szCs w:val="17"/>
          <w:color w:val="auto"/>
        </w:rPr>
        <w:t>. The provisions set forth under this Section III shall be applicable prior to the MRTU Effective Date.</w:t>
      </w:r>
    </w:p>
    <w:p>
      <w:pPr>
        <w:spacing w:after="0" w:line="138" w:lineRule="exact"/>
        <w:rPr>
          <w:rFonts w:ascii="Arial" w:cs="Arial" w:eastAsia="Arial" w:hAnsi="Arial"/>
          <w:sz w:val="17"/>
          <w:szCs w:val="17"/>
          <w:color w:val="auto"/>
        </w:rPr>
      </w:pPr>
    </w:p>
    <w:p>
      <w:pPr>
        <w:ind w:left="1000" w:right="140" w:hanging="501"/>
        <w:spacing w:after="0" w:line="234" w:lineRule="auto"/>
        <w:tabs>
          <w:tab w:leader="none" w:pos="1000" w:val="left"/>
        </w:tabs>
        <w:numPr>
          <w:ilvl w:val="1"/>
          <w:numId w:val="83"/>
        </w:numPr>
        <w:rPr>
          <w:rFonts w:ascii="Arial" w:cs="Arial" w:eastAsia="Arial" w:hAnsi="Arial"/>
          <w:sz w:val="17"/>
          <w:szCs w:val="17"/>
          <w:color w:val="auto"/>
        </w:rPr>
      </w:pPr>
      <w:r>
        <w:rPr>
          <w:rFonts w:ascii="Arial" w:cs="Arial" w:eastAsia="Arial" w:hAnsi="Arial"/>
          <w:sz w:val="17"/>
          <w:szCs w:val="17"/>
          <w:u w:val="single" w:color="auto"/>
          <w:color w:val="auto"/>
        </w:rPr>
        <w:t>Over-generation</w:t>
      </w:r>
      <w:r>
        <w:rPr>
          <w:rFonts w:ascii="Arial" w:cs="Arial" w:eastAsia="Arial" w:hAnsi="Arial"/>
          <w:sz w:val="17"/>
          <w:szCs w:val="17"/>
          <w:color w:val="auto"/>
        </w:rPr>
        <w:t>. If the ISO announces an over-generation situation Utility will back down resources in accordance with the ISO tariff and Good Utility Practice. In order to reduce the need for physical curtailment in over-generation situations, DWR and Utility shall develop pay for curtailment protocols and procedures that will enable Utility to instruct a must-take resource not to deliver energy under specified conditions. The costs and charges associated with mitigation of an over-generation situation shall be allocated among the Parties on a pro-rata basis consistent with the surplus sales allocation principles set forth in Exhibit C.</w:t>
      </w:r>
    </w:p>
    <w:p>
      <w:pPr>
        <w:spacing w:after="0" w:line="132" w:lineRule="exact"/>
        <w:rPr>
          <w:rFonts w:ascii="Arial" w:cs="Arial" w:eastAsia="Arial" w:hAnsi="Arial"/>
          <w:sz w:val="17"/>
          <w:szCs w:val="17"/>
          <w:color w:val="auto"/>
        </w:rPr>
      </w:pPr>
    </w:p>
    <w:p>
      <w:pPr>
        <w:ind w:left="1000" w:right="260" w:hanging="501"/>
        <w:spacing w:after="0" w:line="245" w:lineRule="auto"/>
        <w:tabs>
          <w:tab w:leader="none" w:pos="1000" w:val="left"/>
        </w:tabs>
        <w:numPr>
          <w:ilvl w:val="1"/>
          <w:numId w:val="83"/>
        </w:numPr>
        <w:rPr>
          <w:rFonts w:ascii="Arial" w:cs="Arial" w:eastAsia="Arial" w:hAnsi="Arial"/>
          <w:sz w:val="17"/>
          <w:szCs w:val="17"/>
          <w:color w:val="auto"/>
        </w:rPr>
      </w:pPr>
      <w:r>
        <w:rPr>
          <w:rFonts w:ascii="Arial" w:cs="Arial" w:eastAsia="Arial" w:hAnsi="Arial"/>
          <w:sz w:val="17"/>
          <w:szCs w:val="17"/>
          <w:u w:val="single" w:color="auto"/>
          <w:color w:val="auto"/>
        </w:rPr>
        <w:t>Energy Exchange Arrangements</w:t>
      </w:r>
      <w:r>
        <w:rPr>
          <w:rFonts w:ascii="Arial" w:cs="Arial" w:eastAsia="Arial" w:hAnsi="Arial"/>
          <w:sz w:val="17"/>
          <w:szCs w:val="17"/>
          <w:color w:val="auto"/>
        </w:rPr>
        <w:t>. Existing non-DWR/CERS exchanges and those that might be transacted post-2002, will be considered URG exchanges. The accounting of energy necessary to support energy exchanges is addressed in Exhibit C.</w:t>
      </w:r>
    </w:p>
    <w:p>
      <w:pPr>
        <w:spacing w:after="0" w:line="128" w:lineRule="exact"/>
        <w:rPr>
          <w:rFonts w:ascii="Arial" w:cs="Arial" w:eastAsia="Arial" w:hAnsi="Arial"/>
          <w:sz w:val="17"/>
          <w:szCs w:val="17"/>
          <w:color w:val="auto"/>
        </w:rPr>
      </w:pPr>
    </w:p>
    <w:p>
      <w:pPr>
        <w:ind w:left="1000" w:right="120" w:hanging="501"/>
        <w:spacing w:after="0" w:line="246" w:lineRule="auto"/>
        <w:tabs>
          <w:tab w:leader="none" w:pos="1000"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Surplus Energy Sales Arrangement.</w:t>
      </w:r>
      <w:r>
        <w:rPr>
          <w:rFonts w:ascii="Arial" w:cs="Arial" w:eastAsia="Arial" w:hAnsi="Arial"/>
          <w:sz w:val="16"/>
          <w:szCs w:val="16"/>
          <w:color w:val="auto"/>
        </w:rPr>
        <w:t xml:space="preserve"> Utility shall on a monthly basis prepare a sales plan addressing all surplus sales, including without limitation sales to manage over-generation, contemplated by the Utility for review by DWR. Such plan shall address sales of power from the combined portfolio of URG resources and Contracts, which will be administered by Utility on its own behalf and acting as DWR’s limited agent. As specified in Section 2.02 of the Operating Order, Utility shall pursue surplus sales in a fashion reasonably designed to serve the overall best interests of retail electric customers based on information known or could have been known by Utility at the time. Utility agrees to include sufficient details in the sales plans to allow DWR to satisfy its financial management and reporting requirements. To the extent there is surplus power uncommitted to a forward energy surplus sales transaction, Utility shall be required to bid such surplus energy in the day-ahead, hour-ahead or real-time market. Utility shall arrange for transmission service to accommodate surplus sales to the extent that transmission service is available and cost effective. The costs of transmission service, ISO charges and the costs of firm transmission rights associated with such surplus energy sales transactions shall be treated in accordance with the Settlement Principles for Remittances and Surplus Revenues attached hereto as Exhibit C.</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 w:type="dxa"/>
            <w:vAlign w:val="bottom"/>
          </w:tcPr>
          <w:p>
            <w:pPr>
              <w:spacing w:after="0"/>
              <w:rPr>
                <w:sz w:val="20"/>
                <w:szCs w:val="20"/>
                <w:color w:val="auto"/>
              </w:rPr>
            </w:pPr>
            <w:r>
              <w:rPr>
                <w:rFonts w:ascii="Arial" w:cs="Arial" w:eastAsia="Arial" w:hAnsi="Arial"/>
                <w:sz w:val="17"/>
                <w:szCs w:val="17"/>
                <w:color w:val="auto"/>
              </w:rPr>
              <w:t>IV.</w:t>
            </w:r>
          </w:p>
        </w:tc>
        <w:tc>
          <w:tcPr>
            <w:tcW w:w="10940" w:type="dxa"/>
            <w:vAlign w:val="bottom"/>
            <w:gridSpan w:val="2"/>
          </w:tcPr>
          <w:p>
            <w:pPr>
              <w:spacing w:after="0"/>
              <w:rPr>
                <w:sz w:val="20"/>
                <w:szCs w:val="20"/>
                <w:color w:val="auto"/>
              </w:rPr>
            </w:pPr>
            <w:r>
              <w:rPr>
                <w:rFonts w:ascii="Arial" w:cs="Arial" w:eastAsia="Arial" w:hAnsi="Arial"/>
                <w:sz w:val="17"/>
                <w:szCs w:val="17"/>
                <w:color w:val="auto"/>
                <w:w w:val="93"/>
              </w:rPr>
              <w:t>Outage Coordination and Determination of Resource Availability of Contracts. Utility shall communicate with the Scheduling Coordinator of each Contract to</w:t>
            </w:r>
          </w:p>
        </w:tc>
      </w:tr>
      <w:tr>
        <w:trPr>
          <w:trHeight w:val="20"/>
        </w:trPr>
        <w:tc>
          <w:tcPr>
            <w:tcW w:w="500" w:type="dxa"/>
            <w:vAlign w:val="bottom"/>
          </w:tcPr>
          <w:p>
            <w:pPr>
              <w:spacing w:after="0" w:line="20" w:lineRule="exact"/>
              <w:rPr>
                <w:sz w:val="1"/>
                <w:szCs w:val="1"/>
                <w:color w:val="auto"/>
              </w:rPr>
            </w:pPr>
          </w:p>
        </w:tc>
        <w:tc>
          <w:tcPr>
            <w:tcW w:w="518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180"/>
        </w:trPr>
        <w:tc>
          <w:tcPr>
            <w:tcW w:w="500" w:type="dxa"/>
            <w:vAlign w:val="bottom"/>
          </w:tcPr>
          <w:p>
            <w:pPr>
              <w:spacing w:after="0"/>
              <w:rPr>
                <w:sz w:val="15"/>
                <w:szCs w:val="15"/>
                <w:color w:val="auto"/>
              </w:rPr>
            </w:pPr>
          </w:p>
        </w:tc>
        <w:tc>
          <w:tcPr>
            <w:tcW w:w="10940" w:type="dxa"/>
            <w:vAlign w:val="bottom"/>
            <w:gridSpan w:val="2"/>
          </w:tcPr>
          <w:p>
            <w:pPr>
              <w:spacing w:after="0" w:line="180" w:lineRule="exact"/>
              <w:rPr>
                <w:sz w:val="20"/>
                <w:szCs w:val="20"/>
                <w:color w:val="auto"/>
              </w:rPr>
            </w:pPr>
            <w:r>
              <w:rPr>
                <w:rFonts w:ascii="Arial" w:cs="Arial" w:eastAsia="Arial" w:hAnsi="Arial"/>
                <w:sz w:val="17"/>
                <w:szCs w:val="17"/>
                <w:color w:val="auto"/>
                <w:w w:val="88"/>
              </w:rPr>
              <w:t>coordinate, approve, document and report planned Contract outages. For those Contracts where resource availability affects capacity payments, Utility will use good</w:t>
            </w:r>
          </w:p>
        </w:tc>
      </w:tr>
      <w:tr>
        <w:trPr>
          <w:trHeight w:val="186"/>
        </w:trPr>
        <w:tc>
          <w:tcPr>
            <w:tcW w:w="500" w:type="dxa"/>
            <w:vAlign w:val="bottom"/>
          </w:tcPr>
          <w:p>
            <w:pPr>
              <w:spacing w:after="0"/>
              <w:rPr>
                <w:sz w:val="16"/>
                <w:szCs w:val="16"/>
                <w:color w:val="auto"/>
              </w:rPr>
            </w:pPr>
          </w:p>
        </w:tc>
        <w:tc>
          <w:tcPr>
            <w:tcW w:w="10940" w:type="dxa"/>
            <w:vAlign w:val="bottom"/>
            <w:gridSpan w:val="2"/>
          </w:tcPr>
          <w:p>
            <w:pPr>
              <w:spacing w:after="0" w:line="186" w:lineRule="exact"/>
              <w:rPr>
                <w:sz w:val="20"/>
                <w:szCs w:val="20"/>
                <w:color w:val="auto"/>
              </w:rPr>
            </w:pPr>
            <w:r>
              <w:rPr>
                <w:rFonts w:ascii="Arial" w:cs="Arial" w:eastAsia="Arial" w:hAnsi="Arial"/>
                <w:sz w:val="17"/>
                <w:szCs w:val="17"/>
                <w:color w:val="auto"/>
                <w:w w:val="90"/>
              </w:rPr>
              <w:t>faith efforts to verify Supplier’s actual resource availability, and keep records of resource availability as reported by Supplier. In addition, Utility shall document all</w:t>
            </w:r>
          </w:p>
        </w:tc>
      </w:tr>
      <w:tr>
        <w:trPr>
          <w:trHeight w:val="186"/>
        </w:trPr>
        <w:tc>
          <w:tcPr>
            <w:tcW w:w="500" w:type="dxa"/>
            <w:vAlign w:val="bottom"/>
          </w:tcPr>
          <w:p>
            <w:pPr>
              <w:spacing w:after="0"/>
              <w:rPr>
                <w:sz w:val="16"/>
                <w:szCs w:val="16"/>
                <w:color w:val="auto"/>
              </w:rPr>
            </w:pPr>
          </w:p>
        </w:tc>
        <w:tc>
          <w:tcPr>
            <w:tcW w:w="10940" w:type="dxa"/>
            <w:vAlign w:val="bottom"/>
            <w:gridSpan w:val="2"/>
          </w:tcPr>
          <w:p>
            <w:pPr>
              <w:spacing w:after="0" w:line="186" w:lineRule="exact"/>
              <w:rPr>
                <w:sz w:val="20"/>
                <w:szCs w:val="20"/>
                <w:color w:val="auto"/>
              </w:rPr>
            </w:pPr>
            <w:r>
              <w:rPr>
                <w:rFonts w:ascii="Arial" w:cs="Arial" w:eastAsia="Arial" w:hAnsi="Arial"/>
                <w:sz w:val="17"/>
                <w:szCs w:val="17"/>
                <w:color w:val="auto"/>
                <w:w w:val="88"/>
              </w:rPr>
              <w:t>outages (forced and planned) and notices of outages of DWR contract resources and provide such documents to DWR within five (5) business days after the end of</w:t>
            </w:r>
          </w:p>
        </w:tc>
      </w:tr>
      <w:tr>
        <w:trPr>
          <w:trHeight w:val="209"/>
        </w:trPr>
        <w:tc>
          <w:tcPr>
            <w:tcW w:w="500" w:type="dxa"/>
            <w:vAlign w:val="bottom"/>
          </w:tcPr>
          <w:p>
            <w:pPr>
              <w:spacing w:after="0"/>
              <w:rPr>
                <w:sz w:val="18"/>
                <w:szCs w:val="18"/>
                <w:color w:val="auto"/>
              </w:rPr>
            </w:pPr>
          </w:p>
        </w:tc>
        <w:tc>
          <w:tcPr>
            <w:tcW w:w="10940" w:type="dxa"/>
            <w:vAlign w:val="bottom"/>
            <w:gridSpan w:val="2"/>
          </w:tcPr>
          <w:p>
            <w:pPr>
              <w:spacing w:after="0"/>
              <w:rPr>
                <w:sz w:val="20"/>
                <w:szCs w:val="20"/>
                <w:color w:val="auto"/>
              </w:rPr>
            </w:pPr>
            <w:r>
              <w:rPr>
                <w:rFonts w:ascii="Arial" w:cs="Arial" w:eastAsia="Arial" w:hAnsi="Arial"/>
                <w:sz w:val="17"/>
                <w:szCs w:val="17"/>
                <w:color w:val="auto"/>
              </w:rPr>
              <w:t>each calendar month.</w:t>
            </w:r>
          </w:p>
        </w:tc>
      </w:tr>
    </w:tbl>
    <w:p>
      <w:pPr>
        <w:spacing w:after="0" w:line="200" w:lineRule="exact"/>
        <w:rPr>
          <w:sz w:val="20"/>
          <w:szCs w:val="20"/>
          <w:color w:val="auto"/>
        </w:rPr>
      </w:pPr>
    </w:p>
    <w:p>
      <w:pPr>
        <w:sectPr>
          <w:pgSz w:w="11900" w:h="16838" w:orient="portrait"/>
          <w:cols w:equalWidth="0" w:num="1">
            <w:col w:w="11460"/>
          </w:cols>
          <w:pgMar w:left="220" w:top="67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w:t>
      </w:r>
    </w:p>
    <w:p>
      <w:pPr>
        <w:sectPr>
          <w:pgSz w:w="11900" w:h="16838" w:orient="portrait"/>
          <w:cols w:equalWidth="0" w:num="1">
            <w:col w:w="11460"/>
          </w:cols>
          <w:pgMar w:left="220" w:top="677" w:right="219" w:bottom="1440" w:gutter="0" w:footer="0" w:header="0"/>
          <w:type w:val="continuous"/>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DWR/SDG&amp;E EXHIBIT B</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FUEL MANAGEMENT PROTOCOLS</w:t>
      </w:r>
    </w:p>
    <w:p>
      <w:pPr>
        <w:sectPr>
          <w:pgSz w:w="11900" w:h="16838" w:orient="portrait"/>
          <w:cols w:equalWidth="0" w:num="1">
            <w:col w:w="9019"/>
          </w:cols>
          <w:pgMar w:left="1440" w:top="1440" w:right="1440"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7"/>
          <w:szCs w:val="17"/>
          <w:b w:val="1"/>
          <w:bCs w:val="1"/>
          <w:color w:val="auto"/>
        </w:rPr>
        <w:t>EXHIBIT B</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FUEL MANAGEMENT PROTOCOLS</w:t>
      </w:r>
    </w:p>
    <w:p>
      <w:pPr>
        <w:spacing w:after="0" w:line="160"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Certain of the Contracts listed on Schedule 1 of the Operating Order provide DWR the option of either (i) letting the Supplier provide the necessary natural gas for its generating units at an index-based price or agreed upon fixed price or (ii) DWR procuring the gas supply and causing such supply to be delivered to the Supplier under a tolling arrangement (“Fuel Option”). Certain of the Contracts with Fuel Option provide that DWR can decide on a monthly basis whether to procure the gas and others provide that the decision be made annually or semi-annually when DWR reviews the Supplier’s proposed fuel plan.</w:t>
      </w:r>
    </w:p>
    <w:p>
      <w:pPr>
        <w:spacing w:after="0" w:line="13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purpose of this Exhibit B is to describe the relationship which will exist between DWR and Utility and the specific responsibilities of each as they all relate to managing the natural gas provisions of the Contracts which include Fuel Options. Specifically, this Exhibit B will address responsibilities for the following activities: (i) determining types and lengths of gas contracts, (ii) nominating deliveries, (iii) contracting for gas transportation and storage, (iv) managing imbalances, (v) reviewing, authorizing and making payment of gas invoices and (vi) determining and implementing hedge strategies, as appropriate.</w:t>
      </w:r>
    </w:p>
    <w:p>
      <w:pPr>
        <w:spacing w:after="0" w:line="119" w:lineRule="exact"/>
        <w:rPr>
          <w:sz w:val="20"/>
          <w:szCs w:val="20"/>
          <w:color w:val="auto"/>
        </w:rPr>
      </w:pPr>
    </w:p>
    <w:p>
      <w:pPr>
        <w:ind w:left="500" w:hanging="497"/>
        <w:spacing w:after="0"/>
        <w:tabs>
          <w:tab w:leader="none" w:pos="500"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Operating Relationship Between DWR and Utility</w:t>
      </w:r>
    </w:p>
    <w:p>
      <w:pPr>
        <w:spacing w:after="0" w:line="159" w:lineRule="exact"/>
        <w:rPr>
          <w:rFonts w:ascii="Arial" w:cs="Arial" w:eastAsia="Arial" w:hAnsi="Arial"/>
          <w:sz w:val="17"/>
          <w:szCs w:val="17"/>
          <w:b w:val="1"/>
          <w:bCs w:val="1"/>
          <w:color w:val="auto"/>
        </w:rPr>
      </w:pPr>
    </w:p>
    <w:p>
      <w:pPr>
        <w:ind w:left="500"/>
        <w:spacing w:after="0" w:line="295" w:lineRule="auto"/>
        <w:rPr>
          <w:rFonts w:ascii="Arial" w:cs="Arial" w:eastAsia="Arial" w:hAnsi="Arial"/>
          <w:sz w:val="17"/>
          <w:szCs w:val="17"/>
          <w:b w:val="1"/>
          <w:bCs w:val="1"/>
          <w:color w:val="auto"/>
        </w:rPr>
      </w:pPr>
      <w:r>
        <w:rPr>
          <w:rFonts w:ascii="Arial" w:cs="Arial" w:eastAsia="Arial" w:hAnsi="Arial"/>
          <w:sz w:val="14"/>
          <w:szCs w:val="14"/>
          <w:color w:val="auto"/>
        </w:rPr>
        <w:t>While DWR will retain legal and financial responsibility for gas and related services, Utility shall, as a limited agent acting for DWR, perform the administrative and operational activities, as further specified below, required to ensure adequate gas is supplied to Suppliers’ generating units, consistent with the tolling provisions included in the Contracts. The intent of this relationship is to provide Utility sufficient flexibility and authority to execute normal day-to-day activities associated with managing the fuel provisions of tolling Contracts and procurement of natural gas and related services, as a limited agent acting on behalf of DWR without direct involvement by DWR but in a manner consistent with Utility Gas Supply Plans which have been reviewed and approved by DWR and the Commission.</w:t>
      </w:r>
    </w:p>
    <w:p>
      <w:pPr>
        <w:spacing w:after="0" w:line="102" w:lineRule="exact"/>
        <w:rPr>
          <w:sz w:val="20"/>
          <w:szCs w:val="20"/>
          <w:color w:val="auto"/>
        </w:rPr>
      </w:pPr>
    </w:p>
    <w:p>
      <w:pPr>
        <w:ind w:left="500" w:hanging="497"/>
        <w:spacing w:after="0"/>
        <w:tabs>
          <w:tab w:leader="none" w:pos="500"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color w:val="auto"/>
        </w:rPr>
        <w:t>Fuel Activities</w:t>
      </w:r>
    </w:p>
    <w:p>
      <w:pPr>
        <w:spacing w:after="0" w:line="159" w:lineRule="exact"/>
        <w:rPr>
          <w:rFonts w:ascii="Arial" w:cs="Arial" w:eastAsia="Arial" w:hAnsi="Arial"/>
          <w:sz w:val="17"/>
          <w:szCs w:val="17"/>
          <w:b w:val="1"/>
          <w:bCs w:val="1"/>
          <w:color w:val="auto"/>
        </w:rPr>
      </w:pPr>
    </w:p>
    <w:p>
      <w:pPr>
        <w:ind w:left="500" w:right="320"/>
        <w:spacing w:after="0" w:line="259" w:lineRule="auto"/>
        <w:rPr>
          <w:rFonts w:ascii="Arial" w:cs="Arial" w:eastAsia="Arial" w:hAnsi="Arial"/>
          <w:sz w:val="17"/>
          <w:szCs w:val="17"/>
          <w:b w:val="1"/>
          <w:bCs w:val="1"/>
          <w:color w:val="auto"/>
        </w:rPr>
      </w:pPr>
      <w:r>
        <w:rPr>
          <w:rFonts w:ascii="Arial" w:cs="Arial" w:eastAsia="Arial" w:hAnsi="Arial"/>
          <w:sz w:val="16"/>
          <w:szCs w:val="16"/>
          <w:color w:val="auto"/>
        </w:rPr>
        <w:t>Consistent with the terms of the Contracts with Fuel Options, Utility shall have administrative and operational authority to act, as a limited agent, for fuel supply related activities, consistent with the following goals and guidelines whenever Utility has recommended, and DWR has reviewed and approved such recommendation that gas for a Contract with Fuel Option be caused to be supplied by Utility from a list of approved providers.</w:t>
      </w:r>
    </w:p>
    <w:p>
      <w:pPr>
        <w:spacing w:after="0" w:line="117" w:lineRule="exact"/>
        <w:rPr>
          <w:rFonts w:ascii="Arial" w:cs="Arial" w:eastAsia="Arial" w:hAnsi="Arial"/>
          <w:sz w:val="17"/>
          <w:szCs w:val="17"/>
          <w:b w:val="1"/>
          <w:bCs w:val="1"/>
          <w:color w:val="auto"/>
        </w:rPr>
      </w:pPr>
    </w:p>
    <w:p>
      <w:pPr>
        <w:ind w:left="1000" w:right="220" w:hanging="501"/>
        <w:spacing w:after="0" w:line="245" w:lineRule="auto"/>
        <w:tabs>
          <w:tab w:leader="none" w:pos="1000" w:val="left"/>
        </w:tabs>
        <w:numPr>
          <w:ilvl w:val="1"/>
          <w:numId w:val="85"/>
        </w:numPr>
        <w:rPr>
          <w:rFonts w:ascii="Arial" w:cs="Arial" w:eastAsia="Arial" w:hAnsi="Arial"/>
          <w:sz w:val="17"/>
          <w:szCs w:val="17"/>
          <w:color w:val="auto"/>
        </w:rPr>
      </w:pPr>
      <w:r>
        <w:rPr>
          <w:rFonts w:ascii="Arial" w:cs="Arial" w:eastAsia="Arial" w:hAnsi="Arial"/>
          <w:sz w:val="17"/>
          <w:szCs w:val="17"/>
          <w:color w:val="auto"/>
        </w:rPr>
        <w:t>Utility shall use reasonable commercial efforts to secure delivery of gas in a reliable manner and consistent with gas requirements for producing scheduled energy.</w:t>
      </w:r>
    </w:p>
    <w:p>
      <w:pPr>
        <w:spacing w:after="0" w:line="128" w:lineRule="exact"/>
        <w:rPr>
          <w:rFonts w:ascii="Arial" w:cs="Arial" w:eastAsia="Arial" w:hAnsi="Arial"/>
          <w:sz w:val="17"/>
          <w:szCs w:val="17"/>
          <w:color w:val="auto"/>
        </w:rPr>
      </w:pPr>
    </w:p>
    <w:p>
      <w:pPr>
        <w:ind w:left="1000" w:right="80" w:hanging="501"/>
        <w:spacing w:after="0" w:line="237" w:lineRule="auto"/>
        <w:tabs>
          <w:tab w:leader="none" w:pos="1000" w:val="left"/>
        </w:tabs>
        <w:numPr>
          <w:ilvl w:val="1"/>
          <w:numId w:val="85"/>
        </w:numPr>
        <w:rPr>
          <w:rFonts w:ascii="Arial" w:cs="Arial" w:eastAsia="Arial" w:hAnsi="Arial"/>
          <w:sz w:val="17"/>
          <w:szCs w:val="17"/>
          <w:color w:val="auto"/>
        </w:rPr>
      </w:pPr>
      <w:r>
        <w:rPr>
          <w:rFonts w:ascii="Arial" w:cs="Arial" w:eastAsia="Arial" w:hAnsi="Arial"/>
          <w:sz w:val="17"/>
          <w:szCs w:val="17"/>
          <w:color w:val="auto"/>
        </w:rPr>
        <w:t>Utility shall develop a portfolio of gas supply for the Contracts that contain Fuel Options and where Utility is to supply gas, acting as limited agent on behalf of DWR, consistent with the approved Utility Gas Supply Plans. Such portfolio should be diversified in terms of price mechanism, period of performance, and gas suppliers.</w:t>
      </w:r>
    </w:p>
    <w:p>
      <w:pPr>
        <w:spacing w:after="0" w:line="144" w:lineRule="exact"/>
        <w:rPr>
          <w:rFonts w:ascii="Arial" w:cs="Arial" w:eastAsia="Arial" w:hAnsi="Arial"/>
          <w:sz w:val="17"/>
          <w:szCs w:val="17"/>
          <w:color w:val="auto"/>
        </w:rPr>
      </w:pPr>
    </w:p>
    <w:p>
      <w:pPr>
        <w:ind w:left="1000" w:hanging="501"/>
        <w:spacing w:after="0"/>
        <w:tabs>
          <w:tab w:leader="none" w:pos="1000" w:val="left"/>
        </w:tabs>
        <w:numPr>
          <w:ilvl w:val="1"/>
          <w:numId w:val="85"/>
        </w:numPr>
        <w:rPr>
          <w:rFonts w:ascii="Arial" w:cs="Arial" w:eastAsia="Arial" w:hAnsi="Arial"/>
          <w:sz w:val="14"/>
          <w:szCs w:val="14"/>
          <w:color w:val="auto"/>
        </w:rPr>
      </w:pPr>
      <w:r>
        <w:rPr>
          <w:rFonts w:ascii="Arial" w:cs="Arial" w:eastAsia="Arial" w:hAnsi="Arial"/>
          <w:sz w:val="14"/>
          <w:szCs w:val="14"/>
          <w:color w:val="auto"/>
        </w:rPr>
        <w:t>Utility shall develop a portfolio of supply which is reasonably priced relative to the market and in accordance with an approved Utility Gas Supply Plan.</w:t>
      </w:r>
    </w:p>
    <w:p>
      <w:pPr>
        <w:spacing w:after="0" w:line="176" w:lineRule="exact"/>
        <w:rPr>
          <w:sz w:val="20"/>
          <w:szCs w:val="20"/>
          <w:color w:val="auto"/>
        </w:rPr>
      </w:pPr>
    </w:p>
    <w:p>
      <w:pPr>
        <w:ind w:left="500" w:hanging="497"/>
        <w:spacing w:after="0"/>
        <w:tabs>
          <w:tab w:leader="none" w:pos="500"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Review of Supplier Fuel Plans</w:t>
      </w:r>
    </w:p>
    <w:p>
      <w:pPr>
        <w:spacing w:after="0" w:line="160" w:lineRule="exact"/>
        <w:rPr>
          <w:sz w:val="20"/>
          <w:szCs w:val="20"/>
          <w:color w:val="auto"/>
        </w:rPr>
      </w:pPr>
    </w:p>
    <w:p>
      <w:pPr>
        <w:ind w:left="500" w:right="40"/>
        <w:spacing w:after="0" w:line="246" w:lineRule="auto"/>
        <w:rPr>
          <w:sz w:val="20"/>
          <w:szCs w:val="20"/>
          <w:color w:val="auto"/>
        </w:rPr>
      </w:pPr>
      <w:r>
        <w:rPr>
          <w:rFonts w:ascii="Arial" w:cs="Arial" w:eastAsia="Arial" w:hAnsi="Arial"/>
          <w:sz w:val="16"/>
          <w:szCs w:val="16"/>
          <w:color w:val="auto"/>
        </w:rPr>
        <w:t>In accordance with the terms of each of the Contracts with Fuel Options, Utility, acting as a limited agent on behalf of DWR, shall review each fuel plan prepared and submitted by the Supplier, and forwarded to the Utility by DWR, and determine whether to recommend (i) approval of the Supplier Fuel Plan and authorization for the Supplier to provide gas to its generating unit(s), or (ii) procurement and management of gas supplies to the generating unit(s) by Utility. Utility, acting as a limited agent on behalf of DWR, shall advise DWR and the Commission on a timely basis of its recommendation regarding responsibility for supplying natural gas. DWR shall, on a timely basis, review Utility’s recommendation and either approve or identify requested changes. Once approved, Utility shall advise the Supplier in accordance with the time requirements included in the appropriate Contract with Fuel Option. In addition, for any Supplier Fuel Plans which have been implemented and are operative as of the Effective Date, and where DWR has previously elected to be responsible for gas supply, Utility may advise DWR that it would rather have Supplier provide the gas as of the Effective Date. DWR shall coordinate with Utility and Supplier to revise such Supplier Fuel Plans, to the extent possible, prior to the Effective Date.</w:t>
      </w:r>
    </w:p>
    <w:p>
      <w:pPr>
        <w:spacing w:after="0" w:line="128"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IV.</w:t>
      </w:r>
      <w:r>
        <w:rPr>
          <w:sz w:val="20"/>
          <w:szCs w:val="20"/>
          <w:color w:val="auto"/>
        </w:rPr>
        <w:tab/>
      </w:r>
      <w:r>
        <w:rPr>
          <w:rFonts w:ascii="Arial" w:cs="Arial" w:eastAsia="Arial" w:hAnsi="Arial"/>
          <w:sz w:val="17"/>
          <w:szCs w:val="17"/>
          <w:b w:val="1"/>
          <w:bCs w:val="1"/>
          <w:color w:val="auto"/>
        </w:rPr>
        <w:t>Fuel Procurement Strategies</w:t>
      </w:r>
    </w:p>
    <w:p>
      <w:pPr>
        <w:spacing w:after="0" w:line="160" w:lineRule="exact"/>
        <w:rPr>
          <w:sz w:val="20"/>
          <w:szCs w:val="20"/>
          <w:color w:val="auto"/>
        </w:rPr>
      </w:pPr>
    </w:p>
    <w:p>
      <w:pPr>
        <w:ind w:left="500" w:right="120"/>
        <w:spacing w:after="0" w:line="234" w:lineRule="auto"/>
        <w:rPr>
          <w:sz w:val="20"/>
          <w:szCs w:val="20"/>
          <w:color w:val="auto"/>
        </w:rPr>
      </w:pPr>
      <w:r>
        <w:rPr>
          <w:rFonts w:ascii="Arial" w:cs="Arial" w:eastAsia="Arial" w:hAnsi="Arial"/>
          <w:sz w:val="17"/>
          <w:szCs w:val="17"/>
          <w:color w:val="auto"/>
        </w:rPr>
        <w:t>Under the Contracts with Fuel Option, upon Utility’s recommendation, and DWR’s review and approval of such recommendation, Utility will be responsible for procuring the natural gas fuel from a list of approved gas providers. Utility shall, acting as the limited agent of DWR, have administrative and operational responsibility for determining its gas procurement strategies, including but not limited to (i) types of contracts, (ii) length of contracts, (iii) pricing terms, (iv) use of storage, (v) types of gas transportation, (vi) delivery point(s), (vii) whether and how to obtain gas price forecasts, (viii) if and what risk management tools are to be used, and (ix) how to maintain current market intelligence.</w:t>
      </w:r>
    </w:p>
    <w:p>
      <w:pPr>
        <w:spacing w:after="0" w:line="143" w:lineRule="exact"/>
        <w:rPr>
          <w:sz w:val="20"/>
          <w:szCs w:val="20"/>
          <w:color w:val="auto"/>
        </w:rPr>
      </w:pPr>
    </w:p>
    <w:p>
      <w:pPr>
        <w:jc w:val="both"/>
        <w:ind w:left="500" w:right="140"/>
        <w:spacing w:after="0" w:line="301" w:lineRule="auto"/>
        <w:rPr>
          <w:sz w:val="20"/>
          <w:szCs w:val="20"/>
          <w:color w:val="auto"/>
        </w:rPr>
      </w:pPr>
      <w:r>
        <w:rPr>
          <w:rFonts w:ascii="Arial" w:cs="Arial" w:eastAsia="Arial" w:hAnsi="Arial"/>
          <w:sz w:val="14"/>
          <w:szCs w:val="14"/>
          <w:color w:val="auto"/>
        </w:rPr>
        <w:t>Utility shall consolidate these strategies and submit them to DWR and the Commission as a “Utility Gas Supply Plan” by April 17, 2003 and, thereafter on a semi-annual basis initially but was subsequently revised to be submitted on an annual basis during the Term. Utility may also provide a copy of such Gas Supply Plan to DWR in advance of the filing with the Commission so as to be able to indicate DWR’s approval of such plan. Utility shall indicate in its Advice Letter filing to the Commission whether DWR has approved such plan as appropriate. DWR shall also formally notify the Commission when it has approved such plan.</w:t>
      </w:r>
    </w:p>
    <w:p>
      <w:pPr>
        <w:spacing w:after="0" w:line="102" w:lineRule="exact"/>
        <w:rPr>
          <w:sz w:val="20"/>
          <w:szCs w:val="20"/>
          <w:color w:val="auto"/>
        </w:rPr>
      </w:pPr>
    </w:p>
    <w:p>
      <w:pPr>
        <w:ind w:left="500" w:right="20"/>
        <w:spacing w:after="0" w:line="289" w:lineRule="auto"/>
        <w:rPr>
          <w:sz w:val="20"/>
          <w:szCs w:val="20"/>
          <w:color w:val="auto"/>
        </w:rPr>
      </w:pPr>
      <w:r>
        <w:rPr>
          <w:rFonts w:ascii="Arial" w:cs="Arial" w:eastAsia="Arial" w:hAnsi="Arial"/>
          <w:sz w:val="14"/>
          <w:szCs w:val="14"/>
          <w:color w:val="auto"/>
        </w:rPr>
        <w:t>DWR and the Commission will review and approve the Utility Gas Supply Plans. In the event of conflicting guidance between the Commission and DWR regarding various aspects of the Gas Supply Plan they respectively approve or reject, where DWR only approves a subset of what the Commission approves, then Utility shall operate within the sphere of DWR’s approval. If, however, the Commission explicitly rejects portions of the Gas Supply Plan that DWR would authorize, then Utility must operate within the limitations of the Commission’s decision. After a reasonable period of time operating within the framework of the Gas Supply Plans and the Commission’s and DWR’s respective approval and/or rejection of various pieces of the Gas Supply Plan, the Parties agree to meet and confer to determine whether the approval process may need to be revised in some manner, and Utility shall submit to Commission any such proposed revisions. Once approved, Utility may act within such Utility Gas Supply Plan without further DWR involvement, except as provided below.</w:t>
      </w:r>
    </w:p>
    <w:p>
      <w:pPr>
        <w:spacing w:after="0" w:line="107" w:lineRule="exact"/>
        <w:rPr>
          <w:sz w:val="20"/>
          <w:szCs w:val="20"/>
          <w:color w:val="auto"/>
        </w:rPr>
      </w:pPr>
    </w:p>
    <w:p>
      <w:pPr>
        <w:ind w:left="500" w:hanging="497"/>
        <w:spacing w:after="0"/>
        <w:tabs>
          <w:tab w:leader="none" w:pos="500"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Gas Purchasing</w:t>
      </w:r>
    </w:p>
    <w:p>
      <w:pPr>
        <w:spacing w:after="0" w:line="159" w:lineRule="exact"/>
        <w:rPr>
          <w:rFonts w:ascii="Arial" w:cs="Arial" w:eastAsia="Arial" w:hAnsi="Arial"/>
          <w:sz w:val="17"/>
          <w:szCs w:val="17"/>
          <w:b w:val="1"/>
          <w:bCs w:val="1"/>
          <w:color w:val="auto"/>
        </w:rPr>
      </w:pPr>
    </w:p>
    <w:p>
      <w:pPr>
        <w:ind w:left="500" w:right="140"/>
        <w:spacing w:after="0" w:line="248" w:lineRule="auto"/>
        <w:rPr>
          <w:rFonts w:ascii="Arial" w:cs="Arial" w:eastAsia="Arial" w:hAnsi="Arial"/>
          <w:sz w:val="17"/>
          <w:szCs w:val="17"/>
          <w:b w:val="1"/>
          <w:bCs w:val="1"/>
          <w:color w:val="auto"/>
        </w:rPr>
      </w:pPr>
      <w:r>
        <w:rPr>
          <w:rFonts w:ascii="Arial" w:cs="Arial" w:eastAsia="Arial" w:hAnsi="Arial"/>
          <w:sz w:val="16"/>
          <w:szCs w:val="16"/>
          <w:color w:val="auto"/>
        </w:rPr>
        <w:t>Utility and DWR shall jointly determine a list of approved gas providers who can be used to supply gas under the Contracts with Fuel Options. Master agreements intended to cover normal day-to-day volumes will then be executed with such approved providers. While DWR will be the executing party under all DWR gas contracts, such agreements shall specifically authorize Utility to act for and on behalf of DWR, as a limited agent, in negotiating specific prices, quantities and delivery periods for specific purchases under such master agreements; provided however, on the earliest practicable date after the issuance date of the Operating Order, DWR agrees to provide to Utility in writing and in advance of such negotiations any limits, including without limitation any terms, that may be required by DWR. If Utility determines it would be beneficial to enter into any DWR gas contract which exceeds 3 months or have a total value exceeding $10 million, it shall negotiate such agreement(s) and submit them to DWR for advance approval and execution.</w:t>
      </w:r>
    </w:p>
    <w:p>
      <w:pPr>
        <w:spacing w:after="0" w:line="123"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VI.</w:t>
      </w:r>
      <w:r>
        <w:rPr>
          <w:sz w:val="20"/>
          <w:szCs w:val="20"/>
          <w:color w:val="auto"/>
        </w:rPr>
        <w:tab/>
      </w:r>
      <w:r>
        <w:rPr>
          <w:rFonts w:ascii="Arial" w:cs="Arial" w:eastAsia="Arial" w:hAnsi="Arial"/>
          <w:sz w:val="17"/>
          <w:szCs w:val="17"/>
          <w:b w:val="1"/>
          <w:bCs w:val="1"/>
          <w:color w:val="auto"/>
        </w:rPr>
        <w:t>Gas Transportation</w:t>
      </w:r>
    </w:p>
    <w:p>
      <w:pPr>
        <w:spacing w:after="0" w:line="160" w:lineRule="exact"/>
        <w:rPr>
          <w:sz w:val="20"/>
          <w:szCs w:val="20"/>
          <w:color w:val="auto"/>
        </w:rPr>
      </w:pPr>
    </w:p>
    <w:p>
      <w:pPr>
        <w:ind w:left="500" w:right="40"/>
        <w:spacing w:after="0" w:line="291" w:lineRule="auto"/>
        <w:rPr>
          <w:sz w:val="20"/>
          <w:szCs w:val="20"/>
          <w:color w:val="auto"/>
        </w:rPr>
      </w:pPr>
      <w:r>
        <w:rPr>
          <w:rFonts w:ascii="Arial" w:cs="Arial" w:eastAsia="Arial" w:hAnsi="Arial"/>
          <w:sz w:val="14"/>
          <w:szCs w:val="14"/>
          <w:color w:val="auto"/>
        </w:rPr>
        <w:t>Utility shall have responsibility for recommending to DWR which pipelines should transport gas if Utility, acting as limited agent on behalf of DWR is to supply gas under a Contract with Fuel Option. Following approval of or revision of Utility Gas Supply Plan, Utility shall negotiate firm and/or interruptible agreements with such pipelines, consistent with the Utility Gas Supply Plan and submit them to DWR for execution. While DWR will be the executing party, such agreements with pipelines shall specifically authorize Utility to act for and on behalf of DWR in nominating gas deliveries, making imbalance trades and managing gas volumes transported under such agreements provided, however, on the earliest practicable date after the issuance date of the Operating Order, DWR agrees to provide to Utility in writing and in advance of such negotiations any limits, including without limitation any terms, that may be required by DWR.</w:t>
      </w:r>
    </w:p>
    <w:p>
      <w:pPr>
        <w:sectPr>
          <w:pgSz w:w="11900" w:h="16838" w:orient="portrait"/>
          <w:cols w:equalWidth="0" w:num="1">
            <w:col w:w="11460"/>
          </w:cols>
          <w:pgMar w:left="220" w:top="677" w:right="219" w:bottom="0" w:gutter="0" w:footer="0" w:header="0"/>
        </w:sectPr>
      </w:pPr>
    </w:p>
    <w:bookmarkStart w:id="79" w:name="page80"/>
    <w:bookmarkEnd w:id="79"/>
    <w:p>
      <w:pPr>
        <w:spacing w:after="0"/>
        <w:tabs>
          <w:tab w:leader="none" w:pos="480" w:val="left"/>
        </w:tabs>
        <w:rPr>
          <w:sz w:val="20"/>
          <w:szCs w:val="20"/>
          <w:color w:val="auto"/>
        </w:rPr>
      </w:pPr>
      <w:r>
        <w:rPr>
          <w:rFonts w:ascii="Arial" w:cs="Arial" w:eastAsia="Arial" w:hAnsi="Arial"/>
          <w:sz w:val="17"/>
          <w:szCs w:val="17"/>
          <w:b w:val="1"/>
          <w:bCs w:val="1"/>
          <w:color w:val="auto"/>
        </w:rPr>
        <w:t>VII.</w:t>
        <w:tab/>
        <w:t>Gas Scheduling</w:t>
      </w:r>
    </w:p>
    <w:p>
      <w:pPr>
        <w:spacing w:after="0" w:line="161" w:lineRule="exact"/>
        <w:rPr>
          <w:sz w:val="20"/>
          <w:szCs w:val="20"/>
          <w:color w:val="auto"/>
        </w:rPr>
      </w:pPr>
    </w:p>
    <w:p>
      <w:pPr>
        <w:ind w:left="500" w:right="120"/>
        <w:spacing w:after="0" w:line="235" w:lineRule="auto"/>
        <w:rPr>
          <w:sz w:val="20"/>
          <w:szCs w:val="20"/>
          <w:color w:val="auto"/>
        </w:rPr>
      </w:pPr>
      <w:r>
        <w:rPr>
          <w:rFonts w:ascii="Arial" w:cs="Arial" w:eastAsia="Arial" w:hAnsi="Arial"/>
          <w:sz w:val="17"/>
          <w:szCs w:val="17"/>
          <w:color w:val="auto"/>
        </w:rPr>
        <w:t>If permitted under the Contracts, the Utility shall have full administrative and operational responsibility for scheduling gas deliveries, whether to a specific generating plant or to storage for all gas contracts entered into by DWR or by Utility on DWR’s behalf pursuant to this Exhibit B. This function includes use of interstate and intrastate gas pipeline provider websites, confirming via telephone, and all other activities required to move gas from the designated delivery point, as determined by the Utility, to its destination, as determined by the Utility.</w:t>
      </w:r>
    </w:p>
    <w:p>
      <w:pPr>
        <w:spacing w:after="0" w:line="130"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VIII.</w:t>
      </w:r>
      <w:r>
        <w:rPr>
          <w:sz w:val="20"/>
          <w:szCs w:val="20"/>
          <w:color w:val="auto"/>
        </w:rPr>
        <w:tab/>
      </w:r>
      <w:r>
        <w:rPr>
          <w:rFonts w:ascii="Arial" w:cs="Arial" w:eastAsia="Arial" w:hAnsi="Arial"/>
          <w:sz w:val="14"/>
          <w:szCs w:val="14"/>
          <w:b w:val="1"/>
          <w:bCs w:val="1"/>
          <w:color w:val="auto"/>
        </w:rPr>
        <w:t>Storage Capacity, Injections and Withdrawals</w:t>
      </w:r>
    </w:p>
    <w:p>
      <w:pPr>
        <w:spacing w:after="0" w:line="160" w:lineRule="exact"/>
        <w:rPr>
          <w:sz w:val="20"/>
          <w:szCs w:val="20"/>
          <w:color w:val="auto"/>
        </w:rPr>
      </w:pPr>
    </w:p>
    <w:p>
      <w:pPr>
        <w:ind w:left="500"/>
        <w:spacing w:after="0" w:line="291" w:lineRule="auto"/>
        <w:rPr>
          <w:sz w:val="20"/>
          <w:szCs w:val="20"/>
          <w:color w:val="auto"/>
        </w:rPr>
      </w:pPr>
      <w:r>
        <w:rPr>
          <w:rFonts w:ascii="Arial" w:cs="Arial" w:eastAsia="Arial" w:hAnsi="Arial"/>
          <w:sz w:val="14"/>
          <w:szCs w:val="14"/>
          <w:color w:val="auto"/>
        </w:rPr>
        <w:t>Utility shall have responsibility for devising plans for gas storage, if Utility, acting as limited agent on behalf of DWR, is to supply gas under Contracts with Fuel Option from a list of approved providers. Following approval of the Utility Gas Supply Plans, Utility shall negotiate firm and/or interruptible agreements with such storage service providers and submit them to DWR for execution. While DWR will be the executing party with DWR remaining the principal under such contracts, such agreements with storage service providers shall specifically authorize Utility to act for and on behalf of DWR in nominating gas injections and withdrawals under such agreements; provided, however, on the earliest practicable date after the issuance date of the Operating Order, DWR agrees to provide to Utility in writing and in advance of such negotiations any limits, including without limitation any terms, that may be required by DWR.</w:t>
      </w:r>
    </w:p>
    <w:p>
      <w:pPr>
        <w:spacing w:after="0" w:line="106"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IX.</w:t>
      </w:r>
      <w:r>
        <w:rPr>
          <w:sz w:val="20"/>
          <w:szCs w:val="20"/>
          <w:color w:val="auto"/>
        </w:rPr>
        <w:tab/>
      </w:r>
      <w:r>
        <w:rPr>
          <w:rFonts w:ascii="Arial" w:cs="Arial" w:eastAsia="Arial" w:hAnsi="Arial"/>
          <w:sz w:val="17"/>
          <w:szCs w:val="17"/>
          <w:b w:val="1"/>
          <w:bCs w:val="1"/>
          <w:color w:val="auto"/>
        </w:rPr>
        <w:t>Managing Gas Delivery/Usage Imbalances</w:t>
      </w:r>
    </w:p>
    <w:p>
      <w:pPr>
        <w:spacing w:after="0" w:line="160" w:lineRule="exact"/>
        <w:rPr>
          <w:sz w:val="20"/>
          <w:szCs w:val="20"/>
          <w:color w:val="auto"/>
        </w:rPr>
      </w:pPr>
    </w:p>
    <w:p>
      <w:pPr>
        <w:ind w:left="500" w:right="20"/>
        <w:spacing w:after="0" w:line="234" w:lineRule="auto"/>
        <w:rPr>
          <w:sz w:val="20"/>
          <w:szCs w:val="20"/>
          <w:color w:val="auto"/>
        </w:rPr>
      </w:pPr>
      <w:r>
        <w:rPr>
          <w:rFonts w:ascii="Arial" w:cs="Arial" w:eastAsia="Arial" w:hAnsi="Arial"/>
          <w:sz w:val="17"/>
          <w:szCs w:val="17"/>
          <w:color w:val="auto"/>
        </w:rPr>
        <w:t>For gas that it purchases and transports on behalf of DWR, Utility shall have full administrative and operational responsibility for monitoring and managing the daily status of gas usage vs. gas deliveries (i.e. gas imbalances). In addition, to the extent that gas transportation providers issue operational flow orders or require adjustments in scheduled gas deliveries due to system constraints, Utility, acting as limited agent on behalf of DWR, shall be responsible for compliance with such orders. Utility shall also be responsible for any penalties imposed by gas transportation providers for imbalances caused by Utility, due to its failure to exercise prudent gas management practices.</w:t>
      </w:r>
    </w:p>
    <w:p>
      <w:pPr>
        <w:spacing w:after="0" w:line="128" w:lineRule="exact"/>
        <w:rPr>
          <w:sz w:val="20"/>
          <w:szCs w:val="20"/>
          <w:color w:val="auto"/>
        </w:rPr>
      </w:pPr>
    </w:p>
    <w:p>
      <w:pPr>
        <w:ind w:left="500" w:hanging="497"/>
        <w:spacing w:after="0"/>
        <w:tabs>
          <w:tab w:leader="none" w:pos="500"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Invoice Review, Approval and Payment</w:t>
      </w:r>
    </w:p>
    <w:p>
      <w:pPr>
        <w:spacing w:after="0" w:line="159" w:lineRule="exact"/>
        <w:rPr>
          <w:rFonts w:ascii="Arial" w:cs="Arial" w:eastAsia="Arial" w:hAnsi="Arial"/>
          <w:sz w:val="17"/>
          <w:szCs w:val="17"/>
          <w:b w:val="1"/>
          <w:bCs w:val="1"/>
          <w:color w:val="auto"/>
        </w:rPr>
      </w:pPr>
    </w:p>
    <w:p>
      <w:pPr>
        <w:ind w:left="500" w:right="100"/>
        <w:spacing w:after="0" w:line="301" w:lineRule="auto"/>
        <w:rPr>
          <w:rFonts w:ascii="Arial" w:cs="Arial" w:eastAsia="Arial" w:hAnsi="Arial"/>
          <w:sz w:val="17"/>
          <w:szCs w:val="17"/>
          <w:b w:val="1"/>
          <w:bCs w:val="1"/>
          <w:color w:val="auto"/>
        </w:rPr>
      </w:pPr>
      <w:r>
        <w:rPr>
          <w:rFonts w:ascii="Arial" w:cs="Arial" w:eastAsia="Arial" w:hAnsi="Arial"/>
          <w:sz w:val="14"/>
          <w:szCs w:val="14"/>
          <w:color w:val="auto"/>
        </w:rPr>
        <w:t>For natural gas, pipeline transportation and storage services it purchases in accordance with this Exhibit B, Utility, acting as limited agent on behalf of DWR, shall have responsibility for receiving invoices from gas, transportation and storage suppliers, reviewing them for accuracy, approving/rejecting invoices for payment and forwarding to DWR for payment; provided, however, on the earliest practicable date after the issuance date of the Operating Order, DWR agrees to cause Utility to be authorized to receive such information from Suppliers. Utility shall provide DWR sufficient documentation to verify payment of the invoices.</w:t>
      </w:r>
    </w:p>
    <w:p>
      <w:pPr>
        <w:spacing w:after="0" w:line="88"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XI.</w:t>
      </w:r>
      <w:r>
        <w:rPr>
          <w:sz w:val="20"/>
          <w:szCs w:val="20"/>
          <w:color w:val="auto"/>
        </w:rPr>
        <w:tab/>
      </w:r>
      <w:r>
        <w:rPr>
          <w:rFonts w:ascii="Arial" w:cs="Arial" w:eastAsia="Arial" w:hAnsi="Arial"/>
          <w:sz w:val="17"/>
          <w:szCs w:val="17"/>
          <w:b w:val="1"/>
          <w:bCs w:val="1"/>
          <w:color w:val="auto"/>
        </w:rPr>
        <w:t>Forecasting</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Utility shall be responsible for all gas price, demand and supply forecasts which Utility believes are consistent with any accepted gas supply responsibilities.</w:t>
      </w:r>
    </w:p>
    <w:p>
      <w:pPr>
        <w:spacing w:after="0" w:line="186"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XII.</w:t>
        <w:tab/>
        <w:t>Risk Management</w:t>
      </w:r>
    </w:p>
    <w:p>
      <w:pPr>
        <w:spacing w:after="0" w:line="160" w:lineRule="exact"/>
        <w:rPr>
          <w:sz w:val="20"/>
          <w:szCs w:val="20"/>
          <w:color w:val="auto"/>
        </w:rPr>
      </w:pPr>
    </w:p>
    <w:p>
      <w:pPr>
        <w:ind w:left="500" w:right="40"/>
        <w:spacing w:after="0" w:line="259" w:lineRule="auto"/>
        <w:rPr>
          <w:sz w:val="20"/>
          <w:szCs w:val="20"/>
          <w:color w:val="auto"/>
        </w:rPr>
      </w:pPr>
      <w:r>
        <w:rPr>
          <w:rFonts w:ascii="Arial" w:cs="Arial" w:eastAsia="Arial" w:hAnsi="Arial"/>
          <w:sz w:val="16"/>
          <w:szCs w:val="16"/>
          <w:color w:val="auto"/>
        </w:rPr>
        <w:t>Utility shall develop and include in its Gas Supply Plans, plans for the hedging of DWR Fuel Supply costs. Final decisions relating to the use or non-use of financial tools such as futures, options and swaps to hedge future gas price exposure on any gas volumes not hedged by Utility under the Utility Gas Supply Plans shall be made and implemented by DWR. Any such contracts executed by DWR on a “portfolio basis” should be utility-specific.</w:t>
      </w:r>
    </w:p>
    <w:p>
      <w:pPr>
        <w:spacing w:after="0" w:line="114"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XIII.</w:t>
      </w:r>
      <w:r>
        <w:rPr>
          <w:sz w:val="20"/>
          <w:szCs w:val="20"/>
          <w:color w:val="auto"/>
        </w:rPr>
        <w:tab/>
      </w:r>
      <w:r>
        <w:rPr>
          <w:rFonts w:ascii="Arial" w:cs="Arial" w:eastAsia="Arial" w:hAnsi="Arial"/>
          <w:sz w:val="14"/>
          <w:szCs w:val="14"/>
          <w:b w:val="1"/>
          <w:bCs w:val="1"/>
          <w:color w:val="auto"/>
        </w:rPr>
        <w:t>Market Intelligence</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Any and all efforts to obtain, analyze and utilize market intelligence for decision-making purposes shall be the responsibility of Utility.</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XIV.</w:t>
        <w:tab/>
        <w:t>Payment of Gas Costs</w:t>
      </w:r>
    </w:p>
    <w:p>
      <w:pPr>
        <w:spacing w:after="0" w:line="160" w:lineRule="exact"/>
        <w:rPr>
          <w:sz w:val="20"/>
          <w:szCs w:val="20"/>
          <w:color w:val="auto"/>
        </w:rPr>
      </w:pPr>
    </w:p>
    <w:p>
      <w:pPr>
        <w:ind w:left="500" w:right="220"/>
        <w:spacing w:after="0" w:line="235" w:lineRule="auto"/>
        <w:rPr>
          <w:sz w:val="20"/>
          <w:szCs w:val="20"/>
          <w:color w:val="auto"/>
        </w:rPr>
      </w:pPr>
      <w:r>
        <w:rPr>
          <w:rFonts w:ascii="Arial" w:cs="Arial" w:eastAsia="Arial" w:hAnsi="Arial"/>
          <w:sz w:val="17"/>
          <w:szCs w:val="17"/>
          <w:color w:val="auto"/>
        </w:rPr>
        <w:t>For natural gas, pipeline transportation, financial hedges and storage services that are purchased and provided by a Supplier under an approved Fuel Supply Plan, DWR shall pay such gas related costs as part of the invoice for commodity, product, or services submitted by the Supplier. For natural gas, pipeline transportation and storage services provided under DWR contracts and administered by Utility on behalf of DWR, DWR shall pay invoices after they have been reviewed and approved for payment by Utility.</w:t>
      </w:r>
    </w:p>
    <w:p>
      <w:pPr>
        <w:spacing w:after="0" w:line="140"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XV.</w:t>
        <w:tab/>
        <w:t>Allocation of Existing DWR Gas Contracts</w:t>
      </w:r>
    </w:p>
    <w:p>
      <w:pPr>
        <w:spacing w:after="0" w:line="160" w:lineRule="exact"/>
        <w:rPr>
          <w:sz w:val="20"/>
          <w:szCs w:val="20"/>
          <w:color w:val="auto"/>
        </w:rPr>
      </w:pPr>
    </w:p>
    <w:p>
      <w:pPr>
        <w:ind w:left="500" w:right="140"/>
        <w:spacing w:after="0" w:line="281" w:lineRule="auto"/>
        <w:rPr>
          <w:sz w:val="20"/>
          <w:szCs w:val="20"/>
          <w:color w:val="auto"/>
        </w:rPr>
      </w:pPr>
      <w:r>
        <w:rPr>
          <w:rFonts w:ascii="Arial" w:cs="Arial" w:eastAsia="Arial" w:hAnsi="Arial"/>
          <w:sz w:val="14"/>
          <w:szCs w:val="14"/>
          <w:color w:val="auto"/>
        </w:rPr>
        <w:t>From time to time, DWR enters into fuel supply, transportation and storage contract, consistent with the Gas Supply Plans submitted to the Commission by the Utility. DWR will continue to enter into such contracts in connection with the administration of DWR Contracts. In addition, consistent with Decision 03-10-016 dated October 2, 2003, issued by the Commission, the Utility will continue to administer the allocated portion of the Williams Energy Marketing and Trading Company’s gas supply contract (“Williams Gas Contract”), allocated as set forth in Attachment 1 to this Exhibit B. The Utility will administer such fuel supply, transportation and storage contracts, including the Williams Gas Contract, and perform such functions including but not limited to (i) scheduling gas transportation,</w:t>
      </w:r>
    </w:p>
    <w:p>
      <w:pPr>
        <w:spacing w:after="0" w:line="2" w:lineRule="exact"/>
        <w:rPr>
          <w:sz w:val="20"/>
          <w:szCs w:val="20"/>
          <w:color w:val="auto"/>
        </w:rPr>
      </w:pPr>
    </w:p>
    <w:p>
      <w:pPr>
        <w:ind w:left="500" w:right="620" w:hanging="1"/>
        <w:spacing w:after="0" w:line="232" w:lineRule="auto"/>
        <w:tabs>
          <w:tab w:leader="none" w:pos="743" w:val="left"/>
        </w:tabs>
        <w:numPr>
          <w:ilvl w:val="0"/>
          <w:numId w:val="89"/>
        </w:numPr>
        <w:rPr>
          <w:rFonts w:ascii="Arial" w:cs="Arial" w:eastAsia="Arial" w:hAnsi="Arial"/>
          <w:sz w:val="17"/>
          <w:szCs w:val="17"/>
          <w:color w:val="auto"/>
        </w:rPr>
      </w:pPr>
      <w:r>
        <w:rPr>
          <w:rFonts w:ascii="Arial" w:cs="Arial" w:eastAsia="Arial" w:hAnsi="Arial"/>
          <w:sz w:val="17"/>
          <w:szCs w:val="17"/>
          <w:color w:val="auto"/>
        </w:rPr>
        <w:t>confirming gas deliveries, (iii) nominating gas withdrawals from and injections into storage, if applicable, and (iv) reviewing and approving invoices for payment. When approved, invoices shall be transmitted to DWR for payment within 10 days of receipt of invoice from the gas supplier, gas storage or gas transportation provider.</w:t>
      </w:r>
    </w:p>
    <w:p>
      <w:pPr>
        <w:spacing w:after="0" w:line="128"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XVI.</w:t>
      </w:r>
      <w:r>
        <w:rPr>
          <w:sz w:val="20"/>
          <w:szCs w:val="20"/>
          <w:color w:val="auto"/>
        </w:rPr>
        <w:tab/>
      </w:r>
      <w:r>
        <w:rPr>
          <w:rFonts w:ascii="Arial" w:cs="Arial" w:eastAsia="Arial" w:hAnsi="Arial"/>
          <w:sz w:val="14"/>
          <w:szCs w:val="14"/>
          <w:b w:val="1"/>
          <w:bCs w:val="1"/>
          <w:color w:val="auto"/>
        </w:rPr>
        <w:t>Pre-existing Financial Hedge Instruments</w:t>
      </w:r>
    </w:p>
    <w:p>
      <w:pPr>
        <w:spacing w:after="0" w:line="160" w:lineRule="exact"/>
        <w:rPr>
          <w:sz w:val="20"/>
          <w:szCs w:val="20"/>
          <w:color w:val="auto"/>
        </w:rPr>
      </w:pPr>
    </w:p>
    <w:p>
      <w:pPr>
        <w:ind w:left="500" w:right="420"/>
        <w:spacing w:after="0" w:line="245" w:lineRule="auto"/>
        <w:rPr>
          <w:sz w:val="20"/>
          <w:szCs w:val="20"/>
          <w:color w:val="auto"/>
        </w:rPr>
      </w:pPr>
      <w:r>
        <w:rPr>
          <w:rFonts w:ascii="Arial" w:cs="Arial" w:eastAsia="Arial" w:hAnsi="Arial"/>
          <w:sz w:val="17"/>
          <w:szCs w:val="17"/>
          <w:color w:val="auto"/>
        </w:rPr>
        <w:t>If DWR has entered into any financial hedge transactions that will remain operable after the Effective Date of the Existing Operating Arrangement or this 2010 Operating Order, DWR shall retain full administrative and operational control over such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w:t>
      </w:r>
    </w:p>
    <w:p>
      <w:pPr>
        <w:sectPr>
          <w:pgSz w:w="11900" w:h="16838" w:orient="portrait"/>
          <w:cols w:equalWidth="0" w:num="1">
            <w:col w:w="11460"/>
          </w:cols>
          <w:pgMar w:left="220" w:top="118" w:right="219" w:bottom="1440" w:gutter="0" w:footer="0" w:header="0"/>
        </w:sectPr>
      </w:pPr>
    </w:p>
    <w:bookmarkStart w:id="80" w:name="page81"/>
    <w:bookmarkEnd w:id="80"/>
    <w:p>
      <w:pPr>
        <w:ind w:left="4320"/>
        <w:spacing w:after="0"/>
        <w:rPr>
          <w:sz w:val="20"/>
          <w:szCs w:val="20"/>
          <w:color w:val="auto"/>
        </w:rPr>
      </w:pPr>
      <w:r>
        <w:rPr>
          <w:rFonts w:ascii="Arial" w:cs="Arial" w:eastAsia="Arial" w:hAnsi="Arial"/>
          <w:sz w:val="17"/>
          <w:szCs w:val="17"/>
          <w:color w:val="auto"/>
        </w:rPr>
        <w:t>Attachment 1</w:t>
      </w:r>
    </w:p>
    <w:p>
      <w:pPr>
        <w:spacing w:after="0" w:line="73"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to Exhibit B</w:t>
      </w:r>
    </w:p>
    <w:p>
      <w:pPr>
        <w:spacing w:after="0" w:line="259"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Williams Gas Contract Allocation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840105</wp:posOffset>
            </wp:positionV>
            <wp:extent cx="4450080" cy="30124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450080" cy="3012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B-</w:t>
      </w:r>
    </w:p>
    <w:p>
      <w:pPr>
        <w:sectPr>
          <w:pgSz w:w="11900" w:h="16838" w:orient="portrait"/>
          <w:cols w:equalWidth="0" w:num="1">
            <w:col w:w="9019"/>
          </w:cols>
          <w:pgMar w:left="1440" w:top="908" w:right="1440" w:bottom="1440" w:gutter="0" w:footer="0" w:header="0"/>
        </w:sectPr>
      </w:pPr>
    </w:p>
    <w:bookmarkStart w:id="81" w:name="page82"/>
    <w:bookmarkEnd w:id="81"/>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DWR/SDG&amp;E EXHIBIT C</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SETTLEMENT PRINCIPLES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FOR REMITTANCES AND</w:t>
      </w:r>
    </w:p>
    <w:p>
      <w:pPr>
        <w:jc w:val="center"/>
        <w:spacing w:after="0"/>
        <w:rPr>
          <w:sz w:val="20"/>
          <w:szCs w:val="20"/>
          <w:color w:val="auto"/>
        </w:rPr>
      </w:pPr>
      <w:r>
        <w:rPr>
          <w:rFonts w:ascii="Arial" w:cs="Arial" w:eastAsia="Arial" w:hAnsi="Arial"/>
          <w:sz w:val="17"/>
          <w:szCs w:val="17"/>
          <w:b w:val="1"/>
          <w:bCs w:val="1"/>
          <w:color w:val="auto"/>
        </w:rPr>
        <w:t>SURPLUS REVENUES</w:t>
      </w:r>
    </w:p>
    <w:p>
      <w:pPr>
        <w:sectPr>
          <w:pgSz w:w="11900" w:h="16838" w:orient="portrait"/>
          <w:cols w:equalWidth="0" w:num="1">
            <w:col w:w="9019"/>
          </w:cols>
          <w:pgMar w:left="1440" w:top="1440" w:right="1440" w:bottom="1440" w:gutter="0" w:footer="0" w:header="0"/>
        </w:sectPr>
      </w:pPr>
    </w:p>
    <w:bookmarkStart w:id="82" w:name="page83"/>
    <w:bookmarkEnd w:id="82"/>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EXHIBIT C</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SETTLEMENT PRINCIPLES FOR REMITTANCES AND SURPLUS REVENUES</w:t>
      </w:r>
    </w:p>
    <w:p>
      <w:pPr>
        <w:spacing w:after="0" w:line="160"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This Exhibit C outlines the principles by which Utility will calculate revenues associated with surplus energy sales prior to the MRTU Effective Date, and DWR energy delivered to retail customers. This Exhibit C also addresses the information that Utility will provide to DWR to support DWR payment of Contract invoices, and invoices from natural gas supplier(s) for fuel provided to service DWR Contracts where tolling options have been implemented.</w:t>
      </w:r>
    </w:p>
    <w:p>
      <w:pPr>
        <w:spacing w:after="0" w:line="128"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This Exhibit C works in conjunction with the applicable Servicing Arrangement with Utility for purposes of determining the remittance amounts by Utility, which serves as DWR’s billing and collection agent.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Prior to the MRTU Effective Date, in accordance with the Contract Allocation Order</w:t>
      </w:r>
      <w:r>
        <w:rPr>
          <w:rFonts w:ascii="Arial" w:cs="Arial" w:eastAsia="Arial" w:hAnsi="Arial"/>
          <w:sz w:val="27"/>
          <w:szCs w:val="27"/>
          <w:color w:val="auto"/>
          <w:vertAlign w:val="superscript"/>
        </w:rPr>
        <w:t>1</w:t>
      </w:r>
      <w:r>
        <w:rPr>
          <w:rFonts w:ascii="Arial" w:cs="Arial" w:eastAsia="Arial" w:hAnsi="Arial"/>
          <w:sz w:val="17"/>
          <w:szCs w:val="17"/>
          <w:color w:val="auto"/>
        </w:rPr>
        <w:t>, Part I of this Exhibit C provides that:</w:t>
      </w:r>
    </w:p>
    <w:p>
      <w:pPr>
        <w:spacing w:after="0" w:line="66" w:lineRule="exact"/>
        <w:rPr>
          <w:sz w:val="20"/>
          <w:szCs w:val="20"/>
          <w:color w:val="auto"/>
        </w:rPr>
      </w:pPr>
    </w:p>
    <w:p>
      <w:pPr>
        <w:ind w:left="500" w:hanging="249"/>
        <w:spacing w:after="0"/>
        <w:tabs>
          <w:tab w:leader="none" w:pos="5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Revenues will be allocated for both surplus sales and retail customer deliveries</w:t>
      </w:r>
    </w:p>
    <w:p>
      <w:pPr>
        <w:spacing w:after="0" w:line="73" w:lineRule="exact"/>
        <w:rPr>
          <w:rFonts w:ascii="Arial" w:cs="Arial" w:eastAsia="Arial" w:hAnsi="Arial"/>
          <w:sz w:val="17"/>
          <w:szCs w:val="17"/>
          <w:color w:val="auto"/>
        </w:rPr>
      </w:pPr>
    </w:p>
    <w:p>
      <w:pPr>
        <w:ind w:left="500" w:hanging="249"/>
        <w:spacing w:after="0"/>
        <w:tabs>
          <w:tab w:leader="none" w:pos="5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Revenues will be allocated pro rata, based on dispatched quantities of energy</w:t>
      </w:r>
    </w:p>
    <w:p>
      <w:pPr>
        <w:spacing w:after="0" w:line="62" w:lineRule="exact"/>
        <w:rPr>
          <w:rFonts w:ascii="Arial" w:cs="Arial" w:eastAsia="Arial" w:hAnsi="Arial"/>
          <w:sz w:val="17"/>
          <w:szCs w:val="17"/>
          <w:color w:val="auto"/>
        </w:rPr>
      </w:pPr>
    </w:p>
    <w:p>
      <w:pPr>
        <w:ind w:left="500" w:hanging="249"/>
        <w:spacing w:after="0"/>
        <w:tabs>
          <w:tab w:leader="none" w:pos="5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principle of balancing least cost economic dispatch while maintaining reliability is reinforced through these revenue allocation protocols.</w:t>
      </w:r>
    </w:p>
    <w:p>
      <w:pPr>
        <w:spacing w:after="0" w:line="62" w:lineRule="exact"/>
        <w:rPr>
          <w:rFonts w:ascii="Arial" w:cs="Arial" w:eastAsia="Arial" w:hAnsi="Arial"/>
          <w:sz w:val="17"/>
          <w:szCs w:val="17"/>
          <w:color w:val="auto"/>
        </w:rPr>
      </w:pPr>
    </w:p>
    <w:p>
      <w:pPr>
        <w:ind w:left="500" w:right="340" w:hanging="249"/>
        <w:spacing w:after="0" w:line="245" w:lineRule="auto"/>
        <w:tabs>
          <w:tab w:leader="none" w:pos="5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Surplus sales quantities will be calculated as the difference between Utility’s Energy Delivery Obligations (EDO) and the combination of energy from URG and energy dispatched from the Contracts.</w:t>
      </w:r>
    </w:p>
    <w:p>
      <w:pPr>
        <w:spacing w:after="0" w:line="138" w:lineRule="exact"/>
        <w:rPr>
          <w:sz w:val="20"/>
          <w:szCs w:val="20"/>
          <w:color w:val="auto"/>
        </w:rPr>
      </w:pPr>
    </w:p>
    <w:p>
      <w:pPr>
        <w:ind w:right="660"/>
        <w:spacing w:after="0" w:line="275" w:lineRule="auto"/>
        <w:rPr>
          <w:sz w:val="20"/>
          <w:szCs w:val="20"/>
          <w:color w:val="auto"/>
        </w:rPr>
      </w:pPr>
      <w:r>
        <w:rPr>
          <w:rFonts w:ascii="Arial" w:cs="Arial" w:eastAsia="Arial" w:hAnsi="Arial"/>
          <w:sz w:val="16"/>
          <w:szCs w:val="16"/>
          <w:color w:val="auto"/>
        </w:rPr>
        <w:t>Where Utility’s Energy Delivery Obligations is defined as: (1) Utility’s retail load which includes distribution losses, (2) all pump-back loads, (3) energy exchange transactions between Utility and counter parties, (4) wholesale obligations, existing as of January 1, 2003, and (5) transmission losses.</w:t>
      </w:r>
    </w:p>
    <w:p>
      <w:pPr>
        <w:spacing w:after="0" w:line="116" w:lineRule="exact"/>
        <w:rPr>
          <w:sz w:val="20"/>
          <w:szCs w:val="20"/>
          <w:color w:val="auto"/>
        </w:rPr>
      </w:pPr>
    </w:p>
    <w:p>
      <w:pPr>
        <w:ind w:right="520"/>
        <w:spacing w:after="0" w:line="245" w:lineRule="auto"/>
        <w:rPr>
          <w:sz w:val="20"/>
          <w:szCs w:val="20"/>
          <w:color w:val="auto"/>
        </w:rPr>
      </w:pPr>
      <w:r>
        <w:rPr>
          <w:rFonts w:ascii="Arial" w:cs="Arial" w:eastAsia="Arial" w:hAnsi="Arial"/>
          <w:sz w:val="17"/>
          <w:szCs w:val="17"/>
          <w:color w:val="auto"/>
        </w:rPr>
        <w:t>On and after the MRTU Effective Date, as further provided in that certain Memorandum of Understanding, dated as of February 4, 2009, which was approved by the Commission on March 13, 2009 (“MOU”), Remittances to DWR will be allocated as further provided in Part II hereof.</w:t>
      </w:r>
    </w:p>
    <w:p>
      <w:pPr>
        <w:spacing w:after="0" w:line="138" w:lineRule="exact"/>
        <w:rPr>
          <w:sz w:val="20"/>
          <w:szCs w:val="20"/>
          <w:color w:val="auto"/>
        </w:rPr>
      </w:pPr>
    </w:p>
    <w:p>
      <w:pPr>
        <w:jc w:val="both"/>
        <w:ind w:right="380"/>
        <w:spacing w:after="0" w:line="259" w:lineRule="auto"/>
        <w:rPr>
          <w:sz w:val="20"/>
          <w:szCs w:val="20"/>
          <w:color w:val="auto"/>
        </w:rPr>
      </w:pPr>
      <w:r>
        <w:rPr>
          <w:rFonts w:ascii="Arial" w:cs="Arial" w:eastAsia="Arial" w:hAnsi="Arial"/>
          <w:sz w:val="16"/>
          <w:szCs w:val="16"/>
          <w:color w:val="auto"/>
        </w:rPr>
        <w:t>The principles herein, together with the applicable methods and calculations contained in the Servicing Arrangement, form a substantive component of the accounting protocols required to implement the Contract Allocation Order, as certain of the principles are modified on and after the MRTU Effective Date as provided in this 2010 Operating Order and the Servicing Arrangement. This Exhibit should also be read in conjunction with Exhibit F (“Data Requirements”).</w:t>
      </w:r>
    </w:p>
    <w:p>
      <w:pPr>
        <w:spacing w:after="0" w:line="128" w:lineRule="exact"/>
        <w:rPr>
          <w:sz w:val="20"/>
          <w:szCs w:val="20"/>
          <w:color w:val="auto"/>
        </w:rPr>
      </w:pPr>
    </w:p>
    <w:p>
      <w:pPr>
        <w:ind w:right="80"/>
        <w:spacing w:after="0" w:line="295" w:lineRule="auto"/>
        <w:rPr>
          <w:sz w:val="20"/>
          <w:szCs w:val="20"/>
          <w:color w:val="auto"/>
        </w:rPr>
      </w:pPr>
      <w:r>
        <w:rPr>
          <w:rFonts w:ascii="Arial" w:cs="Arial" w:eastAsia="Arial" w:hAnsi="Arial"/>
          <w:sz w:val="14"/>
          <w:szCs w:val="14"/>
          <w:color w:val="auto"/>
        </w:rPr>
        <w:t>Exhibit F may periodically be modified to include all data that DWR will require to verify Remittances to DWR or to implement protocol changes. Utility and DWR agree to modify Exhibit F to include or exclude information reasonably determined by DWR to allow DWR to verify Net DWR Retail Supply and, prior to the MRTU Effective Date, the surplus remittances. On and after the MRTU Effective Date, Utility and DWR further agree to review and modify Exhibit F, from time to time, to include or exclude such information so as to allow DWR to perform such internal procedures that are reasonable and determined appropriate by DWR, and such validation, analysis and audit of the settlement functions to be performed by Utility, as DWR’s limited agent, consistent with the principles and parameters set forth in Part III of this Exhibit C.</w:t>
      </w:r>
    </w:p>
    <w:p>
      <w:pPr>
        <w:spacing w:after="0" w:line="102" w:lineRule="exact"/>
        <w:rPr>
          <w:sz w:val="20"/>
          <w:szCs w:val="20"/>
          <w:color w:val="auto"/>
        </w:rPr>
      </w:pPr>
    </w:p>
    <w:p>
      <w:pPr>
        <w:ind w:left="500" w:hanging="497"/>
        <w:spacing w:after="0"/>
        <w:tabs>
          <w:tab w:leader="none" w:pos="500"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Utility Remittance to DWR - Prior to the MRTU Effective Date</w:t>
      </w:r>
    </w:p>
    <w:p>
      <w:pPr>
        <w:spacing w:after="0" w:line="159" w:lineRule="exact"/>
        <w:rPr>
          <w:rFonts w:ascii="Arial" w:cs="Arial" w:eastAsia="Arial" w:hAnsi="Arial"/>
          <w:sz w:val="17"/>
          <w:szCs w:val="17"/>
          <w:b w:val="1"/>
          <w:bCs w:val="1"/>
          <w:color w:val="auto"/>
        </w:rPr>
      </w:pPr>
    </w:p>
    <w:p>
      <w:pPr>
        <w:ind w:left="500"/>
        <w:spacing w:after="0" w:line="245" w:lineRule="auto"/>
        <w:rPr>
          <w:rFonts w:ascii="Arial" w:cs="Arial" w:eastAsia="Arial" w:hAnsi="Arial"/>
          <w:sz w:val="17"/>
          <w:szCs w:val="17"/>
          <w:b w:val="1"/>
          <w:bCs w:val="1"/>
          <w:color w:val="auto"/>
        </w:rPr>
      </w:pPr>
      <w:r>
        <w:rPr>
          <w:rFonts w:ascii="Arial" w:cs="Arial" w:eastAsia="Arial" w:hAnsi="Arial"/>
          <w:sz w:val="17"/>
          <w:szCs w:val="17"/>
          <w:color w:val="auto"/>
        </w:rPr>
        <w:t>The provisions under this Part I shall be effective to but not including the MRTU Effective Date. On and after the MRTU Effective Date, the provisions under Part II shall control.</w:t>
      </w:r>
    </w:p>
    <w:p>
      <w:pPr>
        <w:spacing w:after="0" w:line="138" w:lineRule="exact"/>
        <w:rPr>
          <w:rFonts w:ascii="Arial" w:cs="Arial" w:eastAsia="Arial" w:hAnsi="Arial"/>
          <w:sz w:val="17"/>
          <w:szCs w:val="17"/>
          <w:b w:val="1"/>
          <w:bCs w:val="1"/>
          <w:color w:val="auto"/>
        </w:rPr>
      </w:pPr>
    </w:p>
    <w:p>
      <w:pPr>
        <w:ind w:left="500" w:right="280"/>
        <w:spacing w:after="0" w:line="313" w:lineRule="auto"/>
        <w:rPr>
          <w:rFonts w:ascii="Arial" w:cs="Arial" w:eastAsia="Arial" w:hAnsi="Arial"/>
          <w:sz w:val="17"/>
          <w:szCs w:val="17"/>
          <w:b w:val="1"/>
          <w:bCs w:val="1"/>
          <w:color w:val="auto"/>
        </w:rPr>
      </w:pPr>
      <w:r>
        <w:rPr>
          <w:rFonts w:ascii="Arial" w:cs="Arial" w:eastAsia="Arial" w:hAnsi="Arial"/>
          <w:sz w:val="14"/>
          <w:szCs w:val="14"/>
          <w:color w:val="auto"/>
        </w:rPr>
        <w:t>Utility shall remit to DWR an Energy Payment for the delivery of Contract energy to Utility retail customers and a separate payment for DWR’s share of Surplus Energy Sales Revenues. The principles for the remittances to DWR of Surplus Energy Sales Revenue and Energy Payment are contained in Sections A and B, respectively, of this Part I of this Exhibit C. The details for determination of the remittances to DWR by Utility are contained in the Servicing Arrangement.</w:t>
      </w:r>
    </w:p>
    <w:p>
      <w:pPr>
        <w:spacing w:after="0" w:line="79" w:lineRule="exact"/>
        <w:rPr>
          <w:rFonts w:ascii="Arial" w:cs="Arial" w:eastAsia="Arial" w:hAnsi="Arial"/>
          <w:sz w:val="17"/>
          <w:szCs w:val="17"/>
          <w:b w:val="1"/>
          <w:bCs w:val="1"/>
          <w:color w:val="auto"/>
        </w:rPr>
      </w:pPr>
    </w:p>
    <w:p>
      <w:pPr>
        <w:ind w:left="1000" w:right="5760" w:hanging="501"/>
        <w:spacing w:after="0" w:line="433" w:lineRule="auto"/>
        <w:tabs>
          <w:tab w:leader="none" w:pos="1000" w:val="left"/>
        </w:tabs>
        <w:numPr>
          <w:ilvl w:val="1"/>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Utility Remittance to DWR of Revenue from Surplus Energy Sales </w:t>
      </w:r>
      <w:r>
        <w:rPr>
          <w:rFonts w:ascii="Arial" w:cs="Arial" w:eastAsia="Arial" w:hAnsi="Arial"/>
          <w:sz w:val="17"/>
          <w:szCs w:val="17"/>
          <w:u w:val="single" w:color="auto"/>
          <w:color w:val="auto"/>
        </w:rPr>
        <w:t>Surplus Energy and Revenues</w:t>
      </w:r>
    </w:p>
    <w:p>
      <w:pPr>
        <w:spacing w:after="0" w:line="1" w:lineRule="exact"/>
        <w:rPr>
          <w:rFonts w:ascii="Arial" w:cs="Arial" w:eastAsia="Arial" w:hAnsi="Arial"/>
          <w:sz w:val="17"/>
          <w:szCs w:val="17"/>
          <w:b w:val="1"/>
          <w:bCs w:val="1"/>
          <w:color w:val="auto"/>
        </w:rPr>
      </w:pPr>
    </w:p>
    <w:p>
      <w:pPr>
        <w:ind w:left="1000" w:right="8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Surplus energy exists when dispatched supply from Utility portfolio and DWR Contracts exceeds Utility’s Energy Delivery Obligations. When such a condition exists, the revenues from the sale of surplus energy shall be shared between Utility and DWR. Surplus sale revenues can occur either through a forward market sale or a delivery of the excess energy into the ISO real time market. In addition to the sharing of surplus energy revenues, the quantity of any surplus energy shall likewise be shared between Utility and DWR, and used in the determination of the Hourly Percentage Factor described in Section B of this Part I.</w:t>
      </w:r>
    </w:p>
    <w:p>
      <w:pPr>
        <w:spacing w:after="0" w:line="142" w:lineRule="exact"/>
        <w:rPr>
          <w:rFonts w:ascii="Arial" w:cs="Arial" w:eastAsia="Arial" w:hAnsi="Arial"/>
          <w:sz w:val="17"/>
          <w:szCs w:val="17"/>
          <w:b w:val="1"/>
          <w:bCs w:val="1"/>
          <w:color w:val="auto"/>
        </w:rPr>
      </w:pPr>
    </w:p>
    <w:p>
      <w:pPr>
        <w:ind w:left="1000" w:right="4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Surplus energy sales revenues shall be placed by Utility into a separate account (Surplus Sales Fund) to be held in trust and shall be disbursed by Utility to DWR in accordance with the pro-rata allocation principles in this Exhibit C and consistent with the provisions of Service Attachment 2 of the Servicing Arrangement. For surplus energy sales to third parties, Utility shall apply reasonable credit risk management criteria that is consistent with industry accepted credit standards.</w:t>
      </w:r>
    </w:p>
    <w:p>
      <w:pPr>
        <w:spacing w:after="0" w:line="143" w:lineRule="exact"/>
        <w:rPr>
          <w:rFonts w:ascii="Arial" w:cs="Arial" w:eastAsia="Arial" w:hAnsi="Arial"/>
          <w:sz w:val="17"/>
          <w:szCs w:val="17"/>
          <w:b w:val="1"/>
          <w:bCs w:val="1"/>
          <w:color w:val="auto"/>
        </w:rPr>
      </w:pPr>
    </w:p>
    <w:p>
      <w:pPr>
        <w:ind w:left="1000"/>
        <w:spacing w:after="0"/>
        <w:rPr>
          <w:rFonts w:ascii="Arial" w:cs="Arial" w:eastAsia="Arial" w:hAnsi="Arial"/>
          <w:sz w:val="17"/>
          <w:szCs w:val="17"/>
          <w:b w:val="1"/>
          <w:bCs w:val="1"/>
          <w:color w:val="auto"/>
        </w:rPr>
      </w:pPr>
      <w:r>
        <w:rPr>
          <w:rFonts w:ascii="Arial" w:cs="Arial" w:eastAsia="Arial" w:hAnsi="Arial"/>
          <w:sz w:val="17"/>
          <w:szCs w:val="17"/>
          <w:u w:val="single" w:color="auto"/>
          <w:color w:val="auto"/>
        </w:rPr>
        <w:t>Surplus Energy Quantity</w:t>
      </w:r>
    </w:p>
    <w:p>
      <w:pPr>
        <w:spacing w:after="0" w:line="155" w:lineRule="exact"/>
        <w:rPr>
          <w:rFonts w:ascii="Arial" w:cs="Arial" w:eastAsia="Arial" w:hAnsi="Arial"/>
          <w:sz w:val="17"/>
          <w:szCs w:val="17"/>
          <w:b w:val="1"/>
          <w:bCs w:val="1"/>
          <w:color w:val="auto"/>
        </w:rPr>
      </w:pPr>
    </w:p>
    <w:p>
      <w:pPr>
        <w:ind w:left="1000" w:right="12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The Surplus Energy quantity shall be determined by subtracting Utility’s Energy Delivery Obligations from the sum of dispatched URG energy and dispatched DWR Supply. URG energy shall include dispatched energy from URG, new Utility contracts and Utility market purchases plus adjustments for Ancillary Services and ISO Instructed Energy as described under “Definitions and Adjustments.” DWR Supply shall include dispatched energy from DWR must take and dispatchable contracts plus adjustments described below.</w:t>
      </w:r>
    </w:p>
    <w:p>
      <w:pPr>
        <w:spacing w:after="0" w:line="143" w:lineRule="exact"/>
        <w:rPr>
          <w:rFonts w:ascii="Arial" w:cs="Arial" w:eastAsia="Arial" w:hAnsi="Arial"/>
          <w:sz w:val="17"/>
          <w:szCs w:val="17"/>
          <w:b w:val="1"/>
          <w:bCs w:val="1"/>
          <w:color w:val="auto"/>
        </w:rPr>
      </w:pPr>
    </w:p>
    <w:p>
      <w:pPr>
        <w:ind w:left="1000" w:right="80"/>
        <w:spacing w:after="0" w:line="259" w:lineRule="auto"/>
        <w:rPr>
          <w:rFonts w:ascii="Arial" w:cs="Arial" w:eastAsia="Arial" w:hAnsi="Arial"/>
          <w:sz w:val="17"/>
          <w:szCs w:val="17"/>
          <w:b w:val="1"/>
          <w:bCs w:val="1"/>
          <w:color w:val="auto"/>
        </w:rPr>
      </w:pPr>
      <w:r>
        <w:rPr>
          <w:rFonts w:ascii="Arial" w:cs="Arial" w:eastAsia="Arial" w:hAnsi="Arial"/>
          <w:sz w:val="16"/>
          <w:szCs w:val="16"/>
          <w:color w:val="auto"/>
        </w:rPr>
        <w:t>DWR Surplus Energy quantity shall be the product of Surplus Energy quantity multiplied by the DWR Surplus Energy Percentage. Utility Surplus Energy quantity shall be the remaining portion of Surplus Energy. Both Utility and DWR Surplus Energy quantities shall be applied to the respective Party’s energy supply quantities for determination of the Hourly Percentage Factor described in Section B of this Part I.</w:t>
      </w:r>
    </w:p>
    <w:p>
      <w:pPr>
        <w:spacing w:after="0" w:line="127" w:lineRule="exact"/>
        <w:rPr>
          <w:rFonts w:ascii="Arial" w:cs="Arial" w:eastAsia="Arial" w:hAnsi="Arial"/>
          <w:sz w:val="17"/>
          <w:szCs w:val="17"/>
          <w:b w:val="1"/>
          <w:bCs w:val="1"/>
          <w:color w:val="auto"/>
        </w:rPr>
      </w:pPr>
    </w:p>
    <w:p>
      <w:pPr>
        <w:ind w:left="1000"/>
        <w:spacing w:after="0"/>
        <w:rPr>
          <w:rFonts w:ascii="Arial" w:cs="Arial" w:eastAsia="Arial" w:hAnsi="Arial"/>
          <w:sz w:val="17"/>
          <w:szCs w:val="17"/>
          <w:b w:val="1"/>
          <w:bCs w:val="1"/>
          <w:color w:val="auto"/>
        </w:rPr>
      </w:pPr>
      <w:r>
        <w:rPr>
          <w:rFonts w:ascii="Arial" w:cs="Arial" w:eastAsia="Arial" w:hAnsi="Arial"/>
          <w:sz w:val="17"/>
          <w:szCs w:val="17"/>
          <w:u w:val="single" w:color="auto"/>
          <w:color w:val="auto"/>
        </w:rPr>
        <w:t>Surplus Energy Sales Revenues</w:t>
      </w:r>
    </w:p>
    <w:p>
      <w:pPr>
        <w:spacing w:after="0" w:line="155" w:lineRule="exact"/>
        <w:rPr>
          <w:rFonts w:ascii="Arial" w:cs="Arial" w:eastAsia="Arial" w:hAnsi="Arial"/>
          <w:sz w:val="17"/>
          <w:szCs w:val="17"/>
          <w:b w:val="1"/>
          <w:bCs w:val="1"/>
          <w:color w:val="auto"/>
        </w:rPr>
      </w:pPr>
    </w:p>
    <w:p>
      <w:pPr>
        <w:ind w:left="1000" w:right="2940"/>
        <w:spacing w:after="0" w:line="431" w:lineRule="auto"/>
        <w:rPr>
          <w:rFonts w:ascii="Arial" w:cs="Arial" w:eastAsia="Arial" w:hAnsi="Arial"/>
          <w:sz w:val="17"/>
          <w:szCs w:val="17"/>
          <w:b w:val="1"/>
          <w:bCs w:val="1"/>
          <w:color w:val="auto"/>
        </w:rPr>
      </w:pPr>
      <w:r>
        <w:rPr>
          <w:rFonts w:ascii="Arial" w:cs="Arial" w:eastAsia="Arial" w:hAnsi="Arial"/>
          <w:sz w:val="17"/>
          <w:szCs w:val="17"/>
          <w:color w:val="auto"/>
        </w:rPr>
        <w:t xml:space="preserve">Surplus Energy Sales Revenues shall be shared between Utility and DWR in the same manner as Surplus Energy. </w:t>
      </w:r>
      <w:r>
        <w:rPr>
          <w:rFonts w:ascii="Arial" w:cs="Arial" w:eastAsia="Arial" w:hAnsi="Arial"/>
          <w:sz w:val="17"/>
          <w:szCs w:val="17"/>
          <w:u w:val="single" w:color="auto"/>
          <w:color w:val="auto"/>
        </w:rPr>
        <w:t>Forward Market Sale</w:t>
      </w:r>
    </w:p>
    <w:p>
      <w:pPr>
        <w:ind w:left="1000" w:right="28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DWR share of revenues from a forward market sale of surplus energy shall be the product of the net revenue multiplied by the DWR Surplus Energy Percentage. Utility share of these revenues shall be net revenue less DWR share of net revenues. Revenues from a forward market sale shall not be distributed to the Parties until after Utility receives the revenues from the sales and pays sale-related charges. Shared revenues from forward market sales shall be net of transmission costs and broker fees.</w:t>
      </w:r>
    </w:p>
    <w:p>
      <w:pPr>
        <w:spacing w:after="0" w:line="143" w:lineRule="exact"/>
        <w:rPr>
          <w:rFonts w:ascii="Arial" w:cs="Arial" w:eastAsia="Arial" w:hAnsi="Arial"/>
          <w:sz w:val="17"/>
          <w:szCs w:val="17"/>
          <w:b w:val="1"/>
          <w:bCs w:val="1"/>
          <w:color w:val="auto"/>
        </w:rPr>
      </w:pPr>
    </w:p>
    <w:p>
      <w:pPr>
        <w:ind w:left="1000"/>
        <w:spacing w:after="0"/>
        <w:rPr>
          <w:rFonts w:ascii="Arial" w:cs="Arial" w:eastAsia="Arial" w:hAnsi="Arial"/>
          <w:sz w:val="17"/>
          <w:szCs w:val="17"/>
          <w:b w:val="1"/>
          <w:bCs w:val="1"/>
          <w:color w:val="auto"/>
        </w:rPr>
      </w:pPr>
      <w:r>
        <w:rPr>
          <w:rFonts w:ascii="Arial" w:cs="Arial" w:eastAsia="Arial" w:hAnsi="Arial"/>
          <w:sz w:val="17"/>
          <w:szCs w:val="17"/>
          <w:u w:val="single" w:color="auto"/>
          <w:color w:val="auto"/>
        </w:rPr>
        <w:t>ISO Real Time Market Sales</w:t>
      </w:r>
    </w:p>
    <w:p>
      <w:pPr>
        <w:spacing w:after="0" w:line="155" w:lineRule="exact"/>
        <w:rPr>
          <w:rFonts w:ascii="Arial" w:cs="Arial" w:eastAsia="Arial" w:hAnsi="Arial"/>
          <w:sz w:val="17"/>
          <w:szCs w:val="17"/>
          <w:b w:val="1"/>
          <w:bCs w:val="1"/>
          <w:color w:val="auto"/>
        </w:rPr>
      </w:pPr>
    </w:p>
    <w:p>
      <w:pPr>
        <w:ind w:left="1000" w:right="20"/>
        <w:spacing w:after="0" w:line="301" w:lineRule="auto"/>
        <w:rPr>
          <w:rFonts w:ascii="Arial" w:cs="Arial" w:eastAsia="Arial" w:hAnsi="Arial"/>
          <w:sz w:val="17"/>
          <w:szCs w:val="17"/>
          <w:b w:val="1"/>
          <w:bCs w:val="1"/>
          <w:color w:val="auto"/>
        </w:rPr>
      </w:pPr>
      <w:r>
        <w:rPr>
          <w:rFonts w:ascii="Arial" w:cs="Arial" w:eastAsia="Arial" w:hAnsi="Arial"/>
          <w:sz w:val="14"/>
          <w:szCs w:val="14"/>
          <w:color w:val="auto"/>
        </w:rPr>
        <w:t>Revenues from delivery of surplus energy to the ISO real time market shall be determined from the product of positive load or supply deviation multiplied by the ISO real time market price. These revenues will be netted against any ISO charges related to the load deviation, including a negative ISO price. Load deviation is determined by subtracting the Utility metered load from the Final Hour Ahead Load Schedule, however only positive quantities, where schedule exceeds meter, reflect surplus conditions for revenue sharing. Supply deviation is determined by subtracting the Final Hour Ahead Supply Schedule (adjusted</w:t>
      </w:r>
    </w:p>
    <w:p>
      <w:pPr>
        <w:sectPr>
          <w:pgSz w:w="11900" w:h="16873" w:orient="portrait"/>
          <w:cols w:equalWidth="0" w:num="1">
            <w:col w:w="11440"/>
          </w:cols>
          <w:pgMar w:left="220" w:top="677" w:right="239" w:bottom="0" w:gutter="0" w:footer="0" w:header="0"/>
        </w:sectPr>
      </w:pPr>
    </w:p>
    <w:bookmarkStart w:id="83" w:name="page84"/>
    <w:bookmarkEnd w:id="83"/>
    <w:p>
      <w:pPr>
        <w:spacing w:after="0" w:line="28" w:lineRule="exact"/>
        <w:rPr>
          <w:sz w:val="20"/>
          <w:szCs w:val="20"/>
          <w:color w:val="auto"/>
        </w:rPr>
      </w:pPr>
    </w:p>
    <w:p>
      <w:pPr>
        <w:ind w:left="501" w:right="200"/>
        <w:spacing w:after="0" w:line="244" w:lineRule="auto"/>
        <w:rPr>
          <w:sz w:val="20"/>
          <w:szCs w:val="20"/>
          <w:color w:val="auto"/>
        </w:rPr>
      </w:pPr>
      <w:r>
        <w:rPr>
          <w:rFonts w:ascii="Arial" w:cs="Arial" w:eastAsia="Arial" w:hAnsi="Arial"/>
          <w:sz w:val="17"/>
          <w:szCs w:val="17"/>
          <w:color w:val="auto"/>
        </w:rPr>
        <w:t>by real time instructions) from metered supply, however, only positive quantities, where meter exceeds the adjusted schedule, reflect surplus conditions for revenue sharing.</w:t>
      </w:r>
    </w:p>
    <w:p>
      <w:pPr>
        <w:spacing w:after="0" w:line="139" w:lineRule="exact"/>
        <w:rPr>
          <w:sz w:val="20"/>
          <w:szCs w:val="20"/>
          <w:color w:val="auto"/>
        </w:rPr>
      </w:pPr>
    </w:p>
    <w:p>
      <w:pPr>
        <w:ind w:left="501"/>
        <w:spacing w:after="0" w:line="235" w:lineRule="auto"/>
        <w:rPr>
          <w:sz w:val="20"/>
          <w:szCs w:val="20"/>
          <w:color w:val="auto"/>
        </w:rPr>
      </w:pPr>
      <w:r>
        <w:rPr>
          <w:rFonts w:ascii="Arial" w:cs="Arial" w:eastAsia="Arial" w:hAnsi="Arial"/>
          <w:sz w:val="17"/>
          <w:szCs w:val="17"/>
          <w:color w:val="auto"/>
        </w:rPr>
        <w:t>DWR share of revenues from delivery of surplus energy to ISO real time market shall be the product of the net revenues multiplied by the DWR Surplus Energy Percentage. Utility share of these net revenues shall be the net revenue less DWR share of net revenues. Revenues from delivery of surplus energy to the ISO real-time market shall not be distributed to the Parties until after the Utility received payment for final monthly invoice from the ISO for the month in which the surplus energy was delivered.</w:t>
      </w:r>
    </w:p>
    <w:p>
      <w:pPr>
        <w:spacing w:after="0" w:line="144" w:lineRule="exact"/>
        <w:rPr>
          <w:sz w:val="20"/>
          <w:szCs w:val="20"/>
          <w:color w:val="auto"/>
        </w:rPr>
      </w:pPr>
    </w:p>
    <w:p>
      <w:pPr>
        <w:ind w:left="501"/>
        <w:spacing w:after="0"/>
        <w:rPr>
          <w:sz w:val="20"/>
          <w:szCs w:val="20"/>
          <w:color w:val="auto"/>
        </w:rPr>
      </w:pPr>
      <w:r>
        <w:rPr>
          <w:rFonts w:ascii="Arial" w:cs="Arial" w:eastAsia="Arial" w:hAnsi="Arial"/>
          <w:sz w:val="17"/>
          <w:szCs w:val="17"/>
          <w:u w:val="single" w:color="auto"/>
          <w:color w:val="auto"/>
        </w:rPr>
        <w:t>Over-generation Periods</w:t>
      </w:r>
    </w:p>
    <w:p>
      <w:pPr>
        <w:spacing w:after="0" w:line="156" w:lineRule="exact"/>
        <w:rPr>
          <w:sz w:val="20"/>
          <w:szCs w:val="20"/>
          <w:color w:val="auto"/>
        </w:rPr>
      </w:pPr>
    </w:p>
    <w:p>
      <w:pPr>
        <w:ind w:left="501"/>
        <w:spacing w:after="0" w:line="247" w:lineRule="auto"/>
        <w:rPr>
          <w:sz w:val="20"/>
          <w:szCs w:val="20"/>
          <w:color w:val="auto"/>
        </w:rPr>
      </w:pPr>
      <w:r>
        <w:rPr>
          <w:rFonts w:ascii="Arial" w:cs="Arial" w:eastAsia="Arial" w:hAnsi="Arial"/>
          <w:sz w:val="16"/>
          <w:szCs w:val="16"/>
          <w:color w:val="auto"/>
        </w:rPr>
        <w:t>During periods of over-generation condition as announced by the ISO, surplus sales may be made at very low, zero or even negative prices. In such conditions, the surplus sale revenue calculations as described above still hold. However it is recognized that the sales may result in little or no revenue. Sales could even be done at a cost to the seller. That seller could be Utility or the ISO selling in an “out-of-market” condition. During these conditions, ISO-related charges assigned to Utility for such sales (e.g. – ISO selling out-of-market) are included in the surplus sales revenue as a cost. During over-generation conditions there may be no market in which to sell surplus energy. In that event, or in expectation of that event, Utility shall declare that no valid market exists for surplus energy and shall begin curtailing must-take resources in accordance with Utility’s procedures for mitigating over-generation conditions. Such mitigation measures shall be consistent with good utility practice, specifically hydroelectric facilities at spill or near-spill conditions and nuclear facilities scheduled by Utility are the last resources to be reduced in power output.</w:t>
      </w:r>
    </w:p>
    <w:p>
      <w:pPr>
        <w:spacing w:after="0" w:line="139" w:lineRule="exact"/>
        <w:rPr>
          <w:sz w:val="20"/>
          <w:szCs w:val="20"/>
          <w:color w:val="auto"/>
        </w:rPr>
      </w:pPr>
    </w:p>
    <w:p>
      <w:pPr>
        <w:ind w:left="501"/>
        <w:spacing w:after="0"/>
        <w:rPr>
          <w:sz w:val="20"/>
          <w:szCs w:val="20"/>
          <w:color w:val="auto"/>
        </w:rPr>
      </w:pPr>
      <w:r>
        <w:rPr>
          <w:rFonts w:ascii="Arial" w:cs="Arial" w:eastAsia="Arial" w:hAnsi="Arial"/>
          <w:sz w:val="17"/>
          <w:szCs w:val="17"/>
          <w:color w:val="auto"/>
        </w:rPr>
        <w:t>Over-generation for purposes of this Exhibit C is defined as the condition in which total supply exceeds total loads in the ISO control area.</w:t>
      </w:r>
    </w:p>
    <w:p>
      <w:pPr>
        <w:spacing w:after="0" w:line="156" w:lineRule="exact"/>
        <w:rPr>
          <w:sz w:val="20"/>
          <w:szCs w:val="20"/>
          <w:color w:val="auto"/>
        </w:rPr>
      </w:pPr>
    </w:p>
    <w:p>
      <w:pPr>
        <w:ind w:left="501" w:right="100"/>
        <w:spacing w:after="0" w:line="275" w:lineRule="auto"/>
        <w:rPr>
          <w:sz w:val="20"/>
          <w:szCs w:val="20"/>
          <w:color w:val="auto"/>
        </w:rPr>
      </w:pPr>
      <w:r>
        <w:rPr>
          <w:rFonts w:ascii="Arial" w:cs="Arial" w:eastAsia="Arial" w:hAnsi="Arial"/>
          <w:sz w:val="16"/>
          <w:szCs w:val="16"/>
          <w:color w:val="auto"/>
        </w:rPr>
        <w:t>Revenues or costs from delivery of surplus energy to the ISO real time market under an over-generation condition shall not be distributed to the Parties until after Utility receives payment for final monthly invoice from the ISO for the month in which the surplus energy was delivered.</w:t>
      </w:r>
    </w:p>
    <w:p>
      <w:pPr>
        <w:spacing w:after="0" w:line="116" w:lineRule="exact"/>
        <w:rPr>
          <w:sz w:val="20"/>
          <w:szCs w:val="20"/>
          <w:color w:val="auto"/>
        </w:rPr>
      </w:pPr>
    </w:p>
    <w:p>
      <w:pPr>
        <w:ind w:left="501"/>
        <w:spacing w:after="0"/>
        <w:rPr>
          <w:sz w:val="20"/>
          <w:szCs w:val="20"/>
          <w:color w:val="auto"/>
        </w:rPr>
      </w:pPr>
      <w:r>
        <w:rPr>
          <w:rFonts w:ascii="Arial" w:cs="Arial" w:eastAsia="Arial" w:hAnsi="Arial"/>
          <w:sz w:val="17"/>
          <w:szCs w:val="17"/>
          <w:u w:val="single" w:color="auto"/>
          <w:color w:val="auto"/>
        </w:rPr>
        <w:t>Calculation of Surplus Energy Percentage</w:t>
      </w:r>
    </w:p>
    <w:p>
      <w:pPr>
        <w:spacing w:after="0" w:line="156" w:lineRule="exact"/>
        <w:rPr>
          <w:sz w:val="20"/>
          <w:szCs w:val="20"/>
          <w:color w:val="auto"/>
        </w:rPr>
      </w:pPr>
    </w:p>
    <w:p>
      <w:pPr>
        <w:ind w:left="501"/>
        <w:spacing w:after="0"/>
        <w:rPr>
          <w:sz w:val="20"/>
          <w:szCs w:val="20"/>
          <w:color w:val="auto"/>
        </w:rPr>
      </w:pPr>
      <w:r>
        <w:rPr>
          <w:rFonts w:ascii="Arial" w:cs="Arial" w:eastAsia="Arial" w:hAnsi="Arial"/>
          <w:sz w:val="14"/>
          <w:szCs w:val="14"/>
          <w:color w:val="auto"/>
        </w:rPr>
        <w:t>DWR Surplus Energy Percentage shall be equal to the pro rata share of DWR Supply to the sum of Utility Supply and DWR Supply, expressed as follows:</w:t>
      </w:r>
    </w:p>
    <w:p>
      <w:pPr>
        <w:spacing w:after="0" w:line="190" w:lineRule="exact"/>
        <w:rPr>
          <w:sz w:val="20"/>
          <w:szCs w:val="20"/>
          <w:color w:val="auto"/>
        </w:rPr>
      </w:pPr>
    </w:p>
    <w:p>
      <w:pPr>
        <w:ind w:left="501"/>
        <w:spacing w:after="0"/>
        <w:rPr>
          <w:sz w:val="20"/>
          <w:szCs w:val="20"/>
          <w:color w:val="auto"/>
        </w:rPr>
      </w:pPr>
      <w:r>
        <w:rPr>
          <w:rFonts w:ascii="Arial" w:cs="Arial" w:eastAsia="Arial" w:hAnsi="Arial"/>
          <w:sz w:val="17"/>
          <w:szCs w:val="17"/>
          <w:i w:val="1"/>
          <w:iCs w:val="1"/>
          <w:color w:val="auto"/>
        </w:rPr>
        <w:t>DWR Surplus Energy Percentage = DWR Supply / (Utility Supply + DWR Supply)</w:t>
      </w:r>
    </w:p>
    <w:p>
      <w:pPr>
        <w:spacing w:after="0" w:line="156" w:lineRule="exact"/>
        <w:rPr>
          <w:sz w:val="20"/>
          <w:szCs w:val="20"/>
          <w:color w:val="auto"/>
        </w:rPr>
      </w:pPr>
    </w:p>
    <w:p>
      <w:pPr>
        <w:ind w:left="501"/>
        <w:spacing w:after="0"/>
        <w:rPr>
          <w:sz w:val="20"/>
          <w:szCs w:val="20"/>
          <w:color w:val="auto"/>
        </w:rPr>
      </w:pPr>
      <w:r>
        <w:rPr>
          <w:rFonts w:ascii="Arial" w:cs="Arial" w:eastAsia="Arial" w:hAnsi="Arial"/>
          <w:sz w:val="17"/>
          <w:szCs w:val="17"/>
          <w:color w:val="auto"/>
        </w:rPr>
        <w:t>Where:</w:t>
      </w:r>
    </w:p>
    <w:p>
      <w:pPr>
        <w:spacing w:after="0" w:line="156" w:lineRule="exact"/>
        <w:rPr>
          <w:sz w:val="20"/>
          <w:szCs w:val="20"/>
          <w:color w:val="auto"/>
        </w:rPr>
      </w:pPr>
    </w:p>
    <w:p>
      <w:pPr>
        <w:ind w:left="501" w:right="540"/>
        <w:spacing w:after="0" w:line="245" w:lineRule="auto"/>
        <w:rPr>
          <w:sz w:val="20"/>
          <w:szCs w:val="20"/>
          <w:color w:val="auto"/>
        </w:rPr>
      </w:pPr>
      <w:r>
        <w:rPr>
          <w:rFonts w:ascii="Arial" w:cs="Arial" w:eastAsia="Arial" w:hAnsi="Arial"/>
          <w:sz w:val="17"/>
          <w:szCs w:val="17"/>
          <w:color w:val="auto"/>
        </w:rPr>
        <w:t>DWR Supply is total energy dispatched from DWR Contracts with adjustments for transmission losses, Ancillary Services and ISO Instructed Energy transactions described below.</w:t>
      </w:r>
    </w:p>
    <w:p>
      <w:pPr>
        <w:spacing w:after="0" w:line="138" w:lineRule="exact"/>
        <w:rPr>
          <w:sz w:val="20"/>
          <w:szCs w:val="20"/>
          <w:color w:val="auto"/>
        </w:rPr>
      </w:pPr>
    </w:p>
    <w:p>
      <w:pPr>
        <w:ind w:left="501" w:right="200"/>
        <w:spacing w:after="0" w:line="237" w:lineRule="auto"/>
        <w:rPr>
          <w:sz w:val="20"/>
          <w:szCs w:val="20"/>
          <w:color w:val="auto"/>
        </w:rPr>
      </w:pPr>
      <w:r>
        <w:rPr>
          <w:rFonts w:ascii="Arial" w:cs="Arial" w:eastAsia="Arial" w:hAnsi="Arial"/>
          <w:sz w:val="17"/>
          <w:szCs w:val="17"/>
          <w:color w:val="auto"/>
        </w:rPr>
        <w:t>Utility Supply is total energy dispatched from URG, new Utility contracts and Utility market purchases with adjustments for transmission losses, existing wholesale obligations, Ancillary Services and ISO Instructed Energy, exchange transactions, all pumping loads, and ISO Uninstructed Energy as described below.</w:t>
      </w:r>
    </w:p>
    <w:p>
      <w:pPr>
        <w:spacing w:after="0" w:line="130" w:lineRule="exact"/>
        <w:rPr>
          <w:sz w:val="20"/>
          <w:szCs w:val="20"/>
          <w:color w:val="auto"/>
        </w:rPr>
      </w:pPr>
    </w:p>
    <w:p>
      <w:pPr>
        <w:ind w:left="501" w:hanging="501"/>
        <w:spacing w:after="0"/>
        <w:tabs>
          <w:tab w:leader="none" w:pos="501"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 and Adjustments</w:t>
      </w:r>
    </w:p>
    <w:p>
      <w:pPr>
        <w:spacing w:after="0" w:line="159" w:lineRule="exact"/>
        <w:rPr>
          <w:rFonts w:ascii="Arial" w:cs="Arial" w:eastAsia="Arial" w:hAnsi="Arial"/>
          <w:sz w:val="17"/>
          <w:szCs w:val="17"/>
          <w:b w:val="1"/>
          <w:bCs w:val="1"/>
          <w:color w:val="auto"/>
        </w:rPr>
      </w:pPr>
    </w:p>
    <w:p>
      <w:pPr>
        <w:ind w:left="501" w:right="500"/>
        <w:spacing w:after="0" w:line="245" w:lineRule="auto"/>
        <w:rPr>
          <w:rFonts w:ascii="Arial" w:cs="Arial" w:eastAsia="Arial" w:hAnsi="Arial"/>
          <w:sz w:val="17"/>
          <w:szCs w:val="17"/>
          <w:b w:val="1"/>
          <w:bCs w:val="1"/>
          <w:color w:val="auto"/>
        </w:rPr>
      </w:pPr>
      <w:r>
        <w:rPr>
          <w:rFonts w:ascii="Arial" w:cs="Arial" w:eastAsia="Arial" w:hAnsi="Arial"/>
          <w:sz w:val="17"/>
          <w:szCs w:val="17"/>
          <w:color w:val="auto"/>
        </w:rPr>
        <w:t>Certain energy and capacity transactions, which may be conducted by Utility in its normal course of business, may affect the Utility and DWR Supply quantities used in pro rata calculations.</w:t>
      </w:r>
    </w:p>
    <w:p>
      <w:pPr>
        <w:spacing w:after="0" w:line="138" w:lineRule="exact"/>
        <w:rPr>
          <w:rFonts w:ascii="Arial" w:cs="Arial" w:eastAsia="Arial" w:hAnsi="Arial"/>
          <w:sz w:val="17"/>
          <w:szCs w:val="17"/>
          <w:b w:val="1"/>
          <w:bCs w:val="1"/>
          <w:color w:val="auto"/>
        </w:rPr>
      </w:pPr>
    </w:p>
    <w:p>
      <w:pPr>
        <w:ind w:left="501" w:right="180"/>
        <w:spacing w:after="0" w:line="349" w:lineRule="auto"/>
        <w:rPr>
          <w:rFonts w:ascii="Arial" w:cs="Arial" w:eastAsia="Arial" w:hAnsi="Arial"/>
          <w:sz w:val="17"/>
          <w:szCs w:val="17"/>
          <w:b w:val="1"/>
          <w:bCs w:val="1"/>
          <w:color w:val="auto"/>
        </w:rPr>
      </w:pPr>
      <w:r>
        <w:rPr>
          <w:rFonts w:ascii="Arial" w:cs="Arial" w:eastAsia="Arial" w:hAnsi="Arial"/>
          <w:sz w:val="14"/>
          <w:szCs w:val="14"/>
          <w:u w:val="single" w:color="auto"/>
          <w:color w:val="auto"/>
        </w:rPr>
        <w:t>Exchanges</w:t>
      </w:r>
      <w:r>
        <w:rPr>
          <w:rFonts w:ascii="Arial" w:cs="Arial" w:eastAsia="Arial" w:hAnsi="Arial"/>
          <w:sz w:val="14"/>
          <w:szCs w:val="14"/>
          <w:color w:val="auto"/>
        </w:rPr>
        <w:t xml:space="preserve"> are transactions where energy is delivered to a third party in one period and a similar, but not necessarily equal, amount of energy is returned by third party in a different period. For the purposes of pro rata share calculation, exchanges use and supplement energy from the Utility Supply.</w:t>
      </w:r>
    </w:p>
    <w:p>
      <w:pPr>
        <w:spacing w:after="0" w:line="69" w:lineRule="exact"/>
        <w:rPr>
          <w:rFonts w:ascii="Arial" w:cs="Arial" w:eastAsia="Arial" w:hAnsi="Arial"/>
          <w:sz w:val="17"/>
          <w:szCs w:val="17"/>
          <w:b w:val="1"/>
          <w:bCs w:val="1"/>
          <w:color w:val="auto"/>
        </w:rPr>
      </w:pPr>
    </w:p>
    <w:p>
      <w:pPr>
        <w:ind w:left="501" w:right="720"/>
        <w:spacing w:after="0" w:line="245" w:lineRule="auto"/>
        <w:rPr>
          <w:rFonts w:ascii="Arial" w:cs="Arial" w:eastAsia="Arial" w:hAnsi="Arial"/>
          <w:sz w:val="17"/>
          <w:szCs w:val="17"/>
          <w:b w:val="1"/>
          <w:bCs w:val="1"/>
          <w:color w:val="auto"/>
        </w:rPr>
      </w:pPr>
      <w:r>
        <w:rPr>
          <w:rFonts w:ascii="Arial" w:cs="Arial" w:eastAsia="Arial" w:hAnsi="Arial"/>
          <w:sz w:val="17"/>
          <w:szCs w:val="17"/>
          <w:u w:val="single" w:color="auto"/>
          <w:color w:val="auto"/>
        </w:rPr>
        <w:t>Forward Sales</w:t>
      </w:r>
      <w:r>
        <w:rPr>
          <w:rFonts w:ascii="Arial" w:cs="Arial" w:eastAsia="Arial" w:hAnsi="Arial"/>
          <w:sz w:val="17"/>
          <w:szCs w:val="17"/>
          <w:color w:val="auto"/>
        </w:rPr>
        <w:t xml:space="preserve"> are transactions where energy is sold in a forward market to balance supply with demand. In general, for the purposes of remittance determination, forward sales are made using energy from the joint Utility/DWR portfolio.</w:t>
      </w:r>
    </w:p>
    <w:p>
      <w:pPr>
        <w:spacing w:after="0" w:line="138" w:lineRule="exact"/>
        <w:rPr>
          <w:rFonts w:ascii="Arial" w:cs="Arial" w:eastAsia="Arial" w:hAnsi="Arial"/>
          <w:sz w:val="17"/>
          <w:szCs w:val="17"/>
          <w:b w:val="1"/>
          <w:bCs w:val="1"/>
          <w:color w:val="auto"/>
        </w:rPr>
      </w:pPr>
    </w:p>
    <w:p>
      <w:pPr>
        <w:ind w:left="501" w:right="20"/>
        <w:spacing w:after="0" w:line="249" w:lineRule="auto"/>
        <w:rPr>
          <w:rFonts w:ascii="Arial" w:cs="Arial" w:eastAsia="Arial" w:hAnsi="Arial"/>
          <w:sz w:val="17"/>
          <w:szCs w:val="17"/>
          <w:b w:val="1"/>
          <w:bCs w:val="1"/>
          <w:color w:val="auto"/>
        </w:rPr>
      </w:pPr>
      <w:r>
        <w:rPr>
          <w:rFonts w:ascii="Arial" w:cs="Arial" w:eastAsia="Arial" w:hAnsi="Arial"/>
          <w:sz w:val="16"/>
          <w:szCs w:val="16"/>
          <w:u w:val="single" w:color="auto"/>
          <w:color w:val="auto"/>
        </w:rPr>
        <w:t>Ancillary Services</w:t>
      </w:r>
      <w:r>
        <w:rPr>
          <w:rFonts w:ascii="Arial" w:cs="Arial" w:eastAsia="Arial" w:hAnsi="Arial"/>
          <w:sz w:val="16"/>
          <w:szCs w:val="16"/>
          <w:color w:val="auto"/>
        </w:rPr>
        <w:t xml:space="preserve"> are transactions where capacity from certain qualifying resources is sold to ISO for ancillary services rather than being used as energy to serve retail load. Resources from both Utility portfolio and DWR Contracts may qualify for use as ancillary services. Since the capacity used for ancillary services does not serve retail energy load, ancillary service capacity is not considered as a joint Utility/DWR portfolio transaction for the purpose of remittance determination. If Utility or DWR Contract resource capacity is used for ancillary services, the capacity quantity will not be included in the supply quantity of the owning party for the purpose of pro rata share calculations, and owning party will retain all the revenues from the ancillary services as well as all associated transaction costs and ISO charges.</w:t>
      </w:r>
    </w:p>
    <w:p>
      <w:pPr>
        <w:spacing w:after="0" w:line="136" w:lineRule="exact"/>
        <w:rPr>
          <w:rFonts w:ascii="Arial" w:cs="Arial" w:eastAsia="Arial" w:hAnsi="Arial"/>
          <w:sz w:val="17"/>
          <w:szCs w:val="17"/>
          <w:b w:val="1"/>
          <w:bCs w:val="1"/>
          <w:color w:val="auto"/>
        </w:rPr>
      </w:pPr>
    </w:p>
    <w:p>
      <w:pPr>
        <w:ind w:left="501" w:right="20"/>
        <w:spacing w:after="0" w:line="248" w:lineRule="auto"/>
        <w:rPr>
          <w:rFonts w:ascii="Arial" w:cs="Arial" w:eastAsia="Arial" w:hAnsi="Arial"/>
          <w:sz w:val="17"/>
          <w:szCs w:val="17"/>
          <w:b w:val="1"/>
          <w:bCs w:val="1"/>
          <w:color w:val="auto"/>
        </w:rPr>
      </w:pPr>
      <w:r>
        <w:rPr>
          <w:rFonts w:ascii="Arial" w:cs="Arial" w:eastAsia="Arial" w:hAnsi="Arial"/>
          <w:sz w:val="16"/>
          <w:szCs w:val="16"/>
          <w:u w:val="single" w:color="auto"/>
          <w:color w:val="auto"/>
        </w:rPr>
        <w:t>ISO Instructed Energy</w:t>
      </w:r>
      <w:r>
        <w:rPr>
          <w:rFonts w:ascii="Arial" w:cs="Arial" w:eastAsia="Arial" w:hAnsi="Arial"/>
          <w:sz w:val="16"/>
          <w:szCs w:val="16"/>
          <w:color w:val="auto"/>
        </w:rPr>
        <w:t xml:space="preserve"> is a transaction where certain qualifying resources are able to sell energy from unused capacity to the ISO in the real time market. The energy delivered from these resources is directed by the ISO in real time to balance supply and load imbalances on the grid. Either Utility portfolio or DWR Contracts may contain resources that have ability to provide instructed energy to ISO. Since instructed energy is resource specific and does not directly serve the retail load of any utility, instructed energy is not considered as a joint Utility/DWR portfolio transaction for the purpose of remittance determination. If Utility or DWR Contract resources are dispatched as instructed energy, the energy quantity will not be included in the supply quantity of the owning party for the purpose of pro rata share calculations, and owning party will retain all the revenues from the instructed energy as well as all associated transaction costs and ISO charges.</w:t>
      </w:r>
    </w:p>
    <w:p>
      <w:pPr>
        <w:spacing w:after="0" w:line="136" w:lineRule="exact"/>
        <w:rPr>
          <w:rFonts w:ascii="Arial" w:cs="Arial" w:eastAsia="Arial" w:hAnsi="Arial"/>
          <w:sz w:val="17"/>
          <w:szCs w:val="17"/>
          <w:b w:val="1"/>
          <w:bCs w:val="1"/>
          <w:color w:val="auto"/>
        </w:rPr>
      </w:pPr>
    </w:p>
    <w:p>
      <w:pPr>
        <w:ind w:left="501" w:right="200"/>
        <w:spacing w:after="0" w:line="245" w:lineRule="auto"/>
        <w:rPr>
          <w:rFonts w:ascii="Arial" w:cs="Arial" w:eastAsia="Arial" w:hAnsi="Arial"/>
          <w:sz w:val="17"/>
          <w:szCs w:val="17"/>
          <w:b w:val="1"/>
          <w:bCs w:val="1"/>
          <w:color w:val="auto"/>
        </w:rPr>
      </w:pPr>
      <w:r>
        <w:rPr>
          <w:rFonts w:ascii="Arial" w:cs="Arial" w:eastAsia="Arial" w:hAnsi="Arial"/>
          <w:sz w:val="17"/>
          <w:szCs w:val="17"/>
          <w:color w:val="auto"/>
        </w:rPr>
        <w:t>ISO Uninstructed Energy is a transaction where energy is delivered or received from the ISO grid in the real time based on the actual consumption of retail load and actual deliveries of supply resources.</w:t>
      </w:r>
    </w:p>
    <w:p>
      <w:pPr>
        <w:spacing w:after="0" w:line="138" w:lineRule="exact"/>
        <w:rPr>
          <w:rFonts w:ascii="Arial" w:cs="Arial" w:eastAsia="Arial" w:hAnsi="Arial"/>
          <w:sz w:val="17"/>
          <w:szCs w:val="17"/>
          <w:b w:val="1"/>
          <w:bCs w:val="1"/>
          <w:color w:val="auto"/>
        </w:rPr>
      </w:pPr>
    </w:p>
    <w:p>
      <w:pPr>
        <w:ind w:left="501"/>
        <w:spacing w:after="0"/>
        <w:rPr>
          <w:rFonts w:ascii="Arial" w:cs="Arial" w:eastAsia="Arial" w:hAnsi="Arial"/>
          <w:sz w:val="17"/>
          <w:szCs w:val="17"/>
          <w:b w:val="1"/>
          <w:bCs w:val="1"/>
          <w:color w:val="auto"/>
        </w:rPr>
      </w:pPr>
      <w:r>
        <w:rPr>
          <w:rFonts w:ascii="Arial" w:cs="Arial" w:eastAsia="Arial" w:hAnsi="Arial"/>
          <w:sz w:val="17"/>
          <w:szCs w:val="17"/>
          <w:u w:val="single" w:color="auto"/>
          <w:color w:val="auto"/>
        </w:rPr>
        <w:t>Uninstructed Retail Load Deviations</w:t>
      </w:r>
    </w:p>
    <w:p>
      <w:pPr>
        <w:spacing w:after="0" w:line="155" w:lineRule="exact"/>
        <w:rPr>
          <w:rFonts w:ascii="Arial" w:cs="Arial" w:eastAsia="Arial" w:hAnsi="Arial"/>
          <w:sz w:val="17"/>
          <w:szCs w:val="17"/>
          <w:b w:val="1"/>
          <w:bCs w:val="1"/>
          <w:color w:val="auto"/>
        </w:rPr>
      </w:pPr>
    </w:p>
    <w:p>
      <w:pPr>
        <w:ind w:left="501"/>
        <w:spacing w:after="0" w:line="291" w:lineRule="auto"/>
        <w:rPr>
          <w:rFonts w:ascii="Arial" w:cs="Arial" w:eastAsia="Arial" w:hAnsi="Arial"/>
          <w:sz w:val="17"/>
          <w:szCs w:val="17"/>
          <w:b w:val="1"/>
          <w:bCs w:val="1"/>
          <w:color w:val="auto"/>
        </w:rPr>
      </w:pPr>
      <w:r>
        <w:rPr>
          <w:rFonts w:ascii="Arial" w:cs="Arial" w:eastAsia="Arial" w:hAnsi="Arial"/>
          <w:sz w:val="14"/>
          <w:szCs w:val="14"/>
          <w:color w:val="auto"/>
        </w:rPr>
        <w:t>Uninstructed Load Deviations are the difference between scheduled load and metered load. If retail load deviations are positive (schedule exceeds meter), it is considered that any excess supply (less any positive uninstructed supply deviation) was dispatched from the joint Utility/DWR portfolio in excess of quantity needed to serve retail load, and that the ISO credit for the excess supply should be shared pro rata as described above. If retail load deviations are negative (meter exceed schedule), to the extent deviations are not compensated by a positive uninstructed supply deviation, it is considered that Utility had to procure additional supply from ISO real time market. The negative load deviation quantity procured from ISO real time market is considered a Utility market purchase and the quantity will be included in Utility Supply for pro rata share calculation purposes.</w:t>
      </w:r>
    </w:p>
    <w:p>
      <w:pPr>
        <w:spacing w:after="0" w:line="110" w:lineRule="exact"/>
        <w:rPr>
          <w:rFonts w:ascii="Arial" w:cs="Arial" w:eastAsia="Arial" w:hAnsi="Arial"/>
          <w:sz w:val="17"/>
          <w:szCs w:val="17"/>
          <w:b w:val="1"/>
          <w:bCs w:val="1"/>
          <w:color w:val="auto"/>
        </w:rPr>
      </w:pPr>
    </w:p>
    <w:p>
      <w:pPr>
        <w:ind w:left="501"/>
        <w:spacing w:after="0"/>
        <w:rPr>
          <w:rFonts w:ascii="Arial" w:cs="Arial" w:eastAsia="Arial" w:hAnsi="Arial"/>
          <w:sz w:val="17"/>
          <w:szCs w:val="17"/>
          <w:b w:val="1"/>
          <w:bCs w:val="1"/>
          <w:color w:val="auto"/>
        </w:rPr>
      </w:pPr>
      <w:r>
        <w:rPr>
          <w:rFonts w:ascii="Arial" w:cs="Arial" w:eastAsia="Arial" w:hAnsi="Arial"/>
          <w:sz w:val="17"/>
          <w:szCs w:val="17"/>
          <w:u w:val="single" w:color="auto"/>
          <w:color w:val="auto"/>
        </w:rPr>
        <w:t>Uninstructed Supply Deviations</w:t>
      </w:r>
    </w:p>
    <w:p>
      <w:pPr>
        <w:spacing w:after="0" w:line="155" w:lineRule="exact"/>
        <w:rPr>
          <w:rFonts w:ascii="Arial" w:cs="Arial" w:eastAsia="Arial" w:hAnsi="Arial"/>
          <w:sz w:val="17"/>
          <w:szCs w:val="17"/>
          <w:b w:val="1"/>
          <w:bCs w:val="1"/>
          <w:color w:val="auto"/>
        </w:rPr>
      </w:pPr>
    </w:p>
    <w:p>
      <w:pPr>
        <w:ind w:left="501"/>
        <w:spacing w:after="0"/>
        <w:rPr>
          <w:rFonts w:ascii="Arial" w:cs="Arial" w:eastAsia="Arial" w:hAnsi="Arial"/>
          <w:sz w:val="17"/>
          <w:szCs w:val="17"/>
          <w:b w:val="1"/>
          <w:bCs w:val="1"/>
          <w:color w:val="auto"/>
        </w:rPr>
      </w:pPr>
      <w:r>
        <w:rPr>
          <w:rFonts w:ascii="Arial" w:cs="Arial" w:eastAsia="Arial" w:hAnsi="Arial"/>
          <w:sz w:val="14"/>
          <w:szCs w:val="14"/>
          <w:color w:val="auto"/>
        </w:rPr>
        <w:t>Uninstructed Supply Deviations are the difference between scheduled supply and metered supply plus an ISO allocation for transmission losses. If Utility’s</w:t>
      </w:r>
    </w:p>
    <w:p>
      <w:pPr>
        <w:spacing w:after="0" w:line="43" w:lineRule="exact"/>
        <w:rPr>
          <w:sz w:val="20"/>
          <w:szCs w:val="20"/>
          <w:color w:val="auto"/>
        </w:rPr>
      </w:pPr>
    </w:p>
    <w:p>
      <w:pPr>
        <w:ind w:left="501" w:right="20"/>
        <w:spacing w:after="0" w:line="231" w:lineRule="auto"/>
        <w:rPr>
          <w:sz w:val="20"/>
          <w:szCs w:val="20"/>
          <w:color w:val="auto"/>
        </w:rPr>
      </w:pPr>
      <w:r>
        <w:rPr>
          <w:rFonts w:ascii="Arial" w:cs="Arial" w:eastAsia="Arial" w:hAnsi="Arial"/>
          <w:sz w:val="16"/>
          <w:szCs w:val="16"/>
          <w:color w:val="auto"/>
        </w:rPr>
        <w:t>net supply deviations</w:t>
      </w:r>
      <w:r>
        <w:rPr>
          <w:rFonts w:ascii="Arial" w:cs="Arial" w:eastAsia="Arial" w:hAnsi="Arial"/>
          <w:sz w:val="25"/>
          <w:szCs w:val="25"/>
          <w:color w:val="auto"/>
          <w:vertAlign w:val="superscript"/>
        </w:rPr>
        <w:t>1</w:t>
      </w:r>
      <w:r>
        <w:rPr>
          <w:rFonts w:ascii="Arial" w:cs="Arial" w:eastAsia="Arial" w:hAnsi="Arial"/>
          <w:sz w:val="16"/>
          <w:szCs w:val="16"/>
          <w:color w:val="auto"/>
        </w:rPr>
        <w:t xml:space="preserve"> </w:t>
      </w:r>
      <w:r>
        <w:rPr>
          <w:rFonts w:ascii="Arial" w:cs="Arial" w:eastAsia="Arial" w:hAnsi="Arial"/>
          <w:sz w:val="12"/>
          <w:szCs w:val="12"/>
          <w:color w:val="auto"/>
        </w:rPr>
        <w:t>are positive (meter exceeds schedule), to the extent not needed to compensate a negative uninstructed retail load deviation, it is considered that excess supply was</w:t>
      </w:r>
      <w:r>
        <w:rPr>
          <w:rFonts w:ascii="Arial" w:cs="Arial" w:eastAsia="Arial" w:hAnsi="Arial"/>
          <w:sz w:val="16"/>
          <w:szCs w:val="16"/>
          <w:color w:val="auto"/>
        </w:rPr>
        <w:t xml:space="preserve"> </w:t>
      </w:r>
      <w:r>
        <w:rPr>
          <w:rFonts w:ascii="Arial" w:cs="Arial" w:eastAsia="Arial" w:hAnsi="Arial"/>
          <w:sz w:val="12"/>
          <w:szCs w:val="12"/>
          <w:color w:val="auto"/>
        </w:rPr>
        <w:t>a Utility market sale and will not be included in Utility Supply for pro rate calculation purposes. If Utility’s net supply deviations are negative (schedule exceeds meter), to the extent not balanced by a positive uninstructed retail load deviation, it is considered that Utility had to procure additional supply from the ISO real time market. The negative supply deviation quantity procured from the ISO real time market is considered a Utility market purchase and the quantity will be included in Utility Supply for pro rata share calculation purposes.</w:t>
      </w:r>
    </w:p>
    <w:p>
      <w:pPr>
        <w:spacing w:after="0" w:line="131" w:lineRule="exact"/>
        <w:rPr>
          <w:sz w:val="20"/>
          <w:szCs w:val="20"/>
          <w:color w:val="auto"/>
        </w:rPr>
      </w:pPr>
    </w:p>
    <w:p>
      <w:pPr>
        <w:ind w:left="501"/>
        <w:spacing w:after="0"/>
        <w:rPr>
          <w:sz w:val="20"/>
          <w:szCs w:val="20"/>
          <w:color w:val="auto"/>
        </w:rPr>
      </w:pPr>
      <w:r>
        <w:rPr>
          <w:rFonts w:ascii="Arial" w:cs="Arial" w:eastAsia="Arial" w:hAnsi="Arial"/>
          <w:sz w:val="17"/>
          <w:szCs w:val="17"/>
          <w:u w:val="single" w:color="auto"/>
          <w:color w:val="auto"/>
        </w:rPr>
        <w:t>Transmission Losses</w:t>
      </w:r>
    </w:p>
    <w:p>
      <w:pPr>
        <w:spacing w:after="0" w:line="156" w:lineRule="exact"/>
        <w:rPr>
          <w:sz w:val="20"/>
          <w:szCs w:val="20"/>
          <w:color w:val="auto"/>
        </w:rPr>
      </w:pPr>
    </w:p>
    <w:p>
      <w:pPr>
        <w:jc w:val="both"/>
        <w:ind w:left="501" w:right="280"/>
        <w:spacing w:after="0" w:line="259" w:lineRule="auto"/>
        <w:rPr>
          <w:sz w:val="20"/>
          <w:szCs w:val="20"/>
          <w:color w:val="auto"/>
        </w:rPr>
      </w:pPr>
      <w:r>
        <w:rPr>
          <w:rFonts w:ascii="Arial" w:cs="Arial" w:eastAsia="Arial" w:hAnsi="Arial"/>
          <w:sz w:val="16"/>
          <w:szCs w:val="16"/>
          <w:color w:val="auto"/>
        </w:rPr>
        <w:t>Transmission loss is defined as Energy that is lost due to the process of transmitting energy from supply source to load. Therefore, supply resources from DWR Contracts and Utility Supply have distinct and identifiable quantity of transmission losses. Utility and DWR Supply should be net of transmission losses because of energy that is delivered to retail customers (i.e. load) equals quantity of supply less losses.</w:t>
      </w:r>
    </w:p>
    <w:p>
      <w:pPr>
        <w:spacing w:after="0" w:line="114" w:lineRule="exact"/>
        <w:rPr>
          <w:sz w:val="20"/>
          <w:szCs w:val="20"/>
          <w:color w:val="auto"/>
        </w:rPr>
      </w:pPr>
    </w:p>
    <w:p>
      <w:pPr>
        <w:ind w:left="501" w:hanging="501"/>
        <w:spacing w:after="0"/>
        <w:tabs>
          <w:tab w:leader="none" w:pos="501"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Utility Remittance to DWR for Sales of DWR Energy to Utility Retail Customers –Energy Payment</w:t>
      </w:r>
    </w:p>
    <w:p>
      <w:pPr>
        <w:sectPr>
          <w:pgSz w:w="11900" w:h="16866" w:orient="portrait"/>
          <w:cols w:equalWidth="0" w:num="1">
            <w:col w:w="10941"/>
          </w:cols>
          <w:pgMar w:left="719" w:top="124" w:right="239" w:bottom="0" w:gutter="0" w:footer="0" w:header="0"/>
        </w:sectPr>
      </w:pPr>
    </w:p>
    <w:bookmarkStart w:id="84" w:name="page85"/>
    <w:bookmarkEnd w:id="84"/>
    <w:p>
      <w:pPr>
        <w:ind w:left="997"/>
        <w:spacing w:after="0"/>
        <w:rPr>
          <w:sz w:val="20"/>
          <w:szCs w:val="20"/>
          <w:color w:val="auto"/>
        </w:rPr>
      </w:pPr>
      <w:r>
        <w:rPr>
          <w:rFonts w:ascii="Arial" w:cs="Arial" w:eastAsia="Arial" w:hAnsi="Arial"/>
          <w:sz w:val="17"/>
          <w:szCs w:val="17"/>
          <w:color w:val="auto"/>
        </w:rPr>
        <w:t>Utility shall remit to DWR its Energy Payments according to the terms of each Utility’s respective Servicing Arrangement.</w:t>
      </w:r>
    </w:p>
    <w:p>
      <w:pPr>
        <w:spacing w:after="0" w:line="155" w:lineRule="exact"/>
        <w:rPr>
          <w:sz w:val="20"/>
          <w:szCs w:val="20"/>
          <w:color w:val="auto"/>
        </w:rPr>
      </w:pPr>
    </w:p>
    <w:p>
      <w:pPr>
        <w:ind w:left="997" w:right="60"/>
        <w:spacing w:after="0" w:line="250" w:lineRule="auto"/>
        <w:rPr>
          <w:sz w:val="20"/>
          <w:szCs w:val="20"/>
          <w:color w:val="auto"/>
        </w:rPr>
      </w:pPr>
      <w:r>
        <w:rPr>
          <w:rFonts w:ascii="Arial" w:cs="Arial" w:eastAsia="Arial" w:hAnsi="Arial"/>
          <w:sz w:val="16"/>
          <w:szCs w:val="16"/>
          <w:color w:val="auto"/>
        </w:rPr>
        <w:t>The DWR Energy Payment is billed by each utility to customers in accordance with the terms of each applicable Utility Servicing Arrangement. The DWR Energy Payment is billed kWhs served by Net DWR Supply at the applicable CPUC approved DWR rate. Net DWR Supply is total DWR Supply less DWR share of surplus energy. The DWR Energy Payment is allocated based on the percentage of energy supplied by DWR to Utility, which is the “Hourly Percentage Factor” multiplied by the retail load of each customer. The Hourly Percentage Factor is determined by calculating the percentage of net energy supplied by DWR to Utility to serve retail load, as expressed below:</w:t>
      </w:r>
    </w:p>
    <w:p>
      <w:pPr>
        <w:spacing w:after="0" w:line="137" w:lineRule="exact"/>
        <w:rPr>
          <w:sz w:val="20"/>
          <w:szCs w:val="20"/>
          <w:color w:val="auto"/>
        </w:rPr>
      </w:pPr>
    </w:p>
    <w:p>
      <w:pPr>
        <w:ind w:left="997"/>
        <w:spacing w:after="0"/>
        <w:rPr>
          <w:sz w:val="20"/>
          <w:szCs w:val="20"/>
          <w:color w:val="auto"/>
        </w:rPr>
      </w:pPr>
      <w:r>
        <w:rPr>
          <w:rFonts w:ascii="Arial" w:cs="Arial" w:eastAsia="Arial" w:hAnsi="Arial"/>
          <w:sz w:val="17"/>
          <w:szCs w:val="17"/>
          <w:i w:val="1"/>
          <w:iCs w:val="1"/>
          <w:color w:val="auto"/>
        </w:rPr>
        <w:t>Hourly Percentage Factor = Net DWR Supply / (Net Utility Supply + Net DWR Supply)</w:t>
      </w:r>
    </w:p>
    <w:p>
      <w:pPr>
        <w:spacing w:after="0" w:line="156" w:lineRule="exact"/>
        <w:rPr>
          <w:sz w:val="20"/>
          <w:szCs w:val="20"/>
          <w:color w:val="auto"/>
        </w:rPr>
      </w:pPr>
    </w:p>
    <w:p>
      <w:pPr>
        <w:ind w:left="997"/>
        <w:spacing w:after="0"/>
        <w:rPr>
          <w:sz w:val="20"/>
          <w:szCs w:val="20"/>
          <w:color w:val="auto"/>
        </w:rPr>
      </w:pPr>
      <w:r>
        <w:rPr>
          <w:rFonts w:ascii="Arial" w:cs="Arial" w:eastAsia="Arial" w:hAnsi="Arial"/>
          <w:sz w:val="17"/>
          <w:szCs w:val="17"/>
          <w:color w:val="auto"/>
        </w:rPr>
        <w:t>Where:</w:t>
      </w:r>
    </w:p>
    <w:p>
      <w:pPr>
        <w:spacing w:after="0" w:line="156" w:lineRule="exact"/>
        <w:rPr>
          <w:sz w:val="20"/>
          <w:szCs w:val="20"/>
          <w:color w:val="auto"/>
        </w:rPr>
      </w:pPr>
    </w:p>
    <w:p>
      <w:pPr>
        <w:ind w:left="997" w:right="40"/>
        <w:spacing w:after="0" w:line="245" w:lineRule="auto"/>
        <w:rPr>
          <w:sz w:val="20"/>
          <w:szCs w:val="20"/>
          <w:color w:val="auto"/>
        </w:rPr>
      </w:pPr>
      <w:r>
        <w:rPr>
          <w:rFonts w:ascii="Arial" w:cs="Arial" w:eastAsia="Arial" w:hAnsi="Arial"/>
          <w:sz w:val="17"/>
          <w:szCs w:val="17"/>
          <w:color w:val="auto"/>
        </w:rPr>
        <w:t>Net DWR Supply is DWR Supply quantity used for the determination of DWR Surplus Energy Percentage less DWR share of surplus energy quantity, which is determined by the product of surplus energy multiplied by DWR Surplus Energy Percentage.</w:t>
      </w:r>
    </w:p>
    <w:p>
      <w:pPr>
        <w:spacing w:after="0" w:line="138" w:lineRule="exact"/>
        <w:rPr>
          <w:sz w:val="20"/>
          <w:szCs w:val="20"/>
          <w:color w:val="auto"/>
        </w:rPr>
      </w:pPr>
    </w:p>
    <w:p>
      <w:pPr>
        <w:ind w:left="997" w:right="360"/>
        <w:spacing w:after="0" w:line="245" w:lineRule="auto"/>
        <w:rPr>
          <w:sz w:val="20"/>
          <w:szCs w:val="20"/>
          <w:color w:val="auto"/>
        </w:rPr>
      </w:pPr>
      <w:r>
        <w:rPr>
          <w:rFonts w:ascii="Arial" w:cs="Arial" w:eastAsia="Arial" w:hAnsi="Arial"/>
          <w:sz w:val="17"/>
          <w:szCs w:val="17"/>
          <w:color w:val="auto"/>
        </w:rPr>
        <w:t>Net Utility Supply is Utility Supply quantity used for the determination of DWR Surplus Energy Percentage less Utility share of surplus energy quantity, which is total surplus energy less the DWR share of surplus energy quantity.</w:t>
      </w:r>
    </w:p>
    <w:p>
      <w:pPr>
        <w:spacing w:after="0" w:line="138" w:lineRule="exact"/>
        <w:rPr>
          <w:sz w:val="20"/>
          <w:szCs w:val="20"/>
          <w:color w:val="auto"/>
        </w:rPr>
      </w:pPr>
    </w:p>
    <w:p>
      <w:pPr>
        <w:ind w:left="997" w:right="40"/>
        <w:spacing w:after="0" w:line="245" w:lineRule="auto"/>
        <w:rPr>
          <w:sz w:val="20"/>
          <w:szCs w:val="20"/>
          <w:color w:val="auto"/>
        </w:rPr>
      </w:pPr>
      <w:r>
        <w:rPr>
          <w:rFonts w:ascii="Arial" w:cs="Arial" w:eastAsia="Arial" w:hAnsi="Arial"/>
          <w:sz w:val="17"/>
          <w:szCs w:val="17"/>
          <w:color w:val="auto"/>
        </w:rPr>
        <w:t>In the Event of any conflict between the formulas and procedures in this Exhibit C and the formulas and procedures in Utility’s Servicing Arrangement, those contained in Utility’s Servicing Arrangement shall govern.</w:t>
      </w:r>
    </w:p>
    <w:p>
      <w:pPr>
        <w:spacing w:after="0" w:line="124" w:lineRule="exact"/>
        <w:rPr>
          <w:sz w:val="20"/>
          <w:szCs w:val="20"/>
          <w:color w:val="auto"/>
        </w:rPr>
      </w:pPr>
    </w:p>
    <w:p>
      <w:pPr>
        <w:ind w:left="997" w:hanging="501"/>
        <w:spacing w:after="0"/>
        <w:tabs>
          <w:tab w:leader="none" w:pos="997" w:val="left"/>
        </w:tabs>
        <w:numPr>
          <w:ilvl w:val="1"/>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Other</w:t>
      </w:r>
    </w:p>
    <w:p>
      <w:pPr>
        <w:spacing w:after="0" w:line="159" w:lineRule="exact"/>
        <w:rPr>
          <w:rFonts w:ascii="Arial" w:cs="Arial" w:eastAsia="Arial" w:hAnsi="Arial"/>
          <w:sz w:val="17"/>
          <w:szCs w:val="17"/>
          <w:b w:val="1"/>
          <w:bCs w:val="1"/>
          <w:color w:val="auto"/>
        </w:rPr>
      </w:pPr>
    </w:p>
    <w:p>
      <w:pPr>
        <w:ind w:left="997" w:right="800"/>
        <w:spacing w:after="0" w:line="245" w:lineRule="auto"/>
        <w:rPr>
          <w:rFonts w:ascii="Arial" w:cs="Arial" w:eastAsia="Arial" w:hAnsi="Arial"/>
          <w:sz w:val="17"/>
          <w:szCs w:val="17"/>
          <w:b w:val="1"/>
          <w:bCs w:val="1"/>
          <w:color w:val="auto"/>
        </w:rPr>
      </w:pPr>
      <w:r>
        <w:rPr>
          <w:rFonts w:ascii="Arial" w:cs="Arial" w:eastAsia="Arial" w:hAnsi="Arial"/>
          <w:sz w:val="17"/>
          <w:szCs w:val="17"/>
          <w:color w:val="auto"/>
        </w:rPr>
        <w:t>In the Event of any conflict between the formulas and procedures in this Part I of Exhibit C and the formulas and procedures in Utility’s Servicing Arrangement, those contained in Utility’s Servicing Arrangement shall govern.</w:t>
      </w:r>
    </w:p>
    <w:p>
      <w:pPr>
        <w:spacing w:after="0" w:line="134" w:lineRule="exact"/>
        <w:rPr>
          <w:rFonts w:ascii="Arial" w:cs="Arial" w:eastAsia="Arial" w:hAnsi="Arial"/>
          <w:sz w:val="17"/>
          <w:szCs w:val="17"/>
          <w:b w:val="1"/>
          <w:bCs w:val="1"/>
          <w:color w:val="auto"/>
        </w:rPr>
      </w:pPr>
    </w:p>
    <w:p>
      <w:pPr>
        <w:ind w:left="497" w:hanging="497"/>
        <w:spacing w:after="0"/>
        <w:tabs>
          <w:tab w:leader="none" w:pos="497" w:val="left"/>
        </w:tabs>
        <w:numPr>
          <w:ilvl w:val="0"/>
          <w:numId w:val="95"/>
        </w:numPr>
        <w:rPr>
          <w:rFonts w:ascii="Arial" w:cs="Arial" w:eastAsia="Arial" w:hAnsi="Arial"/>
          <w:sz w:val="17"/>
          <w:szCs w:val="17"/>
          <w:b w:val="1"/>
          <w:bCs w:val="1"/>
          <w:color w:val="auto"/>
        </w:rPr>
      </w:pPr>
      <w:r>
        <w:rPr>
          <w:rFonts w:ascii="Arial" w:cs="Arial" w:eastAsia="Arial" w:hAnsi="Arial"/>
          <w:sz w:val="17"/>
          <w:szCs w:val="17"/>
          <w:b w:val="1"/>
          <w:bCs w:val="1"/>
          <w:color w:val="auto"/>
        </w:rPr>
        <w:t>Utility Remittance to DWR - On and After the MRTU Effective Date</w:t>
      </w:r>
    </w:p>
    <w:p>
      <w:pPr>
        <w:spacing w:after="0" w:line="159" w:lineRule="exact"/>
        <w:rPr>
          <w:rFonts w:ascii="Arial" w:cs="Arial" w:eastAsia="Arial" w:hAnsi="Arial"/>
          <w:sz w:val="17"/>
          <w:szCs w:val="17"/>
          <w:b w:val="1"/>
          <w:bCs w:val="1"/>
          <w:color w:val="auto"/>
        </w:rPr>
      </w:pPr>
    </w:p>
    <w:p>
      <w:pPr>
        <w:ind w:left="497" w:right="160"/>
        <w:spacing w:after="0" w:line="275" w:lineRule="auto"/>
        <w:rPr>
          <w:rFonts w:ascii="Arial" w:cs="Arial" w:eastAsia="Arial" w:hAnsi="Arial"/>
          <w:sz w:val="17"/>
          <w:szCs w:val="17"/>
          <w:b w:val="1"/>
          <w:bCs w:val="1"/>
          <w:color w:val="auto"/>
        </w:rPr>
      </w:pPr>
      <w:r>
        <w:rPr>
          <w:rFonts w:ascii="Arial" w:cs="Arial" w:eastAsia="Arial" w:hAnsi="Arial"/>
          <w:sz w:val="16"/>
          <w:szCs w:val="16"/>
          <w:color w:val="auto"/>
        </w:rPr>
        <w:t>On and after the MRTU Effective Date, Utility shall make Remittances to DWR for the delivery of Contract energy to Utility retail customers, all as set forth under this Part II of Exhibit C. The details for determination of the Remittances to DWR by Utility are contained in the Servicing Arrangement.</w:t>
      </w:r>
    </w:p>
    <w:p>
      <w:pPr>
        <w:spacing w:after="0" w:line="101" w:lineRule="exact"/>
        <w:rPr>
          <w:rFonts w:ascii="Arial" w:cs="Arial" w:eastAsia="Arial" w:hAnsi="Arial"/>
          <w:sz w:val="17"/>
          <w:szCs w:val="17"/>
          <w:b w:val="1"/>
          <w:bCs w:val="1"/>
          <w:color w:val="auto"/>
        </w:rPr>
      </w:pPr>
    </w:p>
    <w:p>
      <w:pPr>
        <w:ind w:left="997" w:hanging="501"/>
        <w:spacing w:after="0"/>
        <w:tabs>
          <w:tab w:leader="none" w:pos="997" w:val="left"/>
        </w:tabs>
        <w:numPr>
          <w:ilvl w:val="1"/>
          <w:numId w:val="95"/>
        </w:numPr>
        <w:rPr>
          <w:rFonts w:ascii="Arial" w:cs="Arial" w:eastAsia="Arial" w:hAnsi="Arial"/>
          <w:sz w:val="17"/>
          <w:szCs w:val="17"/>
          <w:b w:val="1"/>
          <w:bCs w:val="1"/>
          <w:color w:val="auto"/>
        </w:rPr>
      </w:pPr>
      <w:r>
        <w:rPr>
          <w:rFonts w:ascii="Arial" w:cs="Arial" w:eastAsia="Arial" w:hAnsi="Arial"/>
          <w:sz w:val="17"/>
          <w:szCs w:val="17"/>
          <w:b w:val="1"/>
          <w:bCs w:val="1"/>
          <w:color w:val="auto"/>
        </w:rPr>
        <w:t>DWR Remittances</w:t>
      </w:r>
    </w:p>
    <w:p>
      <w:pPr>
        <w:spacing w:after="0" w:line="159" w:lineRule="exact"/>
        <w:rPr>
          <w:rFonts w:ascii="Arial" w:cs="Arial" w:eastAsia="Arial" w:hAnsi="Arial"/>
          <w:sz w:val="17"/>
          <w:szCs w:val="17"/>
          <w:b w:val="1"/>
          <w:bCs w:val="1"/>
          <w:color w:val="auto"/>
        </w:rPr>
      </w:pPr>
    </w:p>
    <w:p>
      <w:pPr>
        <w:ind w:left="997" w:right="260"/>
        <w:spacing w:after="0" w:line="313" w:lineRule="auto"/>
        <w:rPr>
          <w:rFonts w:ascii="Arial" w:cs="Arial" w:eastAsia="Arial" w:hAnsi="Arial"/>
          <w:sz w:val="17"/>
          <w:szCs w:val="17"/>
          <w:b w:val="1"/>
          <w:bCs w:val="1"/>
          <w:color w:val="auto"/>
        </w:rPr>
      </w:pPr>
      <w:r>
        <w:rPr>
          <w:rFonts w:ascii="Arial" w:cs="Arial" w:eastAsia="Arial" w:hAnsi="Arial"/>
          <w:sz w:val="14"/>
          <w:szCs w:val="14"/>
          <w:color w:val="auto"/>
        </w:rPr>
        <w:t>For billing purposes, Bundled Customers’ energy usage for DWR Bundled Customer Power Charge shall be based on “DWR Percentage Calculation” and shall be billed by each Utility to Customers in accordance with the terms of each applicable Servicing Arrangement. DWR Percentage Calculation determines the percentage of DWR Contract power relative to the total “Estimated Bundled Customer Load” as expressed below:</w:t>
      </w:r>
    </w:p>
    <w:p>
      <w:pPr>
        <w:spacing w:after="0" w:line="93" w:lineRule="exact"/>
        <w:rPr>
          <w:rFonts w:ascii="Arial" w:cs="Arial" w:eastAsia="Arial" w:hAnsi="Arial"/>
          <w:sz w:val="17"/>
          <w:szCs w:val="17"/>
          <w:b w:val="1"/>
          <w:bCs w:val="1"/>
          <w:color w:val="auto"/>
        </w:rPr>
      </w:pPr>
    </w:p>
    <w:p>
      <w:pPr>
        <w:ind w:left="997" w:right="100"/>
        <w:spacing w:after="0" w:line="245" w:lineRule="auto"/>
        <w:rPr>
          <w:rFonts w:ascii="Arial" w:cs="Arial" w:eastAsia="Arial" w:hAnsi="Arial"/>
          <w:sz w:val="17"/>
          <w:szCs w:val="17"/>
          <w:b w:val="1"/>
          <w:bCs w:val="1"/>
          <w:color w:val="auto"/>
        </w:rPr>
      </w:pPr>
      <w:r>
        <w:rPr>
          <w:rFonts w:ascii="Arial" w:cs="Arial" w:eastAsia="Arial" w:hAnsi="Arial"/>
          <w:sz w:val="17"/>
          <w:szCs w:val="17"/>
          <w:i w:val="1"/>
          <w:iCs w:val="1"/>
          <w:color w:val="auto"/>
        </w:rPr>
        <w:t>DWR Percentage Calculation = Summation of Hourly DWR Remittance Basis Power (MWh), divided by Summation of Hourly Estimated Bundled Customer Load (MWh)</w:t>
      </w:r>
    </w:p>
    <w:p>
      <w:pPr>
        <w:spacing w:after="0" w:line="138" w:lineRule="exact"/>
        <w:rPr>
          <w:rFonts w:ascii="Arial" w:cs="Arial" w:eastAsia="Arial" w:hAnsi="Arial"/>
          <w:sz w:val="17"/>
          <w:szCs w:val="17"/>
          <w:b w:val="1"/>
          <w:bCs w:val="1"/>
          <w:color w:val="auto"/>
        </w:rPr>
      </w:pPr>
    </w:p>
    <w:p>
      <w:pPr>
        <w:ind w:left="997" w:right="60"/>
        <w:spacing w:after="0" w:line="237" w:lineRule="auto"/>
        <w:rPr>
          <w:rFonts w:ascii="Arial" w:cs="Arial" w:eastAsia="Arial" w:hAnsi="Arial"/>
          <w:sz w:val="17"/>
          <w:szCs w:val="17"/>
          <w:b w:val="1"/>
          <w:bCs w:val="1"/>
          <w:color w:val="auto"/>
        </w:rPr>
      </w:pPr>
      <w:r>
        <w:rPr>
          <w:rFonts w:ascii="Arial" w:cs="Arial" w:eastAsia="Arial" w:hAnsi="Arial"/>
          <w:sz w:val="17"/>
          <w:szCs w:val="17"/>
          <w:color w:val="auto"/>
        </w:rPr>
        <w:t>The term “DWR Remittance Basis” refers to the aggregated quantity and amount of energy (MWh) set forth in the table in Schedule 1 of this 2010 Operating Order in the column noted as “Remittance Basis” and as may be further modified under Section B entitled “Real Time Energy Dispatch Charges &amp; Credits” below.</w:t>
      </w:r>
    </w:p>
    <w:p>
      <w:pPr>
        <w:spacing w:after="0" w:line="144" w:lineRule="exact"/>
        <w:rPr>
          <w:rFonts w:ascii="Arial" w:cs="Arial" w:eastAsia="Arial" w:hAnsi="Arial"/>
          <w:sz w:val="17"/>
          <w:szCs w:val="17"/>
          <w:b w:val="1"/>
          <w:bCs w:val="1"/>
          <w:color w:val="auto"/>
        </w:rPr>
      </w:pPr>
    </w:p>
    <w:p>
      <w:pPr>
        <w:ind w:left="997"/>
        <w:spacing w:after="0" w:line="248" w:lineRule="auto"/>
        <w:rPr>
          <w:rFonts w:ascii="Arial" w:cs="Arial" w:eastAsia="Arial" w:hAnsi="Arial"/>
          <w:sz w:val="17"/>
          <w:szCs w:val="17"/>
          <w:b w:val="1"/>
          <w:bCs w:val="1"/>
          <w:color w:val="auto"/>
        </w:rPr>
      </w:pPr>
      <w:r>
        <w:rPr>
          <w:rFonts w:ascii="Arial" w:cs="Arial" w:eastAsia="Arial" w:hAnsi="Arial"/>
          <w:sz w:val="16"/>
          <w:szCs w:val="16"/>
          <w:color w:val="auto"/>
        </w:rPr>
        <w:t>The term “Estimated Bundled Customer Load” is an estimate of Power purchased on behalf of the Utility’s Bundled Customers within the Utility’s Service Area. The Estimated Bundled Customer Load is calculated hourly using the actual Service Area MW load from the Utility’s Energy Management System (EMS). Estimated Bundled Customer Load is derived from in-area generation and net power flows at the Utility’s boundary and adjusted by removing actual pumping load (from EMS), estimate of Transmission Losses, and estimate of “Non-Bundled Customer Load”, consisting of Direct Access Customers, Customer Generation Departing Load Customers, Municipal Departing Load Customers and Community Choice Aggregation Customers, as such Customer Types are specifically defined in the 2007 Servicing Orders and may exist from time to time with respect to each Utility, and excluding other specified categories as further provided in the 2010 Servicing Order.</w:t>
      </w:r>
    </w:p>
    <w:p>
      <w:pPr>
        <w:spacing w:after="0" w:line="136" w:lineRule="exact"/>
        <w:rPr>
          <w:rFonts w:ascii="Arial" w:cs="Arial" w:eastAsia="Arial" w:hAnsi="Arial"/>
          <w:sz w:val="17"/>
          <w:szCs w:val="17"/>
          <w:b w:val="1"/>
          <w:bCs w:val="1"/>
          <w:color w:val="auto"/>
        </w:rPr>
      </w:pPr>
    </w:p>
    <w:p>
      <w:pPr>
        <w:ind w:left="997"/>
        <w:spacing w:after="0"/>
        <w:rPr>
          <w:rFonts w:ascii="Arial" w:cs="Arial" w:eastAsia="Arial" w:hAnsi="Arial"/>
          <w:sz w:val="17"/>
          <w:szCs w:val="17"/>
          <w:b w:val="1"/>
          <w:bCs w:val="1"/>
          <w:color w:val="auto"/>
        </w:rPr>
      </w:pPr>
      <w:r>
        <w:rPr>
          <w:rFonts w:ascii="Arial" w:cs="Arial" w:eastAsia="Arial" w:hAnsi="Arial"/>
          <w:sz w:val="17"/>
          <w:szCs w:val="17"/>
          <w:color w:val="auto"/>
        </w:rPr>
        <w:t>The term “Hourly Estimated Bundled Customer Load” refers to:</w:t>
      </w:r>
    </w:p>
    <w:p>
      <w:pPr>
        <w:spacing w:after="0" w:line="155" w:lineRule="exact"/>
        <w:rPr>
          <w:rFonts w:ascii="Arial" w:cs="Arial" w:eastAsia="Arial" w:hAnsi="Arial"/>
          <w:sz w:val="17"/>
          <w:szCs w:val="17"/>
          <w:b w:val="1"/>
          <w:bCs w:val="1"/>
          <w:color w:val="auto"/>
        </w:rPr>
      </w:pPr>
    </w:p>
    <w:p>
      <w:pPr>
        <w:ind w:left="997" w:right="80"/>
        <w:spacing w:after="0" w:line="245" w:lineRule="auto"/>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Hourly Estimated Bundled Customer Load (MW) = EMS Service Area Load (MW) – Actual IOU pumping load - Transmission Losses (MW) - DA Customers (MW) - CGDL Customers (MW) - MDL Customers - CCA Customers (MW </w:t>
      </w:r>
      <w:r>
        <w:rPr>
          <w:rFonts w:ascii="Arial" w:cs="Arial" w:eastAsia="Arial" w:hAnsi="Arial"/>
          <w:sz w:val="17"/>
          <w:szCs w:val="17"/>
          <w:color w:val="auto"/>
        </w:rPr>
        <w:t>)</w:t>
      </w:r>
    </w:p>
    <w:p>
      <w:pPr>
        <w:spacing w:after="0" w:line="138" w:lineRule="exact"/>
        <w:rPr>
          <w:rFonts w:ascii="Arial" w:cs="Arial" w:eastAsia="Arial" w:hAnsi="Arial"/>
          <w:sz w:val="17"/>
          <w:szCs w:val="17"/>
          <w:b w:val="1"/>
          <w:bCs w:val="1"/>
          <w:color w:val="auto"/>
        </w:rPr>
      </w:pPr>
    </w:p>
    <w:p>
      <w:pPr>
        <w:ind w:left="997" w:right="900"/>
        <w:spacing w:after="0" w:line="245" w:lineRule="auto"/>
        <w:rPr>
          <w:rFonts w:ascii="Arial" w:cs="Arial" w:eastAsia="Arial" w:hAnsi="Arial"/>
          <w:sz w:val="17"/>
          <w:szCs w:val="17"/>
          <w:b w:val="1"/>
          <w:bCs w:val="1"/>
          <w:color w:val="auto"/>
        </w:rPr>
      </w:pPr>
      <w:r>
        <w:rPr>
          <w:rFonts w:ascii="Arial" w:cs="Arial" w:eastAsia="Arial" w:hAnsi="Arial"/>
          <w:sz w:val="17"/>
          <w:szCs w:val="17"/>
          <w:color w:val="auto"/>
        </w:rPr>
        <w:t>Further details of the Estimated Bundled Customer Load are provided for the Utility in Appendix A-2 of Attachment B of the Utility’s Servicing Arrangement.</w:t>
      </w:r>
    </w:p>
    <w:p>
      <w:pPr>
        <w:spacing w:after="0" w:line="138" w:lineRule="exact"/>
        <w:rPr>
          <w:rFonts w:ascii="Arial" w:cs="Arial" w:eastAsia="Arial" w:hAnsi="Arial"/>
          <w:sz w:val="17"/>
          <w:szCs w:val="17"/>
          <w:b w:val="1"/>
          <w:bCs w:val="1"/>
          <w:color w:val="auto"/>
        </w:rPr>
      </w:pPr>
    </w:p>
    <w:p>
      <w:pPr>
        <w:ind w:left="997"/>
        <w:spacing w:after="0" w:line="253" w:lineRule="auto"/>
        <w:rPr>
          <w:rFonts w:ascii="Arial" w:cs="Arial" w:eastAsia="Arial" w:hAnsi="Arial"/>
          <w:sz w:val="17"/>
          <w:szCs w:val="17"/>
          <w:b w:val="1"/>
          <w:bCs w:val="1"/>
          <w:color w:val="auto"/>
        </w:rPr>
      </w:pPr>
      <w:r>
        <w:rPr>
          <w:rFonts w:ascii="Arial" w:cs="Arial" w:eastAsia="Arial" w:hAnsi="Arial"/>
          <w:sz w:val="16"/>
          <w:szCs w:val="16"/>
          <w:color w:val="auto"/>
        </w:rPr>
        <w:t>The Utility represents that the Hourly Estimated Bundled Customer Load as presented to DWR for each hour of each trade date, commencing on April 1, 2009, has been determined consistent with that general description set forth in Exhibit C, Part II(A) of the Operating Order. The Utility further represents that commencing April 1, 2009 it has submitted the same Hourly Estimated Bundled Customer Load to the ISO for Operational Meter Analysis and Reporting (“OMAR”) requirements related to Bundled Customer load for credit statement and payment acceleration purposes.</w:t>
      </w:r>
    </w:p>
    <w:p>
      <w:pPr>
        <w:spacing w:after="0" w:line="133" w:lineRule="exact"/>
        <w:rPr>
          <w:rFonts w:ascii="Arial" w:cs="Arial" w:eastAsia="Arial" w:hAnsi="Arial"/>
          <w:sz w:val="17"/>
          <w:szCs w:val="17"/>
          <w:b w:val="1"/>
          <w:bCs w:val="1"/>
          <w:color w:val="auto"/>
        </w:rPr>
      </w:pPr>
    </w:p>
    <w:p>
      <w:pPr>
        <w:ind w:left="997" w:right="20"/>
        <w:spacing w:after="0" w:line="249" w:lineRule="auto"/>
        <w:rPr>
          <w:rFonts w:ascii="Arial" w:cs="Arial" w:eastAsia="Arial" w:hAnsi="Arial"/>
          <w:sz w:val="17"/>
          <w:szCs w:val="17"/>
          <w:b w:val="1"/>
          <w:bCs w:val="1"/>
          <w:color w:val="auto"/>
        </w:rPr>
      </w:pPr>
      <w:r>
        <w:rPr>
          <w:rFonts w:ascii="Arial" w:cs="Arial" w:eastAsia="Arial" w:hAnsi="Arial"/>
          <w:sz w:val="16"/>
          <w:szCs w:val="16"/>
          <w:color w:val="auto"/>
        </w:rPr>
        <w:t>In the event that the Utility expects to terminate the submission of that Hourly Estimated Bundled Customer Load for OMAR requirements, the Utility agrees to provide reasonable written notice to DWR so that a mutually agreeable arrangement related to the submission of Hourly Estimated Bundled Customer Load can be discussed. In addition, in the event that a “meet and confer” shall occur as described under the heading “Meet and Confer Obligation for Significant Load Deviations” in Exhibit C, Part II(A) of the Operating Order, the scope of such meet and confer shall include DWR’s ability to review and audit of the hourly assumptions used by the Utility to determine Hourly Estimated Bundled Customer Load provided to DWR. The Parties agree that such review or audit of the hourly assumptions shall occur at the Utility offices.</w:t>
      </w:r>
    </w:p>
    <w:p>
      <w:pPr>
        <w:spacing w:after="0" w:line="136" w:lineRule="exact"/>
        <w:rPr>
          <w:rFonts w:ascii="Arial" w:cs="Arial" w:eastAsia="Arial" w:hAnsi="Arial"/>
          <w:sz w:val="17"/>
          <w:szCs w:val="17"/>
          <w:b w:val="1"/>
          <w:bCs w:val="1"/>
          <w:color w:val="auto"/>
        </w:rPr>
      </w:pPr>
    </w:p>
    <w:p>
      <w:pPr>
        <w:ind w:left="997"/>
        <w:spacing w:after="0"/>
        <w:rPr>
          <w:rFonts w:ascii="Arial" w:cs="Arial" w:eastAsia="Arial" w:hAnsi="Arial"/>
          <w:sz w:val="17"/>
          <w:szCs w:val="17"/>
          <w:b w:val="1"/>
          <w:bCs w:val="1"/>
          <w:color w:val="auto"/>
        </w:rPr>
      </w:pPr>
      <w:r>
        <w:rPr>
          <w:rFonts w:ascii="Arial" w:cs="Arial" w:eastAsia="Arial" w:hAnsi="Arial"/>
          <w:sz w:val="17"/>
          <w:szCs w:val="17"/>
          <w:u w:val="single" w:color="auto"/>
          <w:color w:val="auto"/>
        </w:rPr>
        <w:t>Billed Amount</w:t>
      </w:r>
    </w:p>
    <w:p>
      <w:pPr>
        <w:spacing w:after="0" w:line="155" w:lineRule="exact"/>
        <w:rPr>
          <w:rFonts w:ascii="Arial" w:cs="Arial" w:eastAsia="Arial" w:hAnsi="Arial"/>
          <w:sz w:val="17"/>
          <w:szCs w:val="17"/>
          <w:b w:val="1"/>
          <w:bCs w:val="1"/>
          <w:color w:val="auto"/>
        </w:rPr>
      </w:pPr>
    </w:p>
    <w:p>
      <w:pPr>
        <w:ind w:left="997" w:right="680"/>
        <w:spacing w:after="0" w:line="245" w:lineRule="auto"/>
        <w:rPr>
          <w:rFonts w:ascii="Arial" w:cs="Arial" w:eastAsia="Arial" w:hAnsi="Arial"/>
          <w:sz w:val="17"/>
          <w:szCs w:val="17"/>
          <w:b w:val="1"/>
          <w:bCs w:val="1"/>
          <w:color w:val="auto"/>
        </w:rPr>
      </w:pPr>
      <w:r>
        <w:rPr>
          <w:rFonts w:ascii="Arial" w:cs="Arial" w:eastAsia="Arial" w:hAnsi="Arial"/>
          <w:sz w:val="17"/>
          <w:szCs w:val="17"/>
          <w:color w:val="auto"/>
        </w:rPr>
        <w:t>The Billed Amount for DWR Bundled Customer Power Charge will be the product of the DWR Percentage Factor, the Bundled Customer’s electric consumption and the Bundled Customer Power Charge rate in dollars per kilowatt-hours.</w:t>
      </w:r>
    </w:p>
    <w:p>
      <w:pPr>
        <w:spacing w:after="0" w:line="138" w:lineRule="exact"/>
        <w:rPr>
          <w:rFonts w:ascii="Arial" w:cs="Arial" w:eastAsia="Arial" w:hAnsi="Arial"/>
          <w:sz w:val="17"/>
          <w:szCs w:val="17"/>
          <w:b w:val="1"/>
          <w:bCs w:val="1"/>
          <w:color w:val="auto"/>
        </w:rPr>
      </w:pPr>
    </w:p>
    <w:p>
      <w:pPr>
        <w:ind w:left="997" w:right="620"/>
        <w:spacing w:after="0" w:line="245" w:lineRule="auto"/>
        <w:rPr>
          <w:rFonts w:ascii="Arial" w:cs="Arial" w:eastAsia="Arial" w:hAnsi="Arial"/>
          <w:sz w:val="17"/>
          <w:szCs w:val="17"/>
          <w:b w:val="1"/>
          <w:bCs w:val="1"/>
          <w:color w:val="auto"/>
        </w:rPr>
      </w:pPr>
      <w:r>
        <w:rPr>
          <w:rFonts w:ascii="Arial" w:cs="Arial" w:eastAsia="Arial" w:hAnsi="Arial"/>
          <w:sz w:val="17"/>
          <w:szCs w:val="17"/>
          <w:i w:val="1"/>
          <w:iCs w:val="1"/>
          <w:color w:val="auto"/>
        </w:rPr>
        <w:t>Billed Amount for DWR Bundled Customers Power Charge = DWR Percentage Factor x Bundled Customer’s electric consumption (kWh) x Bundled Customer Power Charge rate ($/kWh)</w:t>
      </w:r>
    </w:p>
    <w:p>
      <w:pPr>
        <w:spacing w:after="0" w:line="138" w:lineRule="exact"/>
        <w:rPr>
          <w:rFonts w:ascii="Arial" w:cs="Arial" w:eastAsia="Arial" w:hAnsi="Arial"/>
          <w:sz w:val="17"/>
          <w:szCs w:val="17"/>
          <w:b w:val="1"/>
          <w:bCs w:val="1"/>
          <w:color w:val="auto"/>
        </w:rPr>
      </w:pPr>
    </w:p>
    <w:p>
      <w:pPr>
        <w:ind w:left="997"/>
        <w:spacing w:after="0"/>
        <w:rPr>
          <w:rFonts w:ascii="Arial" w:cs="Arial" w:eastAsia="Arial" w:hAnsi="Arial"/>
          <w:sz w:val="17"/>
          <w:szCs w:val="17"/>
          <w:b w:val="1"/>
          <w:bCs w:val="1"/>
          <w:color w:val="auto"/>
        </w:rPr>
      </w:pPr>
      <w:r>
        <w:rPr>
          <w:rFonts w:ascii="Arial" w:cs="Arial" w:eastAsia="Arial" w:hAnsi="Arial"/>
          <w:sz w:val="17"/>
          <w:szCs w:val="17"/>
          <w:u w:val="single" w:color="auto"/>
          <w:color w:val="auto"/>
        </w:rPr>
        <w:t>Remittances for DWR Bundled Customer Power Charge</w:t>
      </w:r>
    </w:p>
    <w:p>
      <w:pPr>
        <w:spacing w:after="0" w:line="155" w:lineRule="exact"/>
        <w:rPr>
          <w:rFonts w:ascii="Arial" w:cs="Arial" w:eastAsia="Arial" w:hAnsi="Arial"/>
          <w:sz w:val="17"/>
          <w:szCs w:val="17"/>
          <w:b w:val="1"/>
          <w:bCs w:val="1"/>
          <w:color w:val="auto"/>
        </w:rPr>
      </w:pPr>
    </w:p>
    <w:p>
      <w:pPr>
        <w:ind w:left="997" w:right="180"/>
        <w:spacing w:after="0" w:line="237" w:lineRule="auto"/>
        <w:rPr>
          <w:rFonts w:ascii="Arial" w:cs="Arial" w:eastAsia="Arial" w:hAnsi="Arial"/>
          <w:sz w:val="17"/>
          <w:szCs w:val="17"/>
          <w:b w:val="1"/>
          <w:bCs w:val="1"/>
          <w:color w:val="auto"/>
        </w:rPr>
      </w:pPr>
      <w:r>
        <w:rPr>
          <w:rFonts w:ascii="Arial" w:cs="Arial" w:eastAsia="Arial" w:hAnsi="Arial"/>
          <w:sz w:val="17"/>
          <w:szCs w:val="17"/>
          <w:color w:val="auto"/>
        </w:rPr>
        <w:t>The Daily Remittance of DWR Bundled Customer Power Charge shall be determined based upon the Billed Amount for DWR Bundled Customers by each Utility by either applying a collection curve factor to the Billed Amount for DWR Bundled Customers, or by remitting the actual amounts collected from Bundled Customers, all as more specifically set forth in the appropriate 2007 Servicing Order.</w:t>
      </w:r>
    </w:p>
    <w:p>
      <w:pPr>
        <w:spacing w:after="0" w:line="144" w:lineRule="exact"/>
        <w:rPr>
          <w:rFonts w:ascii="Arial" w:cs="Arial" w:eastAsia="Arial" w:hAnsi="Arial"/>
          <w:sz w:val="17"/>
          <w:szCs w:val="17"/>
          <w:b w:val="1"/>
          <w:bCs w:val="1"/>
          <w:color w:val="auto"/>
        </w:rPr>
      </w:pPr>
    </w:p>
    <w:p>
      <w:pPr>
        <w:ind w:left="997"/>
        <w:spacing w:after="0"/>
        <w:rPr>
          <w:rFonts w:ascii="Arial" w:cs="Arial" w:eastAsia="Arial" w:hAnsi="Arial"/>
          <w:sz w:val="17"/>
          <w:szCs w:val="17"/>
          <w:b w:val="1"/>
          <w:bCs w:val="1"/>
          <w:color w:val="auto"/>
        </w:rPr>
      </w:pPr>
      <w:r>
        <w:rPr>
          <w:rFonts w:ascii="Arial" w:cs="Arial" w:eastAsia="Arial" w:hAnsi="Arial"/>
          <w:sz w:val="17"/>
          <w:szCs w:val="17"/>
          <w:u w:val="single" w:color="auto"/>
          <w:color w:val="auto"/>
        </w:rPr>
        <w:t>Meet and Confer Obligation for Significant Load Deviations</w:t>
      </w:r>
    </w:p>
    <w:p>
      <w:pPr>
        <w:spacing w:after="0" w:line="155" w:lineRule="exact"/>
        <w:rPr>
          <w:rFonts w:ascii="Arial" w:cs="Arial" w:eastAsia="Arial" w:hAnsi="Arial"/>
          <w:sz w:val="17"/>
          <w:szCs w:val="17"/>
          <w:b w:val="1"/>
          <w:bCs w:val="1"/>
          <w:color w:val="auto"/>
        </w:rPr>
      </w:pPr>
    </w:p>
    <w:p>
      <w:pPr>
        <w:ind w:left="997" w:right="580"/>
        <w:spacing w:after="0" w:line="237" w:lineRule="auto"/>
        <w:rPr>
          <w:rFonts w:ascii="Arial" w:cs="Arial" w:eastAsia="Arial" w:hAnsi="Arial"/>
          <w:sz w:val="17"/>
          <w:szCs w:val="17"/>
          <w:b w:val="1"/>
          <w:bCs w:val="1"/>
          <w:color w:val="auto"/>
        </w:rPr>
      </w:pPr>
      <w:r>
        <w:rPr>
          <w:rFonts w:ascii="Arial" w:cs="Arial" w:eastAsia="Arial" w:hAnsi="Arial"/>
          <w:sz w:val="17"/>
          <w:szCs w:val="17"/>
          <w:color w:val="auto"/>
        </w:rPr>
        <w:t>The Utility will provide a monthly report of the load information, as more fully described in Appendix A-2 of Attachment B and Attachment C of the Servicing Arrangement. The Utility will provide such monthly reports to the DWR by the fifth Business Day following the publication of the ISO’s Recalculation Settlement Statement for the last trade date of a calendar month ..</w:t>
      </w:r>
    </w:p>
    <w:p>
      <w:pPr>
        <w:sectPr>
          <w:pgSz w:w="11900" w:h="16838" w:orient="portrait"/>
          <w:cols w:equalWidth="0" w:num="1">
            <w:col w:w="11457"/>
          </w:cols>
          <w:pgMar w:left="223" w:top="124" w:right="219" w:bottom="0" w:gutter="0" w:footer="0" w:header="0"/>
        </w:sectPr>
      </w:pPr>
    </w:p>
    <w:bookmarkStart w:id="85" w:name="page86"/>
    <w:bookmarkEnd w:id="85"/>
    <w:p>
      <w:pPr>
        <w:spacing w:after="0" w:line="119" w:lineRule="exact"/>
        <w:rPr>
          <w:sz w:val="20"/>
          <w:szCs w:val="20"/>
          <w:color w:val="auto"/>
        </w:rPr>
      </w:pPr>
    </w:p>
    <w:p>
      <w:pPr>
        <w:ind w:left="997" w:right="80"/>
        <w:spacing w:after="0" w:line="253" w:lineRule="auto"/>
        <w:rPr>
          <w:sz w:val="20"/>
          <w:szCs w:val="20"/>
          <w:color w:val="auto"/>
        </w:rPr>
      </w:pPr>
      <w:r>
        <w:rPr>
          <w:rFonts w:ascii="Arial" w:cs="Arial" w:eastAsia="Arial" w:hAnsi="Arial"/>
          <w:sz w:val="16"/>
          <w:szCs w:val="16"/>
          <w:u w:val="single" w:color="auto"/>
          <w:color w:val="auto"/>
        </w:rPr>
        <w:t>Individual Utility Deviation</w:t>
      </w:r>
      <w:r>
        <w:rPr>
          <w:rFonts w:ascii="Arial" w:cs="Arial" w:eastAsia="Arial" w:hAnsi="Arial"/>
          <w:sz w:val="16"/>
          <w:szCs w:val="16"/>
          <w:color w:val="auto"/>
        </w:rPr>
        <w:t>. If, for a period of two consecutive months, the monthly simple average of the Utility ’s ISO metered load (submitted to the ISO at 43 calendar days currently and such other interval as may be required after the ISO implementation of “Payment Acceleration” procedures) deviates by at least three percent (3%) from the Estimated Bundled Customer Load value for the Utility (as such term is described under this Section A), DWR and the Utility shall meet and confer to discuss the cause of the deviation, upon written request by either Party.</w:t>
      </w:r>
    </w:p>
    <w:p>
      <w:pPr>
        <w:spacing w:after="0" w:line="133" w:lineRule="exact"/>
        <w:rPr>
          <w:sz w:val="20"/>
          <w:szCs w:val="20"/>
          <w:color w:val="auto"/>
        </w:rPr>
      </w:pPr>
    </w:p>
    <w:p>
      <w:pPr>
        <w:ind w:left="997" w:right="120"/>
        <w:spacing w:after="0" w:line="313" w:lineRule="auto"/>
        <w:rPr>
          <w:sz w:val="20"/>
          <w:szCs w:val="20"/>
          <w:color w:val="auto"/>
        </w:rPr>
      </w:pPr>
      <w:r>
        <w:rPr>
          <w:rFonts w:ascii="Arial" w:cs="Arial" w:eastAsia="Arial" w:hAnsi="Arial"/>
          <w:sz w:val="14"/>
          <w:szCs w:val="14"/>
          <w:u w:val="single" w:color="auto"/>
          <w:color w:val="auto"/>
        </w:rPr>
        <w:t>Average Deviation Amount for All Utilities</w:t>
      </w:r>
      <w:r>
        <w:rPr>
          <w:rFonts w:ascii="Arial" w:cs="Arial" w:eastAsia="Arial" w:hAnsi="Arial"/>
          <w:sz w:val="14"/>
          <w:szCs w:val="14"/>
          <w:color w:val="auto"/>
        </w:rPr>
        <w:t>. If, for any one month, the monthly simple averages of each of the three (3) Utilities’ ISO metered load, individually, deviates by at least three percent (3%) from the Estimated Bundled Customer Load values for the respective Utilities (as such term is described in this Section A), DWR and each Utility shall meet and confer to discuss the cause of the deviations, upon written request by any of the Parties.</w:t>
      </w:r>
    </w:p>
    <w:p>
      <w:pPr>
        <w:spacing w:after="0" w:line="94" w:lineRule="exact"/>
        <w:rPr>
          <w:sz w:val="20"/>
          <w:szCs w:val="20"/>
          <w:color w:val="auto"/>
        </w:rPr>
      </w:pPr>
    </w:p>
    <w:p>
      <w:pPr>
        <w:ind w:left="997" w:right="20"/>
        <w:spacing w:after="0" w:line="295" w:lineRule="auto"/>
        <w:rPr>
          <w:sz w:val="20"/>
          <w:szCs w:val="20"/>
          <w:color w:val="auto"/>
        </w:rPr>
      </w:pPr>
      <w:r>
        <w:rPr>
          <w:rFonts w:ascii="Arial" w:cs="Arial" w:eastAsia="Arial" w:hAnsi="Arial"/>
          <w:sz w:val="14"/>
          <w:szCs w:val="14"/>
          <w:u w:val="single" w:color="auto"/>
          <w:color w:val="auto"/>
        </w:rPr>
        <w:t>Scope of Meet and Confer</w:t>
      </w:r>
      <w:r>
        <w:rPr>
          <w:rFonts w:ascii="Arial" w:cs="Arial" w:eastAsia="Arial" w:hAnsi="Arial"/>
          <w:sz w:val="14"/>
          <w:szCs w:val="14"/>
          <w:color w:val="auto"/>
        </w:rPr>
        <w:t>. For the purposes of this section, the “meet and confer” shall mean the affected Utility or Utilities, as the case may be, will engage in a conference call with DWR to discuss: (i) the Utility’s or Utilities’ efforts to determine the root cause of the variance between Estimated Bundled Customer Load values and ISO metered load, and (ii) corrective action , if any, planned by the Utility or Utilities to address the variance. In addition, in the event the variance between Estimated Bundled Customer L oad values and ISO metered load requires DWR to revise its revenue requirement determination for the year in which the variance occurs, the Utilities agree to support an appropriate revised determination by DWR.</w:t>
      </w:r>
    </w:p>
    <w:p>
      <w:pPr>
        <w:spacing w:after="0" w:line="92" w:lineRule="exact"/>
        <w:rPr>
          <w:sz w:val="20"/>
          <w:szCs w:val="20"/>
          <w:color w:val="auto"/>
        </w:rPr>
      </w:pPr>
    </w:p>
    <w:p>
      <w:pPr>
        <w:ind w:left="997" w:hanging="501"/>
        <w:spacing w:after="0"/>
        <w:tabs>
          <w:tab w:leader="none" w:pos="997"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color w:val="auto"/>
        </w:rPr>
        <w:t>Real Time Energy Dispatch Charges &amp; Credits</w:t>
      </w:r>
    </w:p>
    <w:p>
      <w:pPr>
        <w:spacing w:after="0" w:line="159" w:lineRule="exact"/>
        <w:rPr>
          <w:rFonts w:ascii="Arial" w:cs="Arial" w:eastAsia="Arial" w:hAnsi="Arial"/>
          <w:sz w:val="17"/>
          <w:szCs w:val="17"/>
          <w:b w:val="1"/>
          <w:bCs w:val="1"/>
          <w:color w:val="auto"/>
        </w:rPr>
      </w:pPr>
    </w:p>
    <w:p>
      <w:pPr>
        <w:ind w:left="997" w:right="380"/>
        <w:spacing w:after="0" w:line="245" w:lineRule="auto"/>
        <w:rPr>
          <w:rFonts w:ascii="Arial" w:cs="Arial" w:eastAsia="Arial" w:hAnsi="Arial"/>
          <w:sz w:val="17"/>
          <w:szCs w:val="17"/>
          <w:b w:val="1"/>
          <w:bCs w:val="1"/>
          <w:color w:val="auto"/>
        </w:rPr>
      </w:pPr>
      <w:r>
        <w:rPr>
          <w:rFonts w:ascii="Arial" w:cs="Arial" w:eastAsia="Arial" w:hAnsi="Arial"/>
          <w:sz w:val="17"/>
          <w:szCs w:val="17"/>
          <w:color w:val="auto"/>
        </w:rPr>
        <w:t>The provisions under this Section B apply to Dispatchable Units - and as to Instructed and Uninstructed Real Time Energy, distinguished by whether the Utility is to act as the Scheduling Coordinator (“SC”) under the Contract or not.</w:t>
      </w:r>
    </w:p>
    <w:p>
      <w:pPr>
        <w:spacing w:after="0" w:line="159" w:lineRule="exact"/>
        <w:rPr>
          <w:rFonts w:ascii="Arial" w:cs="Arial" w:eastAsia="Arial" w:hAnsi="Arial"/>
          <w:sz w:val="17"/>
          <w:szCs w:val="17"/>
          <w:b w:val="1"/>
          <w:bCs w:val="1"/>
          <w:color w:val="auto"/>
        </w:rPr>
      </w:pPr>
    </w:p>
    <w:p>
      <w:pPr>
        <w:ind w:left="1497" w:hanging="505"/>
        <w:spacing w:after="0"/>
        <w:tabs>
          <w:tab w:leader="none" w:pos="1497" w:val="left"/>
        </w:tabs>
        <w:numPr>
          <w:ilvl w:val="1"/>
          <w:numId w:val="96"/>
        </w:numPr>
        <w:rPr>
          <w:rFonts w:ascii="Arial" w:cs="Arial" w:eastAsia="Arial" w:hAnsi="Arial"/>
          <w:sz w:val="17"/>
          <w:szCs w:val="17"/>
          <w:color w:val="auto"/>
        </w:rPr>
      </w:pPr>
      <w:r>
        <w:rPr>
          <w:rFonts w:ascii="Arial" w:cs="Arial" w:eastAsia="Arial" w:hAnsi="Arial"/>
          <w:sz w:val="17"/>
          <w:szCs w:val="17"/>
          <w:color w:val="auto"/>
        </w:rPr>
        <w:t>When Utility is SC for the contracts identified in Section B of Part III of this Exhibit C:</w:t>
      </w:r>
    </w:p>
    <w:p>
      <w:pPr>
        <w:spacing w:after="0" w:line="176" w:lineRule="exact"/>
        <w:rPr>
          <w:rFonts w:ascii="Arial" w:cs="Arial" w:eastAsia="Arial" w:hAnsi="Arial"/>
          <w:sz w:val="17"/>
          <w:szCs w:val="17"/>
          <w:color w:val="auto"/>
        </w:rPr>
      </w:pPr>
    </w:p>
    <w:p>
      <w:pPr>
        <w:ind w:left="1497" w:right="460"/>
        <w:spacing w:after="0" w:line="245" w:lineRule="auto"/>
        <w:rPr>
          <w:rFonts w:ascii="Arial" w:cs="Arial" w:eastAsia="Arial" w:hAnsi="Arial"/>
          <w:sz w:val="17"/>
          <w:szCs w:val="17"/>
          <w:color w:val="auto"/>
        </w:rPr>
      </w:pPr>
      <w:r>
        <w:rPr>
          <w:rFonts w:ascii="Arial" w:cs="Arial" w:eastAsia="Arial" w:hAnsi="Arial"/>
          <w:sz w:val="17"/>
          <w:szCs w:val="17"/>
          <w:color w:val="auto"/>
        </w:rPr>
        <w:t>Utility will pay retail Remittances on the metered amount and Utility will retain ISO market revenues / charges, consistent with the terms of the applicable Contract.</w:t>
      </w:r>
    </w:p>
    <w:p>
      <w:pPr>
        <w:spacing w:after="0" w:line="148" w:lineRule="exact"/>
        <w:rPr>
          <w:rFonts w:ascii="Arial" w:cs="Arial" w:eastAsia="Arial" w:hAnsi="Arial"/>
          <w:sz w:val="17"/>
          <w:szCs w:val="17"/>
          <w:color w:val="auto"/>
        </w:rPr>
      </w:pPr>
    </w:p>
    <w:p>
      <w:pPr>
        <w:ind w:left="1497" w:hanging="505"/>
        <w:spacing w:after="0"/>
        <w:tabs>
          <w:tab w:leader="none" w:pos="1497" w:val="left"/>
        </w:tabs>
        <w:numPr>
          <w:ilvl w:val="1"/>
          <w:numId w:val="96"/>
        </w:numPr>
        <w:rPr>
          <w:rFonts w:ascii="Arial" w:cs="Arial" w:eastAsia="Arial" w:hAnsi="Arial"/>
          <w:sz w:val="17"/>
          <w:szCs w:val="17"/>
          <w:color w:val="auto"/>
        </w:rPr>
      </w:pPr>
      <w:r>
        <w:rPr>
          <w:rFonts w:ascii="Arial" w:cs="Arial" w:eastAsia="Arial" w:hAnsi="Arial"/>
          <w:sz w:val="17"/>
          <w:szCs w:val="17"/>
          <w:color w:val="auto"/>
        </w:rPr>
        <w:t>If the Utility is not the SC for the Dispatchable Unit:</w:t>
      </w:r>
    </w:p>
    <w:p>
      <w:pPr>
        <w:spacing w:after="0" w:line="176" w:lineRule="exact"/>
        <w:rPr>
          <w:rFonts w:ascii="Arial" w:cs="Arial" w:eastAsia="Arial" w:hAnsi="Arial"/>
          <w:sz w:val="17"/>
          <w:szCs w:val="17"/>
          <w:color w:val="auto"/>
        </w:rPr>
      </w:pPr>
    </w:p>
    <w:p>
      <w:pPr>
        <w:ind w:left="1497" w:right="300"/>
        <w:spacing w:after="0" w:line="245" w:lineRule="auto"/>
        <w:rPr>
          <w:rFonts w:ascii="Arial" w:cs="Arial" w:eastAsia="Arial" w:hAnsi="Arial"/>
          <w:sz w:val="17"/>
          <w:szCs w:val="17"/>
          <w:color w:val="auto"/>
        </w:rPr>
      </w:pPr>
      <w:r>
        <w:rPr>
          <w:rFonts w:ascii="Arial" w:cs="Arial" w:eastAsia="Arial" w:hAnsi="Arial"/>
          <w:sz w:val="17"/>
          <w:szCs w:val="17"/>
          <w:color w:val="auto"/>
        </w:rPr>
        <w:t>DWR or the counterparty, as provided by the Contract, will receive market revenues for the real time energy via the SC and DWR will not be paid retail Remittances from the Utility for the real time dispatch.</w:t>
      </w:r>
    </w:p>
    <w:p>
      <w:pPr>
        <w:spacing w:after="0" w:line="144" w:lineRule="exact"/>
        <w:rPr>
          <w:rFonts w:ascii="Arial" w:cs="Arial" w:eastAsia="Arial" w:hAnsi="Arial"/>
          <w:sz w:val="17"/>
          <w:szCs w:val="17"/>
          <w:color w:val="auto"/>
        </w:rPr>
      </w:pPr>
    </w:p>
    <w:p>
      <w:pPr>
        <w:ind w:left="997" w:hanging="501"/>
        <w:spacing w:after="0"/>
        <w:tabs>
          <w:tab w:leader="none" w:pos="997"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color w:val="auto"/>
        </w:rPr>
        <w:t>Transmission Losses</w:t>
      </w:r>
    </w:p>
    <w:p>
      <w:pPr>
        <w:spacing w:after="0" w:line="159" w:lineRule="exact"/>
        <w:rPr>
          <w:rFonts w:ascii="Arial" w:cs="Arial" w:eastAsia="Arial" w:hAnsi="Arial"/>
          <w:sz w:val="17"/>
          <w:szCs w:val="17"/>
          <w:b w:val="1"/>
          <w:bCs w:val="1"/>
          <w:color w:val="auto"/>
        </w:rPr>
      </w:pPr>
    </w:p>
    <w:p>
      <w:pPr>
        <w:ind w:left="997" w:right="360"/>
        <w:spacing w:after="0" w:line="245" w:lineRule="auto"/>
        <w:rPr>
          <w:rFonts w:ascii="Arial" w:cs="Arial" w:eastAsia="Arial" w:hAnsi="Arial"/>
          <w:sz w:val="17"/>
          <w:szCs w:val="17"/>
          <w:b w:val="1"/>
          <w:bCs w:val="1"/>
          <w:color w:val="auto"/>
        </w:rPr>
      </w:pPr>
      <w:r>
        <w:rPr>
          <w:rFonts w:ascii="Arial" w:cs="Arial" w:eastAsia="Arial" w:hAnsi="Arial"/>
          <w:sz w:val="17"/>
          <w:szCs w:val="17"/>
          <w:color w:val="auto"/>
        </w:rPr>
        <w:t>Under MRTU, transmission losses are converted from physical adjustments to financial adjustments. To simplify the process and maintain equity across parties, the Parties agree to the following principles:</w:t>
      </w:r>
    </w:p>
    <w:p>
      <w:pPr>
        <w:spacing w:after="0" w:line="159" w:lineRule="exact"/>
        <w:rPr>
          <w:sz w:val="20"/>
          <w:szCs w:val="20"/>
          <w:color w:val="auto"/>
        </w:rPr>
      </w:pPr>
    </w:p>
    <w:p>
      <w:pPr>
        <w:ind w:left="997" w:right="100" w:hanging="253"/>
        <w:spacing w:after="0" w:line="222" w:lineRule="auto"/>
        <w:tabs>
          <w:tab w:leader="none" w:pos="997" w:val="left"/>
        </w:tabs>
        <w:numPr>
          <w:ilvl w:val="2"/>
          <w:numId w:val="97"/>
        </w:numPr>
        <w:rPr>
          <w:rFonts w:ascii="Courier New" w:cs="Courier New" w:eastAsia="Courier New" w:hAnsi="Courier New"/>
          <w:sz w:val="17"/>
          <w:szCs w:val="17"/>
          <w:color w:val="auto"/>
        </w:rPr>
      </w:pPr>
      <w:r>
        <w:rPr>
          <w:rFonts w:ascii="Arial" w:cs="Arial" w:eastAsia="Arial" w:hAnsi="Arial"/>
          <w:sz w:val="17"/>
          <w:szCs w:val="17"/>
          <w:color w:val="auto"/>
        </w:rPr>
        <w:t>DWR revenue requirement, which previously reduced the quantity of energy based upon transmission losses, will not reduce the quantity of energy to adjust for transmission losses.</w:t>
      </w:r>
    </w:p>
    <w:p>
      <w:pPr>
        <w:ind w:left="997" w:hanging="253"/>
        <w:spacing w:after="0" w:line="222" w:lineRule="auto"/>
        <w:tabs>
          <w:tab w:leader="none" w:pos="997" w:val="left"/>
        </w:tabs>
        <w:numPr>
          <w:ilvl w:val="2"/>
          <w:numId w:val="97"/>
        </w:numPr>
        <w:rPr>
          <w:rFonts w:ascii="Courier New" w:cs="Courier New" w:eastAsia="Courier New" w:hAnsi="Courier New"/>
          <w:sz w:val="17"/>
          <w:szCs w:val="17"/>
          <w:color w:val="auto"/>
        </w:rPr>
      </w:pPr>
      <w:r>
        <w:rPr>
          <w:rFonts w:ascii="Arial" w:cs="Arial" w:eastAsia="Arial" w:hAnsi="Arial"/>
          <w:sz w:val="17"/>
          <w:szCs w:val="17"/>
          <w:color w:val="auto"/>
        </w:rPr>
        <w:t>This change should be clearly identified or footnoted within future DWR Revenue Requirement documents.</w:t>
      </w:r>
    </w:p>
    <w:p>
      <w:pPr>
        <w:spacing w:after="0" w:line="149" w:lineRule="exact"/>
        <w:rPr>
          <w:rFonts w:ascii="Courier New" w:cs="Courier New" w:eastAsia="Courier New" w:hAnsi="Courier New"/>
          <w:sz w:val="17"/>
          <w:szCs w:val="17"/>
          <w:color w:val="auto"/>
        </w:rPr>
      </w:pPr>
    </w:p>
    <w:p>
      <w:pPr>
        <w:ind w:left="997" w:hanging="501"/>
        <w:spacing w:after="0"/>
        <w:tabs>
          <w:tab w:leader="none" w:pos="997" w:val="left"/>
        </w:tabs>
        <w:numPr>
          <w:ilvl w:val="1"/>
          <w:numId w:val="97"/>
        </w:numPr>
        <w:rPr>
          <w:rFonts w:ascii="Arial" w:cs="Arial" w:eastAsia="Arial" w:hAnsi="Arial"/>
          <w:sz w:val="17"/>
          <w:szCs w:val="17"/>
          <w:b w:val="1"/>
          <w:bCs w:val="1"/>
          <w:color w:val="auto"/>
        </w:rPr>
      </w:pPr>
      <w:r>
        <w:rPr>
          <w:rFonts w:ascii="Arial" w:cs="Arial" w:eastAsia="Arial" w:hAnsi="Arial"/>
          <w:sz w:val="17"/>
          <w:szCs w:val="17"/>
          <w:b w:val="1"/>
          <w:bCs w:val="1"/>
          <w:color w:val="auto"/>
        </w:rPr>
        <w:t>Other</w:t>
      </w:r>
    </w:p>
    <w:p>
      <w:pPr>
        <w:spacing w:after="0" w:line="159" w:lineRule="exact"/>
        <w:rPr>
          <w:rFonts w:ascii="Arial" w:cs="Arial" w:eastAsia="Arial" w:hAnsi="Arial"/>
          <w:sz w:val="17"/>
          <w:szCs w:val="17"/>
          <w:b w:val="1"/>
          <w:bCs w:val="1"/>
          <w:color w:val="auto"/>
        </w:rPr>
      </w:pPr>
    </w:p>
    <w:p>
      <w:pPr>
        <w:ind w:left="997" w:right="460"/>
        <w:spacing w:after="0" w:line="245" w:lineRule="auto"/>
        <w:rPr>
          <w:rFonts w:ascii="Arial" w:cs="Arial" w:eastAsia="Arial" w:hAnsi="Arial"/>
          <w:sz w:val="17"/>
          <w:szCs w:val="17"/>
          <w:b w:val="1"/>
          <w:bCs w:val="1"/>
          <w:color w:val="auto"/>
        </w:rPr>
      </w:pPr>
      <w:r>
        <w:rPr>
          <w:rFonts w:ascii="Arial" w:cs="Arial" w:eastAsia="Arial" w:hAnsi="Arial"/>
          <w:sz w:val="17"/>
          <w:szCs w:val="17"/>
          <w:color w:val="auto"/>
        </w:rPr>
        <w:t>In the Event of any conflict between the formulas and procedures in this Part II of this Exhibit C and the formulas and procedures in Utility’s Servicing Arrangement, those contained in Utility’s Servicing Arrangement shall govern.</w:t>
      </w:r>
    </w:p>
    <w:p>
      <w:pPr>
        <w:spacing w:after="0" w:line="134" w:lineRule="exact"/>
        <w:rPr>
          <w:rFonts w:ascii="Arial" w:cs="Arial" w:eastAsia="Arial" w:hAnsi="Arial"/>
          <w:sz w:val="17"/>
          <w:szCs w:val="17"/>
          <w:b w:val="1"/>
          <w:bCs w:val="1"/>
          <w:color w:val="auto"/>
        </w:rPr>
      </w:pPr>
    </w:p>
    <w:p>
      <w:pPr>
        <w:ind w:left="497" w:hanging="497"/>
        <w:spacing w:after="0"/>
        <w:tabs>
          <w:tab w:leader="none" w:pos="497" w:val="left"/>
        </w:tabs>
        <w:numPr>
          <w:ilvl w:val="0"/>
          <w:numId w:val="98"/>
        </w:numPr>
        <w:rPr>
          <w:rFonts w:ascii="Arial" w:cs="Arial" w:eastAsia="Arial" w:hAnsi="Arial"/>
          <w:sz w:val="17"/>
          <w:szCs w:val="17"/>
          <w:b w:val="1"/>
          <w:bCs w:val="1"/>
          <w:color w:val="auto"/>
        </w:rPr>
      </w:pPr>
      <w:r>
        <w:rPr>
          <w:rFonts w:ascii="Arial" w:cs="Arial" w:eastAsia="Arial" w:hAnsi="Arial"/>
          <w:sz w:val="17"/>
          <w:szCs w:val="17"/>
          <w:b w:val="1"/>
          <w:bCs w:val="1"/>
          <w:color w:val="auto"/>
        </w:rPr>
        <w:t>Bilateral Settlement</w:t>
      </w:r>
    </w:p>
    <w:p>
      <w:pPr>
        <w:spacing w:after="0" w:line="159" w:lineRule="exact"/>
        <w:rPr>
          <w:rFonts w:ascii="Arial" w:cs="Arial" w:eastAsia="Arial" w:hAnsi="Arial"/>
          <w:sz w:val="17"/>
          <w:szCs w:val="17"/>
          <w:b w:val="1"/>
          <w:bCs w:val="1"/>
          <w:color w:val="auto"/>
        </w:rPr>
      </w:pPr>
    </w:p>
    <w:p>
      <w:pPr>
        <w:ind w:left="497" w:right="16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Under the Contract Allocation Order but prior to the date that any Contract is novated to Utility, DWR remains financially obligated for the Contracts. DWR will continue to pay Suppliers and this requires DWR to apply appropriate procedures and controls to ensure that payments are made accurately and in a timely manner. Information supporting Contract settlements will be provided by Utility, and additional information may also be required to address contract performance issues (such as availability and other items as discussed in Exhibit E) and to allow DWR to settle disputes in an appropriate manner, as set forth in Section 13.03 of the body of this Operating Order.</w:t>
      </w:r>
    </w:p>
    <w:p>
      <w:pPr>
        <w:spacing w:after="0" w:line="142" w:lineRule="exact"/>
        <w:rPr>
          <w:rFonts w:ascii="Arial" w:cs="Arial" w:eastAsia="Arial" w:hAnsi="Arial"/>
          <w:sz w:val="17"/>
          <w:szCs w:val="17"/>
          <w:b w:val="1"/>
          <w:bCs w:val="1"/>
          <w:color w:val="auto"/>
        </w:rPr>
      </w:pPr>
    </w:p>
    <w:p>
      <w:pPr>
        <w:ind w:left="497" w:right="160"/>
        <w:spacing w:after="0" w:line="291" w:lineRule="auto"/>
        <w:rPr>
          <w:rFonts w:ascii="Arial" w:cs="Arial" w:eastAsia="Arial" w:hAnsi="Arial"/>
          <w:sz w:val="17"/>
          <w:szCs w:val="17"/>
          <w:b w:val="1"/>
          <w:bCs w:val="1"/>
          <w:color w:val="auto"/>
        </w:rPr>
      </w:pPr>
      <w:r>
        <w:rPr>
          <w:rFonts w:ascii="Arial" w:cs="Arial" w:eastAsia="Arial" w:hAnsi="Arial"/>
          <w:sz w:val="14"/>
          <w:szCs w:val="14"/>
          <w:color w:val="auto"/>
        </w:rPr>
        <w:t>DWR requires sufficient information to support payment requests so that it can meet the accountability requirements of the State Controller’s Office and the State Auditor, and simultaneously comply with the applicable statutes concerning disbursement of public monies. The Utility shall reconcile schedules with Suppliers invoice. DWR shall make the associated payments to Suppliers after performing its verification prior to the MRTU Effective Date, and, on and after the MRTU Effective Date, such internal procedures that are reasonable and determined appropriate by DWR, and such validation, analysis and audit of the settlement function performed by Utility, as DWR’s limited agent, consistent with the principles and parameters set forth in this Part III of this Exhibit C. In addition, the Utility will also provide the data as required in Exhibit F to allow DWR to perform its duties in a timely manner as set forth herein.</w:t>
      </w:r>
    </w:p>
    <w:p>
      <w:pPr>
        <w:spacing w:after="0" w:line="110" w:lineRule="exact"/>
        <w:rPr>
          <w:rFonts w:ascii="Arial" w:cs="Arial" w:eastAsia="Arial" w:hAnsi="Arial"/>
          <w:sz w:val="17"/>
          <w:szCs w:val="17"/>
          <w:b w:val="1"/>
          <w:bCs w:val="1"/>
          <w:color w:val="auto"/>
        </w:rPr>
      </w:pPr>
    </w:p>
    <w:p>
      <w:pPr>
        <w:ind w:left="497" w:right="200"/>
        <w:spacing w:after="0" w:line="245" w:lineRule="auto"/>
        <w:rPr>
          <w:rFonts w:ascii="Arial" w:cs="Arial" w:eastAsia="Arial" w:hAnsi="Arial"/>
          <w:sz w:val="17"/>
          <w:szCs w:val="17"/>
          <w:b w:val="1"/>
          <w:bCs w:val="1"/>
          <w:color w:val="auto"/>
        </w:rPr>
      </w:pPr>
      <w:r>
        <w:rPr>
          <w:rFonts w:ascii="Arial" w:cs="Arial" w:eastAsia="Arial" w:hAnsi="Arial"/>
          <w:sz w:val="17"/>
          <w:szCs w:val="17"/>
          <w:color w:val="auto"/>
        </w:rPr>
        <w:t>Prior to the MRTU Effective Date, DWR shall continue to perform validation of settlement data and invoices and pay Contract costs directly to the Suppliers upon validation of invoices.</w:t>
      </w:r>
    </w:p>
    <w:p>
      <w:pPr>
        <w:spacing w:after="0" w:line="138" w:lineRule="exact"/>
        <w:rPr>
          <w:rFonts w:ascii="Arial" w:cs="Arial" w:eastAsia="Arial" w:hAnsi="Arial"/>
          <w:sz w:val="17"/>
          <w:szCs w:val="17"/>
          <w:b w:val="1"/>
          <w:bCs w:val="1"/>
          <w:color w:val="auto"/>
        </w:rPr>
      </w:pPr>
    </w:p>
    <w:p>
      <w:pPr>
        <w:ind w:left="497" w:right="220"/>
        <w:spacing w:after="0" w:line="275" w:lineRule="auto"/>
        <w:rPr>
          <w:rFonts w:ascii="Arial" w:cs="Arial" w:eastAsia="Arial" w:hAnsi="Arial"/>
          <w:sz w:val="17"/>
          <w:szCs w:val="17"/>
          <w:b w:val="1"/>
          <w:bCs w:val="1"/>
          <w:color w:val="auto"/>
        </w:rPr>
      </w:pPr>
      <w:r>
        <w:rPr>
          <w:rFonts w:ascii="Arial" w:cs="Arial" w:eastAsia="Arial" w:hAnsi="Arial"/>
          <w:sz w:val="16"/>
          <w:szCs w:val="16"/>
          <w:color w:val="auto"/>
        </w:rPr>
        <w:t>On and after the MRTU Effective Date, the Parties have agreed to the specific provisions related to Real Time Energy Dispatch Charges and Credits as set forth in Section B of Part II of this Exhibit C. In addition, the Parties agree to the following principles related to Contract settlements:</w:t>
      </w:r>
    </w:p>
    <w:p>
      <w:pPr>
        <w:spacing w:after="0" w:line="101" w:lineRule="exact"/>
        <w:rPr>
          <w:rFonts w:ascii="Arial" w:cs="Arial" w:eastAsia="Arial" w:hAnsi="Arial"/>
          <w:sz w:val="17"/>
          <w:szCs w:val="17"/>
          <w:b w:val="1"/>
          <w:bCs w:val="1"/>
          <w:color w:val="auto"/>
        </w:rPr>
      </w:pPr>
    </w:p>
    <w:p>
      <w:pPr>
        <w:ind w:left="997" w:hanging="501"/>
        <w:spacing w:after="0"/>
        <w:tabs>
          <w:tab w:leader="none" w:pos="997" w:val="left"/>
        </w:tabs>
        <w:numPr>
          <w:ilvl w:val="1"/>
          <w:numId w:val="98"/>
        </w:numPr>
        <w:rPr>
          <w:rFonts w:ascii="Arial" w:cs="Arial" w:eastAsia="Arial" w:hAnsi="Arial"/>
          <w:sz w:val="17"/>
          <w:szCs w:val="17"/>
          <w:b w:val="1"/>
          <w:bCs w:val="1"/>
          <w:color w:val="auto"/>
        </w:rPr>
      </w:pPr>
      <w:r>
        <w:rPr>
          <w:rFonts w:ascii="Arial" w:cs="Arial" w:eastAsia="Arial" w:hAnsi="Arial"/>
          <w:sz w:val="17"/>
          <w:szCs w:val="17"/>
          <w:b w:val="1"/>
          <w:bCs w:val="1"/>
          <w:color w:val="auto"/>
        </w:rPr>
        <w:t>Ancillary Services</w:t>
      </w:r>
    </w:p>
    <w:p>
      <w:pPr>
        <w:spacing w:after="0" w:line="150" w:lineRule="exact"/>
        <w:rPr>
          <w:sz w:val="20"/>
          <w:szCs w:val="20"/>
          <w:color w:val="auto"/>
        </w:rPr>
      </w:pPr>
    </w:p>
    <w:p>
      <w:pPr>
        <w:ind w:left="997" w:right="20" w:hanging="253"/>
        <w:spacing w:after="0" w:line="245" w:lineRule="auto"/>
        <w:tabs>
          <w:tab w:leader="none" w:pos="997" w:val="left"/>
        </w:tabs>
        <w:numPr>
          <w:ilvl w:val="1"/>
          <w:numId w:val="99"/>
        </w:numPr>
        <w:rPr>
          <w:rFonts w:ascii="Arial" w:cs="Arial" w:eastAsia="Arial" w:hAnsi="Arial"/>
          <w:sz w:val="17"/>
          <w:szCs w:val="17"/>
          <w:color w:val="auto"/>
        </w:rPr>
      </w:pPr>
      <w:r>
        <w:rPr>
          <w:rFonts w:ascii="Arial" w:cs="Arial" w:eastAsia="Arial" w:hAnsi="Arial"/>
          <w:sz w:val="17"/>
          <w:szCs w:val="17"/>
          <w:color w:val="auto"/>
        </w:rPr>
        <w:t>If the Utility is not the SC under the Contract: Revenues from ancillary services are passed through from the counterparty to DWR (to the extent so provided by the Contract) and, in turn, to the Utility, via the Utility Specific Balancing Accounts</w:t>
      </w:r>
    </w:p>
    <w:p>
      <w:pPr>
        <w:spacing w:after="0" w:line="159" w:lineRule="exact"/>
        <w:rPr>
          <w:rFonts w:ascii="Arial" w:cs="Arial" w:eastAsia="Arial" w:hAnsi="Arial"/>
          <w:sz w:val="17"/>
          <w:szCs w:val="17"/>
          <w:color w:val="auto"/>
        </w:rPr>
      </w:pPr>
    </w:p>
    <w:p>
      <w:pPr>
        <w:ind w:left="997" w:right="540" w:hanging="253"/>
        <w:spacing w:after="0" w:line="245" w:lineRule="auto"/>
        <w:tabs>
          <w:tab w:leader="none" w:pos="997" w:val="left"/>
        </w:tabs>
        <w:numPr>
          <w:ilvl w:val="1"/>
          <w:numId w:val="99"/>
        </w:numPr>
        <w:rPr>
          <w:rFonts w:ascii="Arial" w:cs="Arial" w:eastAsia="Arial" w:hAnsi="Arial"/>
          <w:sz w:val="17"/>
          <w:szCs w:val="17"/>
          <w:color w:val="auto"/>
        </w:rPr>
      </w:pPr>
      <w:r>
        <w:rPr>
          <w:rFonts w:ascii="Arial" w:cs="Arial" w:eastAsia="Arial" w:hAnsi="Arial"/>
          <w:sz w:val="17"/>
          <w:szCs w:val="17"/>
          <w:color w:val="auto"/>
        </w:rPr>
        <w:t>When the Utility is SC for the Contracts as identified in Section B of Part III of this Exhibit C, then : Revenues for ancillary services (to the extent so provided by the Contract) will be allocated to the Utility to the extent that DWR is entitled to such revenues</w:t>
      </w:r>
    </w:p>
    <w:p>
      <w:pPr>
        <w:spacing w:after="0" w:line="144" w:lineRule="exact"/>
        <w:rPr>
          <w:rFonts w:ascii="Arial" w:cs="Arial" w:eastAsia="Arial" w:hAnsi="Arial"/>
          <w:sz w:val="17"/>
          <w:szCs w:val="17"/>
          <w:color w:val="auto"/>
        </w:rPr>
      </w:pPr>
    </w:p>
    <w:p>
      <w:pPr>
        <w:ind w:left="997" w:hanging="501"/>
        <w:spacing w:after="0"/>
        <w:tabs>
          <w:tab w:leader="none" w:pos="997" w:val="left"/>
        </w:tabs>
        <w:numPr>
          <w:ilvl w:val="0"/>
          <w:numId w:val="99"/>
        </w:numPr>
        <w:rPr>
          <w:rFonts w:ascii="Arial" w:cs="Arial" w:eastAsia="Arial" w:hAnsi="Arial"/>
          <w:sz w:val="17"/>
          <w:szCs w:val="17"/>
          <w:b w:val="1"/>
          <w:bCs w:val="1"/>
          <w:color w:val="auto"/>
        </w:rPr>
      </w:pPr>
      <w:r>
        <w:rPr>
          <w:rFonts w:ascii="Arial" w:cs="Arial" w:eastAsia="Arial" w:hAnsi="Arial"/>
          <w:sz w:val="17"/>
          <w:szCs w:val="17"/>
          <w:b w:val="1"/>
          <w:bCs w:val="1"/>
          <w:color w:val="auto"/>
        </w:rPr>
        <w:t>Responsibility for ISO Charges and Credits - Generation Invoices</w:t>
      </w:r>
    </w:p>
    <w:p>
      <w:pPr>
        <w:spacing w:after="0" w:line="159" w:lineRule="exact"/>
        <w:rPr>
          <w:rFonts w:ascii="Arial" w:cs="Arial" w:eastAsia="Arial" w:hAnsi="Arial"/>
          <w:sz w:val="17"/>
          <w:szCs w:val="17"/>
          <w:b w:val="1"/>
          <w:bCs w:val="1"/>
          <w:color w:val="auto"/>
        </w:rPr>
      </w:pPr>
    </w:p>
    <w:p>
      <w:pPr>
        <w:ind w:left="997"/>
        <w:spacing w:after="0" w:line="301" w:lineRule="auto"/>
        <w:rPr>
          <w:rFonts w:ascii="Arial" w:cs="Arial" w:eastAsia="Arial" w:hAnsi="Arial"/>
          <w:sz w:val="17"/>
          <w:szCs w:val="17"/>
          <w:b w:val="1"/>
          <w:bCs w:val="1"/>
          <w:color w:val="auto"/>
        </w:rPr>
      </w:pPr>
      <w:r>
        <w:rPr>
          <w:rFonts w:ascii="Arial" w:cs="Arial" w:eastAsia="Arial" w:hAnsi="Arial"/>
          <w:sz w:val="14"/>
          <w:szCs w:val="14"/>
          <w:color w:val="auto"/>
        </w:rPr>
        <w:t>As to the Contracts specifically identified in Attachment A of the MOU, to the extent PG&amp;E, SCE, or SDG&amp;E becomes the SC for certain Contracts, the Utility that becomes the SC will take responsibility for the payment/receipt of ISO invoice charges and credits that are allocated to DWR under and consistent with the terms of the applicable Contract. The Utilities have agreed to such responsibilities, to the extent they become the SC for the Contracts referenced in Attachment A of the MOU, but more recently updated as: (1) Sunrise, (2) JP Morgan D AL 1, AL5, (3) JP Morgan D HB1 and (4) JP Morgan D RB6.</w:t>
      </w:r>
    </w:p>
    <w:p>
      <w:pPr>
        <w:spacing w:after="0" w:line="122" w:lineRule="exact"/>
        <w:rPr>
          <w:rFonts w:ascii="Arial" w:cs="Arial" w:eastAsia="Arial" w:hAnsi="Arial"/>
          <w:sz w:val="17"/>
          <w:szCs w:val="17"/>
          <w:b w:val="1"/>
          <w:bCs w:val="1"/>
          <w:color w:val="auto"/>
        </w:rPr>
      </w:pPr>
    </w:p>
    <w:p>
      <w:pPr>
        <w:ind w:left="997" w:right="560"/>
        <w:spacing w:after="0" w:line="237" w:lineRule="auto"/>
        <w:rPr>
          <w:rFonts w:ascii="Arial" w:cs="Arial" w:eastAsia="Arial" w:hAnsi="Arial"/>
          <w:sz w:val="17"/>
          <w:szCs w:val="17"/>
          <w:b w:val="1"/>
          <w:bCs w:val="1"/>
          <w:color w:val="auto"/>
        </w:rPr>
      </w:pPr>
      <w:r>
        <w:rPr>
          <w:rFonts w:ascii="Arial" w:cs="Arial" w:eastAsia="Arial" w:hAnsi="Arial"/>
          <w:sz w:val="17"/>
          <w:szCs w:val="17"/>
          <w:color w:val="auto"/>
        </w:rPr>
        <w:t>In the event that a Utility or another entity identified by DWR becomes the SC for Contracts (other than those Contracts identified in the immediately preceding paragraph above), responsibility for ISO invoice charges and credits allocable to DWR shall be explicitly addressed at the time and in the document appointing such new SC.</w:t>
      </w:r>
    </w:p>
    <w:p>
      <w:pPr>
        <w:spacing w:after="0" w:line="154" w:lineRule="exact"/>
        <w:rPr>
          <w:rFonts w:ascii="Arial" w:cs="Arial" w:eastAsia="Arial" w:hAnsi="Arial"/>
          <w:sz w:val="17"/>
          <w:szCs w:val="17"/>
          <w:b w:val="1"/>
          <w:bCs w:val="1"/>
          <w:color w:val="auto"/>
        </w:rPr>
      </w:pPr>
    </w:p>
    <w:p>
      <w:pPr>
        <w:ind w:left="997"/>
        <w:spacing w:after="0"/>
        <w:rPr>
          <w:rFonts w:ascii="Arial" w:cs="Arial" w:eastAsia="Arial" w:hAnsi="Arial"/>
          <w:sz w:val="17"/>
          <w:szCs w:val="17"/>
          <w:b w:val="1"/>
          <w:bCs w:val="1"/>
          <w:color w:val="auto"/>
        </w:rPr>
      </w:pPr>
      <w:r>
        <w:rPr>
          <w:rFonts w:ascii="Arial" w:cs="Arial" w:eastAsia="Arial" w:hAnsi="Arial"/>
          <w:sz w:val="17"/>
          <w:szCs w:val="17"/>
          <w:color w:val="auto"/>
        </w:rPr>
        <w:t>1.</w:t>
      </w:r>
      <w:r>
        <w:rPr>
          <w:rFonts w:ascii="Arial" w:cs="Arial" w:eastAsia="Arial" w:hAnsi="Arial"/>
          <w:sz w:val="14"/>
          <w:szCs w:val="14"/>
          <w:color w:val="auto"/>
        </w:rPr>
        <w:t>Applicable to: SDG&amp;E and SCE (when the Utility is SC for the contracts identified in the first paragraph under this Section B )</w:t>
      </w:r>
    </w:p>
    <w:p>
      <w:pPr>
        <w:spacing w:after="0" w:line="170" w:lineRule="exact"/>
        <w:rPr>
          <w:rFonts w:ascii="Arial" w:cs="Arial" w:eastAsia="Arial" w:hAnsi="Arial"/>
          <w:sz w:val="17"/>
          <w:szCs w:val="17"/>
          <w:b w:val="1"/>
          <w:bCs w:val="1"/>
          <w:color w:val="auto"/>
        </w:rPr>
      </w:pPr>
    </w:p>
    <w:p>
      <w:pPr>
        <w:ind w:left="997" w:hanging="253"/>
        <w:spacing w:after="0"/>
        <w:tabs>
          <w:tab w:leader="none" w:pos="997" w:val="left"/>
        </w:tabs>
        <w:numPr>
          <w:ilvl w:val="1"/>
          <w:numId w:val="99"/>
        </w:numPr>
        <w:rPr>
          <w:rFonts w:ascii="Arial" w:cs="Arial" w:eastAsia="Arial" w:hAnsi="Arial"/>
          <w:sz w:val="17"/>
          <w:szCs w:val="17"/>
          <w:color w:val="auto"/>
        </w:rPr>
      </w:pPr>
      <w:r>
        <w:rPr>
          <w:rFonts w:ascii="Arial" w:cs="Arial" w:eastAsia="Arial" w:hAnsi="Arial"/>
          <w:sz w:val="17"/>
          <w:szCs w:val="17"/>
          <w:color w:val="auto"/>
        </w:rPr>
        <w:t>As SC, the Utility will be responsible for paying all ISO invoices in a timely manner.</w:t>
      </w:r>
    </w:p>
    <w:p>
      <w:pPr>
        <w:ind w:left="997" w:hanging="253"/>
        <w:spacing w:after="0"/>
        <w:tabs>
          <w:tab w:leader="none" w:pos="997" w:val="left"/>
        </w:tabs>
        <w:numPr>
          <w:ilvl w:val="1"/>
          <w:numId w:val="99"/>
        </w:numPr>
        <w:rPr>
          <w:rFonts w:ascii="Arial" w:cs="Arial" w:eastAsia="Arial" w:hAnsi="Arial"/>
          <w:sz w:val="17"/>
          <w:szCs w:val="17"/>
          <w:color w:val="auto"/>
        </w:rPr>
      </w:pPr>
      <w:r>
        <w:rPr>
          <w:rFonts w:ascii="Arial" w:cs="Arial" w:eastAsia="Arial" w:hAnsi="Arial"/>
          <w:sz w:val="17"/>
          <w:szCs w:val="17"/>
          <w:color w:val="auto"/>
        </w:rPr>
        <w:t>Utility will be responsible for ISO charges and credits, as allocated between DWR and the counterparty pursuant to the Contract</w:t>
      </w:r>
    </w:p>
    <w:p>
      <w:pPr>
        <w:spacing w:after="0" w:line="162" w:lineRule="exact"/>
        <w:rPr>
          <w:rFonts w:ascii="Arial" w:cs="Arial" w:eastAsia="Arial" w:hAnsi="Arial"/>
          <w:sz w:val="17"/>
          <w:szCs w:val="17"/>
          <w:color w:val="auto"/>
        </w:rPr>
      </w:pPr>
    </w:p>
    <w:p>
      <w:pPr>
        <w:jc w:val="both"/>
        <w:ind w:left="997" w:right="60" w:hanging="253"/>
        <w:spacing w:after="0" w:line="349" w:lineRule="auto"/>
        <w:tabs>
          <w:tab w:leader="none" w:pos="997" w:val="left"/>
        </w:tabs>
        <w:numPr>
          <w:ilvl w:val="1"/>
          <w:numId w:val="99"/>
        </w:numPr>
        <w:rPr>
          <w:rFonts w:ascii="Arial" w:cs="Arial" w:eastAsia="Arial" w:hAnsi="Arial"/>
          <w:sz w:val="14"/>
          <w:szCs w:val="14"/>
          <w:color w:val="auto"/>
        </w:rPr>
      </w:pPr>
      <w:r>
        <w:rPr>
          <w:rFonts w:ascii="Arial" w:cs="Arial" w:eastAsia="Arial" w:hAnsi="Arial"/>
          <w:sz w:val="14"/>
          <w:szCs w:val="14"/>
          <w:color w:val="auto"/>
        </w:rPr>
        <w:t>With respect to ISO charges allocated to the counterparty pursuant to the Contract, in the event the counterparty does not pay such charges to the Utility, then the Utility and DWR shall refer to the procedure described in Section D below that reimburses the Utility and to provide DWR with sufficient information to</w:t>
      </w:r>
    </w:p>
    <w:p>
      <w:pPr>
        <w:sectPr>
          <w:pgSz w:w="11900" w:h="16957" w:orient="portrait"/>
          <w:cols w:equalWidth="0" w:num="1">
            <w:col w:w="11457"/>
          </w:cols>
          <w:pgMar w:left="223" w:top="124" w:right="219" w:bottom="0" w:gutter="0" w:footer="0" w:header="0"/>
        </w:sectPr>
      </w:pPr>
    </w:p>
    <w:bookmarkStart w:id="86" w:name="page87"/>
    <w:bookmarkEnd w:id="86"/>
    <w:p>
      <w:pPr>
        <w:ind w:left="501"/>
        <w:spacing w:after="0"/>
        <w:rPr>
          <w:sz w:val="20"/>
          <w:szCs w:val="20"/>
          <w:color w:val="auto"/>
        </w:rPr>
      </w:pPr>
      <w:r>
        <w:rPr>
          <w:rFonts w:ascii="Arial" w:cs="Arial" w:eastAsia="Arial" w:hAnsi="Arial"/>
          <w:sz w:val="17"/>
          <w:szCs w:val="17"/>
          <w:color w:val="auto"/>
        </w:rPr>
        <w:t>collect those charges from the counterparty.</w:t>
      </w:r>
    </w:p>
    <w:p>
      <w:pPr>
        <w:spacing w:after="0" w:line="166" w:lineRule="exact"/>
        <w:rPr>
          <w:sz w:val="20"/>
          <w:szCs w:val="20"/>
          <w:color w:val="auto"/>
        </w:rPr>
      </w:pPr>
    </w:p>
    <w:p>
      <w:pPr>
        <w:ind w:left="1001" w:hanging="505"/>
        <w:spacing w:after="0"/>
        <w:tabs>
          <w:tab w:leader="none" w:pos="1001" w:val="left"/>
        </w:tabs>
        <w:numPr>
          <w:ilvl w:val="1"/>
          <w:numId w:val="100"/>
        </w:numPr>
        <w:rPr>
          <w:rFonts w:ascii="Arial" w:cs="Arial" w:eastAsia="Arial" w:hAnsi="Arial"/>
          <w:sz w:val="16"/>
          <w:szCs w:val="16"/>
          <w:color w:val="auto"/>
        </w:rPr>
      </w:pPr>
      <w:r>
        <w:rPr>
          <w:rFonts w:ascii="Arial" w:cs="Arial" w:eastAsia="Arial" w:hAnsi="Arial"/>
          <w:sz w:val="16"/>
          <w:szCs w:val="16"/>
          <w:color w:val="auto"/>
        </w:rPr>
        <w:t>Applicable to all 3 Utilities and when the Utility is the SC, for any Contracts other than those identified in the first paragraph of this Section B:</w:t>
      </w:r>
    </w:p>
    <w:p>
      <w:pPr>
        <w:spacing w:after="0" w:line="188" w:lineRule="exact"/>
        <w:rPr>
          <w:rFonts w:ascii="Arial" w:cs="Arial" w:eastAsia="Arial" w:hAnsi="Arial"/>
          <w:sz w:val="16"/>
          <w:szCs w:val="16"/>
          <w:color w:val="auto"/>
        </w:rPr>
      </w:pPr>
    </w:p>
    <w:p>
      <w:pPr>
        <w:ind w:left="1041" w:hanging="256"/>
        <w:spacing w:after="0"/>
        <w:tabs>
          <w:tab w:leader="none" w:pos="1041" w:val="left"/>
        </w:tabs>
        <w:numPr>
          <w:ilvl w:val="2"/>
          <w:numId w:val="100"/>
        </w:numPr>
        <w:rPr>
          <w:rFonts w:ascii="Arial" w:cs="Arial" w:eastAsia="Arial" w:hAnsi="Arial"/>
          <w:sz w:val="14"/>
          <w:szCs w:val="14"/>
          <w:color w:val="auto"/>
        </w:rPr>
      </w:pPr>
      <w:r>
        <w:rPr>
          <w:rFonts w:ascii="Arial" w:cs="Arial" w:eastAsia="Arial" w:hAnsi="Arial"/>
          <w:sz w:val="14"/>
          <w:szCs w:val="14"/>
          <w:color w:val="auto"/>
        </w:rPr>
        <w:t>DWR and the appropriate Utility will agree upon the Remittance Basis and the treatment of market revenues for energy and Ancillary Services</w:t>
      </w:r>
    </w:p>
    <w:p>
      <w:pPr>
        <w:spacing w:after="0" w:line="200" w:lineRule="exact"/>
        <w:rPr>
          <w:rFonts w:ascii="Arial" w:cs="Arial" w:eastAsia="Arial" w:hAnsi="Arial"/>
          <w:sz w:val="14"/>
          <w:szCs w:val="14"/>
          <w:color w:val="auto"/>
        </w:rPr>
      </w:pPr>
    </w:p>
    <w:p>
      <w:pPr>
        <w:ind w:left="1041" w:hanging="256"/>
        <w:spacing w:after="0"/>
        <w:tabs>
          <w:tab w:leader="none" w:pos="1041" w:val="left"/>
        </w:tabs>
        <w:numPr>
          <w:ilvl w:val="2"/>
          <w:numId w:val="100"/>
        </w:numPr>
        <w:rPr>
          <w:rFonts w:ascii="Arial" w:cs="Arial" w:eastAsia="Arial" w:hAnsi="Arial"/>
          <w:sz w:val="17"/>
          <w:szCs w:val="17"/>
          <w:color w:val="auto"/>
        </w:rPr>
      </w:pPr>
      <w:r>
        <w:rPr>
          <w:rFonts w:ascii="Arial" w:cs="Arial" w:eastAsia="Arial" w:hAnsi="Arial"/>
          <w:sz w:val="17"/>
          <w:szCs w:val="17"/>
          <w:color w:val="auto"/>
        </w:rPr>
        <w:t>DWR and the appropriate Utility will agree upon the responsibility for ISO charges and rights to ISO credits</w:t>
      </w:r>
    </w:p>
    <w:p>
      <w:pPr>
        <w:spacing w:after="0" w:line="327" w:lineRule="exact"/>
        <w:rPr>
          <w:rFonts w:ascii="Arial" w:cs="Arial" w:eastAsia="Arial" w:hAnsi="Arial"/>
          <w:sz w:val="17"/>
          <w:szCs w:val="17"/>
          <w:color w:val="auto"/>
        </w:rPr>
      </w:pPr>
    </w:p>
    <w:p>
      <w:pPr>
        <w:ind w:left="1"/>
        <w:spacing w:after="0"/>
        <w:rPr>
          <w:rFonts w:ascii="Arial" w:cs="Arial" w:eastAsia="Arial" w:hAnsi="Arial"/>
          <w:sz w:val="17"/>
          <w:szCs w:val="17"/>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Bilateral Settlement Parameters On and After the MRTU Effective Date</w:t>
      </w:r>
    </w:p>
    <w:p>
      <w:pPr>
        <w:spacing w:after="0" w:line="159" w:lineRule="exact"/>
        <w:rPr>
          <w:rFonts w:ascii="Arial" w:cs="Arial" w:eastAsia="Arial" w:hAnsi="Arial"/>
          <w:sz w:val="17"/>
          <w:szCs w:val="17"/>
          <w:color w:val="auto"/>
        </w:rPr>
      </w:pPr>
    </w:p>
    <w:p>
      <w:pPr>
        <w:ind w:left="501" w:right="20" w:hanging="5"/>
        <w:spacing w:after="0" w:line="237" w:lineRule="auto"/>
        <w:tabs>
          <w:tab w:leader="none" w:pos="997" w:val="left"/>
        </w:tabs>
        <w:numPr>
          <w:ilvl w:val="1"/>
          <w:numId w:val="101"/>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On behalf of DWR, as its limited agent, Utility will perform all necessary settlement functions related to and in accordance with the terms of the applicable Allocated Contracts, and provide recommendations to allow DWR to make payments accurately and in a timely manner. Utility shall perform such settlement functions consistent with Good Utility Practice.</w:t>
      </w:r>
    </w:p>
    <w:p>
      <w:pPr>
        <w:spacing w:after="0" w:line="144" w:lineRule="exact"/>
        <w:rPr>
          <w:sz w:val="20"/>
          <w:szCs w:val="20"/>
          <w:color w:val="auto"/>
        </w:rPr>
      </w:pPr>
    </w:p>
    <w:p>
      <w:pPr>
        <w:ind w:left="501" w:right="200"/>
        <w:spacing w:after="0" w:line="237" w:lineRule="auto"/>
        <w:rPr>
          <w:sz w:val="20"/>
          <w:szCs w:val="20"/>
          <w:color w:val="auto"/>
        </w:rPr>
      </w:pPr>
      <w:r>
        <w:rPr>
          <w:rFonts w:ascii="Arial" w:cs="Arial" w:eastAsia="Arial" w:hAnsi="Arial"/>
          <w:sz w:val="17"/>
          <w:szCs w:val="17"/>
          <w:color w:val="auto"/>
        </w:rPr>
        <w:t>Settlement functions shall include but are not limited to verification or appropriate review, as the case may be, of energy and related fuel charges, capacity, transmission charges, ISO charges and credits (as further described below), and contract performance related costs and credits, as further set forth in this Section C.</w:t>
      </w:r>
    </w:p>
    <w:p>
      <w:pPr>
        <w:spacing w:after="0" w:line="134" w:lineRule="exact"/>
        <w:rPr>
          <w:sz w:val="20"/>
          <w:szCs w:val="20"/>
          <w:color w:val="auto"/>
        </w:rPr>
      </w:pPr>
    </w:p>
    <w:p>
      <w:pPr>
        <w:ind w:left="501" w:right="120" w:hanging="5"/>
        <w:spacing w:after="0" w:line="245" w:lineRule="auto"/>
        <w:tabs>
          <w:tab w:leader="none" w:pos="997"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ISO Market Activity Related Settlements Parameters</w:t>
      </w:r>
      <w:r>
        <w:rPr>
          <w:rFonts w:ascii="Arial" w:cs="Arial" w:eastAsia="Arial" w:hAnsi="Arial"/>
          <w:sz w:val="17"/>
          <w:szCs w:val="17"/>
          <w:color w:val="auto"/>
        </w:rPr>
        <w:t>. Settlement functions in the cases where Utility is the Suppliers’ Scheduling Coordinator, shall also include verification of ISO market activity in accordance with the terms of the Contracts.</w:t>
      </w:r>
    </w:p>
    <w:p>
      <w:pPr>
        <w:spacing w:after="0" w:line="138" w:lineRule="exact"/>
        <w:rPr>
          <w:sz w:val="20"/>
          <w:szCs w:val="20"/>
          <w:color w:val="auto"/>
        </w:rPr>
      </w:pPr>
    </w:p>
    <w:p>
      <w:pPr>
        <w:ind w:left="501" w:firstLine="496"/>
        <w:spacing w:after="0" w:line="291" w:lineRule="auto"/>
        <w:rPr>
          <w:sz w:val="20"/>
          <w:szCs w:val="20"/>
          <w:color w:val="auto"/>
        </w:rPr>
      </w:pPr>
      <w:r>
        <w:rPr>
          <w:rFonts w:ascii="Arial" w:cs="Arial" w:eastAsia="Arial" w:hAnsi="Arial"/>
          <w:sz w:val="14"/>
          <w:szCs w:val="14"/>
          <w:color w:val="auto"/>
        </w:rPr>
        <w:t>In addition, verification activities shall be performed as to each Contract’s ISO market activity where the Utility is not the Supplier’s Scheduling Coordinator, and where the Contract provides for the necessary information and appropriate timing to perform such activities. These activities shall be limited to ISO charges or credits where DWR is financially responsible or has the right to receive under the Contract. Settlement processing of the ISO market activity of the Contracts may include but is not limited to the review, validation or verification, as appropriate, of charges or credits to confirm reasonableness and consistency with the operating history and record maintained by the Utility. In addition, the Utility shall review such types of charges or revenues for consistency under provisions of the Contracts. The types of charges or revenues may include but is not limited to:</w:t>
      </w:r>
    </w:p>
    <w:p>
      <w:pPr>
        <w:spacing w:after="0" w:line="100" w:lineRule="exact"/>
        <w:rPr>
          <w:sz w:val="20"/>
          <w:szCs w:val="20"/>
          <w:color w:val="auto"/>
        </w:rPr>
      </w:pPr>
    </w:p>
    <w:p>
      <w:pPr>
        <w:ind w:left="1001" w:hanging="505"/>
        <w:spacing w:after="0"/>
        <w:tabs>
          <w:tab w:leader="none" w:pos="100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Volume and prices of uninstructed imbalance energy charged or credited as invoiced;</w:t>
      </w:r>
    </w:p>
    <w:p>
      <w:pPr>
        <w:spacing w:after="0" w:line="155" w:lineRule="exact"/>
        <w:rPr>
          <w:rFonts w:ascii="Arial" w:cs="Arial" w:eastAsia="Arial" w:hAnsi="Arial"/>
          <w:sz w:val="17"/>
          <w:szCs w:val="17"/>
          <w:color w:val="auto"/>
        </w:rPr>
      </w:pPr>
    </w:p>
    <w:p>
      <w:pPr>
        <w:ind w:left="1001" w:hanging="505"/>
        <w:spacing w:after="0"/>
        <w:tabs>
          <w:tab w:leader="none" w:pos="100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Volume and prices of instructed imbalance energy charged or credited as invoiced;</w:t>
      </w:r>
    </w:p>
    <w:p>
      <w:pPr>
        <w:spacing w:after="0" w:line="145" w:lineRule="exact"/>
        <w:rPr>
          <w:rFonts w:ascii="Arial" w:cs="Arial" w:eastAsia="Arial" w:hAnsi="Arial"/>
          <w:sz w:val="17"/>
          <w:szCs w:val="17"/>
          <w:color w:val="auto"/>
        </w:rPr>
      </w:pPr>
    </w:p>
    <w:p>
      <w:pPr>
        <w:ind w:left="1001" w:hanging="505"/>
        <w:spacing w:after="0"/>
        <w:tabs>
          <w:tab w:leader="none" w:pos="100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Volume and prices of Ancillary Services charged or credited as invoiced;</w:t>
      </w:r>
    </w:p>
    <w:p>
      <w:pPr>
        <w:spacing w:after="0" w:line="145" w:lineRule="exact"/>
        <w:rPr>
          <w:rFonts w:ascii="Arial" w:cs="Arial" w:eastAsia="Arial" w:hAnsi="Arial"/>
          <w:sz w:val="17"/>
          <w:szCs w:val="17"/>
          <w:color w:val="auto"/>
        </w:rPr>
      </w:pPr>
    </w:p>
    <w:p>
      <w:pPr>
        <w:ind w:left="1001" w:hanging="505"/>
        <w:spacing w:after="0"/>
        <w:tabs>
          <w:tab w:leader="none" w:pos="100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Compensation for start up cost and minimum load cost compensation as invoiced;</w:t>
      </w:r>
    </w:p>
    <w:p>
      <w:pPr>
        <w:spacing w:after="0" w:line="155" w:lineRule="exact"/>
        <w:rPr>
          <w:rFonts w:ascii="Arial" w:cs="Arial" w:eastAsia="Arial" w:hAnsi="Arial"/>
          <w:sz w:val="17"/>
          <w:szCs w:val="17"/>
          <w:color w:val="auto"/>
        </w:rPr>
      </w:pPr>
    </w:p>
    <w:p>
      <w:pPr>
        <w:ind w:left="1001" w:hanging="505"/>
        <w:spacing w:after="0"/>
        <w:tabs>
          <w:tab w:leader="none" w:pos="100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Compensation for exceptional dispatch uplift compensation as invoiced;</w:t>
      </w:r>
    </w:p>
    <w:p>
      <w:pPr>
        <w:spacing w:after="0" w:line="145" w:lineRule="exact"/>
        <w:rPr>
          <w:rFonts w:ascii="Arial" w:cs="Arial" w:eastAsia="Arial" w:hAnsi="Arial"/>
          <w:sz w:val="17"/>
          <w:szCs w:val="17"/>
          <w:color w:val="auto"/>
        </w:rPr>
      </w:pPr>
    </w:p>
    <w:p>
      <w:pPr>
        <w:ind w:left="1001" w:hanging="505"/>
        <w:spacing w:after="0"/>
        <w:tabs>
          <w:tab w:leader="none" w:pos="100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Verification of volume and prices of load uplift obligation trade offset and bid cost recovery charged or credited as invoiced; and</w:t>
      </w:r>
    </w:p>
    <w:p>
      <w:pPr>
        <w:spacing w:after="0" w:line="145" w:lineRule="exact"/>
        <w:rPr>
          <w:rFonts w:ascii="Arial" w:cs="Arial" w:eastAsia="Arial" w:hAnsi="Arial"/>
          <w:sz w:val="17"/>
          <w:szCs w:val="17"/>
          <w:color w:val="auto"/>
        </w:rPr>
      </w:pPr>
    </w:p>
    <w:p>
      <w:pPr>
        <w:ind w:left="1001" w:hanging="505"/>
        <w:spacing w:after="0"/>
        <w:tabs>
          <w:tab w:leader="none" w:pos="100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Resource performance penalties such as uninstructed deviation penalties and ancillary service no pay penalties.</w:t>
      </w:r>
    </w:p>
    <w:p>
      <w:pPr>
        <w:spacing w:after="0" w:line="156" w:lineRule="exact"/>
        <w:rPr>
          <w:sz w:val="20"/>
          <w:szCs w:val="20"/>
          <w:color w:val="auto"/>
        </w:rPr>
      </w:pPr>
    </w:p>
    <w:p>
      <w:pPr>
        <w:ind w:left="501" w:right="40" w:hanging="5"/>
        <w:spacing w:after="0" w:line="234" w:lineRule="auto"/>
        <w:tabs>
          <w:tab w:leader="none" w:pos="997" w:val="left"/>
        </w:tabs>
        <w:numPr>
          <w:ilvl w:val="1"/>
          <w:numId w:val="104"/>
        </w:numPr>
        <w:rPr>
          <w:rFonts w:ascii="Arial" w:cs="Arial" w:eastAsia="Arial" w:hAnsi="Arial"/>
          <w:sz w:val="17"/>
          <w:szCs w:val="17"/>
          <w:color w:val="auto"/>
        </w:rPr>
      </w:pPr>
      <w:r>
        <w:rPr>
          <w:rFonts w:ascii="Arial" w:cs="Arial" w:eastAsia="Arial" w:hAnsi="Arial"/>
          <w:sz w:val="17"/>
          <w:szCs w:val="17"/>
          <w:u w:val="single" w:color="auto"/>
          <w:color w:val="auto"/>
        </w:rPr>
        <w:t>Insufficient ISO Data for Settlement Verification</w:t>
      </w:r>
      <w:r>
        <w:rPr>
          <w:rFonts w:ascii="Arial" w:cs="Arial" w:eastAsia="Arial" w:hAnsi="Arial"/>
          <w:sz w:val="17"/>
          <w:szCs w:val="17"/>
          <w:color w:val="auto"/>
        </w:rPr>
        <w:t>. In the event that the Utility determines that some of the data is not available for the Utility to verify certain ISO charges and credits, the Utility shall notify DWR and provide sufficient description of the ISO data reasonably necessary to complete the verification activities above. DWR will request and facilitate Utility’s receipt of such ISO data from the counterparty. In the event that DWR subsequently is successful in obtaining such Utility notified necessary ISO data, upon receipt of such ISO data, the Utility shall commence its settlements verification of such ISO market activity prospectively.</w:t>
      </w:r>
    </w:p>
    <w:p>
      <w:pPr>
        <w:spacing w:after="0" w:line="132" w:lineRule="exact"/>
        <w:rPr>
          <w:rFonts w:ascii="Arial" w:cs="Arial" w:eastAsia="Arial" w:hAnsi="Arial"/>
          <w:sz w:val="17"/>
          <w:szCs w:val="17"/>
          <w:color w:val="auto"/>
        </w:rPr>
      </w:pPr>
    </w:p>
    <w:p>
      <w:pPr>
        <w:ind w:left="501" w:right="80" w:hanging="5"/>
        <w:spacing w:after="0" w:line="234" w:lineRule="auto"/>
        <w:tabs>
          <w:tab w:leader="none" w:pos="997" w:val="left"/>
        </w:tabs>
        <w:numPr>
          <w:ilvl w:val="1"/>
          <w:numId w:val="104"/>
        </w:numPr>
        <w:rPr>
          <w:rFonts w:ascii="Arial" w:cs="Arial" w:eastAsia="Arial" w:hAnsi="Arial"/>
          <w:sz w:val="17"/>
          <w:szCs w:val="17"/>
          <w:color w:val="auto"/>
        </w:rPr>
      </w:pPr>
      <w:r>
        <w:rPr>
          <w:rFonts w:ascii="Arial" w:cs="Arial" w:eastAsia="Arial" w:hAnsi="Arial"/>
          <w:sz w:val="17"/>
          <w:szCs w:val="17"/>
          <w:u w:val="single" w:color="auto"/>
          <w:color w:val="auto"/>
        </w:rPr>
        <w:t>Recommendations on Invoice Payment</w:t>
      </w:r>
      <w:r>
        <w:rPr>
          <w:rFonts w:ascii="Arial" w:cs="Arial" w:eastAsia="Arial" w:hAnsi="Arial"/>
          <w:sz w:val="17"/>
          <w:szCs w:val="17"/>
          <w:color w:val="auto"/>
        </w:rPr>
        <w:t>. The Utility shall provide recommendations to DWR on payment of bilateral invoices, including ISO charges and credits consistent with Section C of Part III of this Exhibit C, no later than five calendar days before the required contract payment date, or such other timeline that is mutually agreeable to both parties. In the event the Utility recommendation for payment is different than the Supplier invoice, Utility shall provide a detailed explanation with support information to CDWR sufficiently in advance to allow DWR to settle disputes with the Contract counterparty in an appropriate manner.</w:t>
      </w:r>
    </w:p>
    <w:p>
      <w:pPr>
        <w:spacing w:after="0" w:line="138" w:lineRule="exact"/>
        <w:rPr>
          <w:rFonts w:ascii="Arial" w:cs="Arial" w:eastAsia="Arial" w:hAnsi="Arial"/>
          <w:sz w:val="17"/>
          <w:szCs w:val="17"/>
          <w:color w:val="auto"/>
        </w:rPr>
      </w:pPr>
    </w:p>
    <w:p>
      <w:pPr>
        <w:ind w:left="501" w:hanging="501"/>
        <w:spacing w:after="0"/>
        <w:tabs>
          <w:tab w:leader="none" w:pos="501"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color w:val="auto"/>
        </w:rPr>
        <w:t>Additional Provisions Related to ISO Settlement Statements</w:t>
      </w:r>
    </w:p>
    <w:p>
      <w:pPr>
        <w:spacing w:after="0" w:line="66" w:lineRule="exact"/>
        <w:rPr>
          <w:rFonts w:ascii="Arial" w:cs="Arial" w:eastAsia="Arial" w:hAnsi="Arial"/>
          <w:sz w:val="17"/>
          <w:szCs w:val="17"/>
          <w:b w:val="1"/>
          <w:bCs w:val="1"/>
          <w:color w:val="auto"/>
        </w:rPr>
      </w:pPr>
    </w:p>
    <w:p>
      <w:pPr>
        <w:ind w:left="501" w:right="140" w:hanging="5"/>
        <w:spacing w:after="0" w:line="295" w:lineRule="auto"/>
        <w:tabs>
          <w:tab w:leader="none" w:pos="997" w:val="left"/>
        </w:tabs>
        <w:numPr>
          <w:ilvl w:val="1"/>
          <w:numId w:val="105"/>
        </w:numPr>
        <w:rPr>
          <w:rFonts w:ascii="Arial" w:cs="Arial" w:eastAsia="Arial" w:hAnsi="Arial"/>
          <w:sz w:val="14"/>
          <w:szCs w:val="14"/>
          <w:color w:val="auto"/>
        </w:rPr>
      </w:pPr>
      <w:r>
        <w:rPr>
          <w:rFonts w:ascii="Arial" w:cs="Arial" w:eastAsia="Arial" w:hAnsi="Arial"/>
          <w:sz w:val="14"/>
          <w:szCs w:val="14"/>
          <w:u w:val="single" w:color="auto"/>
          <w:color w:val="auto"/>
        </w:rPr>
        <w:t>ISO Settlement Statements issued to Utility as Scheduling Coordinator of Specified Allocated Contracts</w:t>
      </w:r>
      <w:r>
        <w:rPr>
          <w:rFonts w:ascii="Arial" w:cs="Arial" w:eastAsia="Arial" w:hAnsi="Arial"/>
          <w:sz w:val="14"/>
          <w:szCs w:val="14"/>
          <w:color w:val="auto"/>
        </w:rPr>
        <w:t>. As to the Allocated Contracts specifically identified in Annex 1 attached hereto, as such Annex 1 may be amended from time to time, to the extent that Utility becomes the Scheduling Coordinator as contemplated in Section II(G) of that certain Memorandum of Understanding, dated as of February 4, 2009, Utility will take responsibility for the timely payment, if any, to the ISO, taking into account such ISO charges and credits that are allocated to DWR and (i) any net payments owed to the Utility by the Supplier or (ii) any net credit owed to the Supplier by the Utility (collectively, “Supplier Portion of ISO Charges”).</w:t>
      </w:r>
    </w:p>
    <w:p>
      <w:pPr>
        <w:spacing w:after="0" w:line="13" w:lineRule="exact"/>
        <w:rPr>
          <w:sz w:val="20"/>
          <w:szCs w:val="20"/>
          <w:color w:val="auto"/>
        </w:rPr>
      </w:pPr>
    </w:p>
    <w:p>
      <w:pPr>
        <w:ind w:left="1001" w:right="60" w:hanging="505"/>
        <w:spacing w:after="0" w:line="237" w:lineRule="auto"/>
        <w:tabs>
          <w:tab w:leader="none" w:pos="100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Within five (5) Business Days of the Utility’s receipt of an ISO Invoice, the Utility shall determine the Supplier Portion of ISO Charges and (i) invoice DWR for such amount or (ii) advise DWR as to the net credit to be paid to DWR. In each case, the Utility shall also provide the Supplier and DWR of such agreed-upon data.</w:t>
      </w:r>
    </w:p>
    <w:p>
      <w:pPr>
        <w:spacing w:after="0" w:line="61" w:lineRule="exact"/>
        <w:rPr>
          <w:rFonts w:ascii="Arial" w:cs="Arial" w:eastAsia="Arial" w:hAnsi="Arial"/>
          <w:sz w:val="17"/>
          <w:szCs w:val="17"/>
          <w:color w:val="auto"/>
        </w:rPr>
      </w:pPr>
    </w:p>
    <w:p>
      <w:pPr>
        <w:ind w:left="1001" w:right="180" w:hanging="505"/>
        <w:spacing w:after="0" w:line="245" w:lineRule="auto"/>
        <w:tabs>
          <w:tab w:leader="none" w:pos="100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 the case of any net payment owed to the Utility, within ten (10) Business Days of DWR receipt of an invoice from the Utility , DWR will pay the Utility the entire Supplier Portion of ISO Charges.</w:t>
      </w:r>
    </w:p>
    <w:p>
      <w:pPr>
        <w:spacing w:after="0" w:line="45" w:lineRule="exact"/>
        <w:rPr>
          <w:rFonts w:ascii="Arial" w:cs="Arial" w:eastAsia="Arial" w:hAnsi="Arial"/>
          <w:sz w:val="17"/>
          <w:szCs w:val="17"/>
          <w:color w:val="auto"/>
        </w:rPr>
      </w:pPr>
    </w:p>
    <w:p>
      <w:pPr>
        <w:ind w:left="1001" w:right="100" w:hanging="505"/>
        <w:spacing w:after="0" w:line="245" w:lineRule="auto"/>
        <w:tabs>
          <w:tab w:leader="none" w:pos="100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 the case of a net credit owed to the Supplier, within ten (10) Business Days of DWR receipt of such credit advice, the Utility will submit net credit payment.</w:t>
      </w:r>
    </w:p>
    <w:p>
      <w:pPr>
        <w:spacing w:after="0" w:line="45" w:lineRule="exact"/>
        <w:rPr>
          <w:rFonts w:ascii="Arial" w:cs="Arial" w:eastAsia="Arial" w:hAnsi="Arial"/>
          <w:sz w:val="17"/>
          <w:szCs w:val="17"/>
          <w:color w:val="auto"/>
        </w:rPr>
      </w:pPr>
    </w:p>
    <w:p>
      <w:pPr>
        <w:ind w:left="1001" w:right="20" w:hanging="505"/>
        <w:spacing w:after="0" w:line="313" w:lineRule="auto"/>
        <w:tabs>
          <w:tab w:leader="none" w:pos="1001" w:val="left"/>
        </w:tabs>
        <w:numPr>
          <w:ilvl w:val="0"/>
          <w:numId w:val="106"/>
        </w:numPr>
        <w:rPr>
          <w:rFonts w:ascii="Arial" w:cs="Arial" w:eastAsia="Arial" w:hAnsi="Arial"/>
          <w:sz w:val="14"/>
          <w:szCs w:val="14"/>
          <w:color w:val="auto"/>
        </w:rPr>
      </w:pPr>
      <w:r>
        <w:rPr>
          <w:rFonts w:ascii="Arial" w:cs="Arial" w:eastAsia="Arial" w:hAnsi="Arial"/>
          <w:sz w:val="14"/>
          <w:szCs w:val="14"/>
          <w:color w:val="auto"/>
        </w:rPr>
        <w:t>In either instance as described in (b) or (c) above, the same amount of the Supplier Portion of ISO Charges will be accounted and either credited to DWR (in the case of net payment owed by the Supplier as described in (b) above) or debited to DWR (in the case of net credit owed to the Supplier as described in (c) above) in DWR’s succeeding month’s Supplier’s invoice, consistent with the procedures agreed to between DWR and the Supplier.</w:t>
      </w:r>
    </w:p>
    <w:p>
      <w:pPr>
        <w:spacing w:after="0" w:line="10" w:lineRule="exact"/>
        <w:rPr>
          <w:rFonts w:ascii="Arial" w:cs="Arial" w:eastAsia="Arial" w:hAnsi="Arial"/>
          <w:sz w:val="14"/>
          <w:szCs w:val="14"/>
          <w:color w:val="auto"/>
        </w:rPr>
      </w:pPr>
    </w:p>
    <w:p>
      <w:pPr>
        <w:ind w:left="1001" w:right="220" w:hanging="505"/>
        <w:spacing w:after="0" w:line="235" w:lineRule="auto"/>
        <w:tabs>
          <w:tab w:leader="none" w:pos="100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 the event that the Supplier shall dispute the Utility determined Supplier Portion of ISO Charges, in the case net payment owed by the Supplier as described in (b) above, DWR agrees to pay the entire Utility determined Supplier Portion of ISO Charges to the Utility initially and pursue dispute resolution with the Utility. In the case of dispute as to the net credit owed to the Supplier as described in (c) above, Utility will pay the Utility determined amount.</w:t>
      </w:r>
    </w:p>
    <w:p>
      <w:pPr>
        <w:spacing w:after="0" w:line="61" w:lineRule="exact"/>
        <w:rPr>
          <w:rFonts w:ascii="Arial" w:cs="Arial" w:eastAsia="Arial" w:hAnsi="Arial"/>
          <w:sz w:val="17"/>
          <w:szCs w:val="17"/>
          <w:color w:val="auto"/>
        </w:rPr>
      </w:pPr>
    </w:p>
    <w:p>
      <w:pPr>
        <w:ind w:left="1001" w:right="80"/>
        <w:spacing w:after="0" w:line="237" w:lineRule="auto"/>
        <w:rPr>
          <w:rFonts w:ascii="Arial" w:cs="Arial" w:eastAsia="Arial" w:hAnsi="Arial"/>
          <w:sz w:val="17"/>
          <w:szCs w:val="17"/>
          <w:color w:val="auto"/>
        </w:rPr>
      </w:pPr>
      <w:r>
        <w:rPr>
          <w:rFonts w:ascii="Arial" w:cs="Arial" w:eastAsia="Arial" w:hAnsi="Arial"/>
          <w:sz w:val="17"/>
          <w:szCs w:val="17"/>
          <w:color w:val="auto"/>
        </w:rPr>
        <w:t>As to the disputed portion, DWR agrees to enter into dispute resolution process with the Supplier, with such back-up data and information from the Utility, to resolve such dispute of the Supplier. Upon resolution of such dispute by DWR, the disputed portion shall be communicated to the Supplier and the Utility.</w:t>
      </w:r>
    </w:p>
    <w:p>
      <w:pPr>
        <w:spacing w:after="0" w:line="51" w:lineRule="exact"/>
        <w:rPr>
          <w:rFonts w:ascii="Arial" w:cs="Arial" w:eastAsia="Arial" w:hAnsi="Arial"/>
          <w:sz w:val="17"/>
          <w:szCs w:val="17"/>
          <w:color w:val="auto"/>
        </w:rPr>
      </w:pPr>
    </w:p>
    <w:p>
      <w:pPr>
        <w:ind w:left="1001" w:right="100" w:hanging="505"/>
        <w:spacing w:after="0" w:line="237" w:lineRule="auto"/>
        <w:tabs>
          <w:tab w:leader="none" w:pos="100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Utility agrees to reconcile and account for such disputed portion in the succeeding month’s determination of the Supplier Portion of ISO Charges to address the adjusted amount, either positive or negative. Such adjustment will be specifically noted in the notice to DWR and the Supplier described in (a) of this Section D and reflected in the immediately succeeding month’s invoice to DWR.</w:t>
      </w:r>
    </w:p>
    <w:p>
      <w:pPr>
        <w:spacing w:after="0" w:line="62" w:lineRule="exact"/>
        <w:rPr>
          <w:sz w:val="20"/>
          <w:szCs w:val="20"/>
          <w:color w:val="auto"/>
        </w:rPr>
      </w:pPr>
    </w:p>
    <w:p>
      <w:pPr>
        <w:ind w:left="1001"/>
        <w:spacing w:after="0"/>
        <w:rPr>
          <w:sz w:val="20"/>
          <w:szCs w:val="20"/>
          <w:color w:val="auto"/>
        </w:rPr>
      </w:pPr>
      <w:r>
        <w:rPr>
          <w:rFonts w:ascii="Arial" w:cs="Arial" w:eastAsia="Arial" w:hAnsi="Arial"/>
          <w:sz w:val="17"/>
          <w:szCs w:val="17"/>
          <w:color w:val="auto"/>
        </w:rPr>
        <w:t>Appropriate adjustments to the Supplier’s invoice will also be reflected, consistent with the agreement between DWR and Supplier.</w:t>
      </w:r>
    </w:p>
    <w:p>
      <w:pPr>
        <w:spacing w:after="0" w:line="63" w:lineRule="exact"/>
        <w:rPr>
          <w:sz w:val="20"/>
          <w:szCs w:val="20"/>
          <w:color w:val="auto"/>
        </w:rPr>
      </w:pPr>
    </w:p>
    <w:p>
      <w:pPr>
        <w:ind w:left="501" w:right="360" w:hanging="5"/>
        <w:spacing w:after="0" w:line="235" w:lineRule="auto"/>
        <w:tabs>
          <w:tab w:leader="none" w:pos="997"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ISO Settlement Statement issued to Suppliers’ Non-Utility Scheduling Coordinators</w:t>
      </w:r>
      <w:r>
        <w:rPr>
          <w:rFonts w:ascii="Arial" w:cs="Arial" w:eastAsia="Arial" w:hAnsi="Arial"/>
          <w:sz w:val="17"/>
          <w:szCs w:val="17"/>
          <w:color w:val="auto"/>
        </w:rPr>
        <w:t>. So long as appropriate settlement statements and necessary supporting details to validate and verify ISO Settlement Statements issued with respect to the Contracts to the Suppliers’ Scheduling Coordinators are available to Utility, Utility shall review, validate and verify all ISO charges/credits contained on all ISO Settlement Statements related to the Allocated Contracts.</w:t>
      </w:r>
    </w:p>
    <w:p>
      <w:pPr>
        <w:sectPr>
          <w:pgSz w:w="11900" w:h="16838" w:orient="portrait"/>
          <w:cols w:equalWidth="0" w:num="1">
            <w:col w:w="10961"/>
          </w:cols>
          <w:pgMar w:left="719" w:top="124" w:right="219" w:bottom="0" w:gutter="0" w:footer="0" w:header="0"/>
        </w:sectPr>
      </w:pPr>
    </w:p>
    <w:bookmarkStart w:id="87" w:name="page88"/>
    <w:bookmarkEnd w:id="87"/>
    <w:p>
      <w:pPr>
        <w:ind w:left="1000" w:right="180"/>
        <w:spacing w:after="0" w:line="258" w:lineRule="auto"/>
        <w:rPr>
          <w:sz w:val="20"/>
          <w:szCs w:val="20"/>
          <w:color w:val="auto"/>
        </w:rPr>
      </w:pPr>
      <w:r>
        <w:rPr>
          <w:rFonts w:ascii="Arial" w:cs="Arial" w:eastAsia="Arial" w:hAnsi="Arial"/>
          <w:sz w:val="16"/>
          <w:szCs w:val="16"/>
          <w:color w:val="auto"/>
        </w:rPr>
        <w:t>In the event that the settlement statements or supporting details available to the Utility with respect to the Supplier’s ISO Settlement Statements issued with respect to a Supplier are not determined to be sufficient as mutually determined by DWR and Utility, the Utility shall review the available data for reasonableness which review shall be commensurate with the quality and the quantity of the data available to the Utility.</w:t>
      </w:r>
    </w:p>
    <w:p>
      <w:pPr>
        <w:spacing w:after="0" w:line="129" w:lineRule="exact"/>
        <w:rPr>
          <w:sz w:val="20"/>
          <w:szCs w:val="20"/>
          <w:color w:val="auto"/>
        </w:rPr>
      </w:pPr>
    </w:p>
    <w:p>
      <w:pPr>
        <w:ind w:left="1000" w:right="80"/>
        <w:spacing w:after="0" w:line="349" w:lineRule="auto"/>
        <w:rPr>
          <w:sz w:val="20"/>
          <w:szCs w:val="20"/>
          <w:color w:val="auto"/>
        </w:rPr>
      </w:pPr>
      <w:r>
        <w:rPr>
          <w:rFonts w:ascii="Arial" w:cs="Arial" w:eastAsia="Arial" w:hAnsi="Arial"/>
          <w:sz w:val="14"/>
          <w:szCs w:val="14"/>
          <w:color w:val="auto"/>
        </w:rPr>
        <w:t>The obligations described in this Section D(2) of Part III of this Exhibit C shall be performed consistent with the Bilateral Settlement Parameters provided in Section C of Part III of this Exhibit C, which protocols may be modified, clarified or amended from time to time as determined appropriate by the Parties.</w:t>
      </w:r>
    </w:p>
    <w:p>
      <w:pPr>
        <w:spacing w:after="0" w:line="55"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IV.</w:t>
      </w:r>
      <w:r>
        <w:rPr>
          <w:sz w:val="20"/>
          <w:szCs w:val="20"/>
          <w:color w:val="auto"/>
        </w:rPr>
        <w:tab/>
      </w:r>
      <w:r>
        <w:rPr>
          <w:rFonts w:ascii="Arial" w:cs="Arial" w:eastAsia="Arial" w:hAnsi="Arial"/>
          <w:sz w:val="17"/>
          <w:szCs w:val="17"/>
          <w:b w:val="1"/>
          <w:bCs w:val="1"/>
          <w:color w:val="auto"/>
        </w:rPr>
        <w:t>Fuel Cost Verification and Settlement</w:t>
      </w:r>
    </w:p>
    <w:p>
      <w:pPr>
        <w:spacing w:after="0" w:line="160" w:lineRule="exact"/>
        <w:rPr>
          <w:sz w:val="20"/>
          <w:szCs w:val="20"/>
          <w:color w:val="auto"/>
        </w:rPr>
      </w:pPr>
    </w:p>
    <w:p>
      <w:pPr>
        <w:ind w:left="500"/>
        <w:spacing w:after="0" w:line="247" w:lineRule="auto"/>
        <w:rPr>
          <w:sz w:val="20"/>
          <w:szCs w:val="20"/>
          <w:color w:val="auto"/>
        </w:rPr>
      </w:pPr>
      <w:r>
        <w:rPr>
          <w:rFonts w:ascii="Arial" w:cs="Arial" w:eastAsia="Arial" w:hAnsi="Arial"/>
          <w:sz w:val="16"/>
          <w:szCs w:val="16"/>
          <w:color w:val="auto"/>
        </w:rPr>
        <w:t>Exhibit B provides a detailed discussion concerning Utility’s responsibility for fuel management. Prior to the date that any Contract is novated to Utility, DWR will continue to pay fuel suppliers and others involved in providing fuel management services for the delivery of fuel for those DWR Contracts where the Fuel Option has been elected. Consistent with the above, Utility will perform settlements activities to reconcile quantities and associated charges, and DWR will perform verification, audit and monitoring to support its disbursement of funds prior to the MRTU Effective Date. On and after the MRTU Effective Date, DWR will perform such internal procedures that are reasonable and determined appropriate by DWR, and such validation, analysis and audit of the settlement functions to be performed by Utility, as DWR’s limited agent, to support DWR disbursement of funds. Utility will comply with the requirements contained in Exhibit F to provide DWR with the necessary information to apply appropriate procedures and controls to ensure that fuel payments and payments for fuel management services are made accurately and in a timely manner and to allow DWR to settle disputes in an appropriate manner.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w:t>
      </w:r>
    </w:p>
    <w:p>
      <w:pPr>
        <w:sectPr>
          <w:pgSz w:w="11900" w:h="16838" w:orient="portrait"/>
          <w:cols w:equalWidth="0" w:num="1">
            <w:col w:w="11460"/>
          </w:cols>
          <w:pgMar w:left="220" w:top="124" w:right="219" w:bottom="1440" w:gutter="0" w:footer="0" w:header="0"/>
        </w:sectPr>
      </w:pPr>
    </w:p>
    <w:bookmarkStart w:id="88" w:name="page89"/>
    <w:bookmarkEnd w:id="88"/>
    <w:p>
      <w:pPr>
        <w:ind w:left="4780"/>
        <w:spacing w:after="0"/>
        <w:rPr>
          <w:sz w:val="20"/>
          <w:szCs w:val="20"/>
          <w:color w:val="auto"/>
        </w:rPr>
      </w:pPr>
      <w:r>
        <w:rPr>
          <w:rFonts w:ascii="Arial" w:cs="Arial" w:eastAsia="Arial" w:hAnsi="Arial"/>
          <w:sz w:val="17"/>
          <w:szCs w:val="17"/>
          <w:b w:val="1"/>
          <w:bCs w:val="1"/>
          <w:color w:val="auto"/>
        </w:rPr>
        <w:t>ANNEX 1 TO EXHIBIT C</w:t>
      </w:r>
    </w:p>
    <w:p>
      <w:pPr>
        <w:spacing w:after="0" w:line="156" w:lineRule="exact"/>
        <w:rPr>
          <w:sz w:val="20"/>
          <w:szCs w:val="20"/>
          <w:color w:val="auto"/>
        </w:rPr>
      </w:pPr>
    </w:p>
    <w:p>
      <w:pPr>
        <w:ind w:left="4240"/>
        <w:spacing w:after="0"/>
        <w:rPr>
          <w:sz w:val="20"/>
          <w:szCs w:val="20"/>
          <w:color w:val="auto"/>
        </w:rPr>
      </w:pPr>
      <w:r>
        <w:rPr>
          <w:rFonts w:ascii="Arial" w:cs="Arial" w:eastAsia="Arial" w:hAnsi="Arial"/>
          <w:sz w:val="17"/>
          <w:szCs w:val="17"/>
          <w:b w:val="1"/>
          <w:bCs w:val="1"/>
          <w:color w:val="auto"/>
        </w:rPr>
        <w:t>Contracts Subject to Part III, Section D(1)</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the Effective Date of the 2010 Operating Order</w:t>
      </w:r>
    </w:p>
    <w:p>
      <w:pPr>
        <w:spacing w:after="0" w:line="200" w:lineRule="exact"/>
        <w:rPr>
          <w:sz w:val="20"/>
          <w:szCs w:val="20"/>
          <w:color w:val="auto"/>
        </w:rPr>
      </w:pPr>
    </w:p>
    <w:p>
      <w:pPr>
        <w:spacing w:after="0" w:line="310" w:lineRule="exact"/>
        <w:rPr>
          <w:sz w:val="20"/>
          <w:szCs w:val="20"/>
          <w:color w:val="auto"/>
        </w:rPr>
      </w:pPr>
    </w:p>
    <w:p>
      <w:pPr>
        <w:ind w:left="1500"/>
        <w:spacing w:after="0"/>
        <w:tabs>
          <w:tab w:leader="none" w:pos="4440" w:val="left"/>
        </w:tabs>
        <w:rPr>
          <w:sz w:val="20"/>
          <w:szCs w:val="20"/>
          <w:color w:val="auto"/>
        </w:rPr>
      </w:pPr>
      <w:r>
        <w:rPr>
          <w:rFonts w:ascii="Arial" w:cs="Arial" w:eastAsia="Arial" w:hAnsi="Arial"/>
          <w:sz w:val="17"/>
          <w:szCs w:val="17"/>
          <w:color w:val="auto"/>
        </w:rPr>
        <w:t>San Diego Gas &amp; Electric Company</w:t>
      </w:r>
      <w:r>
        <w:rPr>
          <w:rFonts w:ascii="Arial" w:cs="Arial" w:eastAsia="Arial" w:hAnsi="Arial"/>
          <w:sz w:val="27"/>
          <w:szCs w:val="27"/>
          <w:color w:val="auto"/>
          <w:vertAlign w:val="superscript"/>
        </w:rPr>
        <w:t>*</w:t>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248"/>
        <w:spacing w:after="0" w:line="207"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7"/>
          <w:szCs w:val="17"/>
          <w:color w:val="auto"/>
        </w:rPr>
        <w:t>SDG&amp;E acting as Scheduling Coordinator for the Sunrise Contract will not be subject to the specified SC procedure provisions. Upon appointment of SDG&amp;E as Scheduling Coordinator for the Calpeak Contracts allocated to SDG&amp;E, SDG&amp;E will not be subject to the specified SC procedure provisions set forth in this Exhibit C.</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w:t>
      </w:r>
    </w:p>
    <w:p>
      <w:pPr>
        <w:sectPr>
          <w:pgSz w:w="11900" w:h="16838" w:orient="portrait"/>
          <w:cols w:equalWidth="0" w:num="1">
            <w:col w:w="11460"/>
          </w:cols>
          <w:pgMar w:left="220" w:top="677" w:right="219"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DWR/SDG&amp;E EXHIBIT D</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ISO SCHEDULING COORDINATOR CHARGES</w:t>
      </w:r>
    </w:p>
    <w:p>
      <w:pPr>
        <w:sectPr>
          <w:pgSz w:w="11900" w:h="16838" w:orient="portrait"/>
          <w:cols w:equalWidth="0" w:num="1">
            <w:col w:w="9019"/>
          </w:cols>
          <w:pgMar w:left="1440" w:top="1440" w:right="1440" w:bottom="1440" w:gutter="0" w:footer="0" w:header="0"/>
        </w:sectPr>
      </w:pPr>
    </w:p>
    <w:bookmarkStart w:id="90" w:name="page91"/>
    <w:bookmarkEnd w:id="90"/>
    <w:p>
      <w:pPr>
        <w:jc w:val="center"/>
        <w:ind w:right="-59"/>
        <w:spacing w:after="0"/>
        <w:rPr>
          <w:sz w:val="20"/>
          <w:szCs w:val="20"/>
          <w:color w:val="auto"/>
        </w:rPr>
      </w:pPr>
      <w:r>
        <w:rPr>
          <w:rFonts w:ascii="Arial" w:cs="Arial" w:eastAsia="Arial" w:hAnsi="Arial"/>
          <w:sz w:val="17"/>
          <w:szCs w:val="17"/>
          <w:b w:val="1"/>
          <w:bCs w:val="1"/>
          <w:color w:val="auto"/>
        </w:rPr>
        <w:t>EXHIBIT D</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ISO SCHEDULING COORDINATOR CHARGES</w:t>
      </w:r>
    </w:p>
    <w:p>
      <w:pPr>
        <w:spacing w:after="0" w:line="201" w:lineRule="exact"/>
        <w:rPr>
          <w:sz w:val="20"/>
          <w:szCs w:val="20"/>
          <w:color w:val="auto"/>
        </w:rPr>
      </w:pPr>
    </w:p>
    <w:p>
      <w:pPr>
        <w:ind w:right="200" w:firstLine="496"/>
        <w:spacing w:after="0" w:line="346" w:lineRule="auto"/>
        <w:rPr>
          <w:sz w:val="20"/>
          <w:szCs w:val="20"/>
          <w:color w:val="auto"/>
        </w:rPr>
      </w:pPr>
      <w:r>
        <w:rPr>
          <w:rFonts w:ascii="Arial" w:cs="Arial" w:eastAsia="Arial" w:hAnsi="Arial"/>
          <w:sz w:val="17"/>
          <w:szCs w:val="17"/>
          <w:color w:val="auto"/>
        </w:rPr>
        <w:t>The financial obligation for ISO charges incurred as of January 1, 2003 has been allocated to the Utility. Unless specifically provided in Exhibit C hereto, all ISO charges incurred after January 1, 2003 attributable to load and resources shall be the responsibility of Utility.</w:t>
      </w:r>
    </w:p>
    <w:p>
      <w:pPr>
        <w:spacing w:after="0" w:line="57" w:lineRule="exact"/>
        <w:rPr>
          <w:sz w:val="20"/>
          <w:szCs w:val="20"/>
          <w:color w:val="auto"/>
        </w:rPr>
      </w:pPr>
    </w:p>
    <w:p>
      <w:pPr>
        <w:ind w:right="80" w:firstLine="496"/>
        <w:spacing w:after="0" w:line="357" w:lineRule="auto"/>
        <w:rPr>
          <w:sz w:val="20"/>
          <w:szCs w:val="20"/>
          <w:color w:val="auto"/>
        </w:rPr>
      </w:pPr>
      <w:r>
        <w:rPr>
          <w:rFonts w:ascii="Arial" w:cs="Arial" w:eastAsia="Arial" w:hAnsi="Arial"/>
          <w:sz w:val="16"/>
          <w:szCs w:val="16"/>
          <w:color w:val="auto"/>
        </w:rPr>
        <w:t>Utility agrees that any refunds, reruns or credits through the ISO attributable to costs incurred by DWR for trade dates beginning February 7, 2001 up to January 1, 2003, under that certain Restated Letter Agreement, dated April 5, 2001, shall belong to DWR and Utility shall take all necessary action to remit such refunds or credits to DWR within reasonable time. In addition, DWR shall be responsible for any ISO charges incurred during this period pursuant to the existing letter agreement between the Parties. Utility shall invoice DWR for such ISO charges within a reasonable period of time and DWR shall pay Utility for such ISO charges within 10 days of receipt of such invoice. Without making any assurances as to Commission action, DWR agrees to take appropriate action to ensure that such refunds or credits are applied consistent with DWR’s Revenue Requirement cost allocation method for the same trade dates.</w:t>
      </w:r>
    </w:p>
    <w:p>
      <w:pPr>
        <w:spacing w:after="0" w:line="53" w:lineRule="exact"/>
        <w:rPr>
          <w:sz w:val="20"/>
          <w:szCs w:val="20"/>
          <w:color w:val="auto"/>
        </w:rPr>
      </w:pPr>
    </w:p>
    <w:p>
      <w:pPr>
        <w:ind w:firstLine="496"/>
        <w:spacing w:after="0" w:line="338" w:lineRule="auto"/>
        <w:rPr>
          <w:sz w:val="20"/>
          <w:szCs w:val="20"/>
          <w:color w:val="auto"/>
        </w:rPr>
      </w:pPr>
      <w:r>
        <w:rPr>
          <w:rFonts w:ascii="Arial" w:cs="Arial" w:eastAsia="Arial" w:hAnsi="Arial"/>
          <w:sz w:val="17"/>
          <w:szCs w:val="17"/>
          <w:color w:val="auto"/>
        </w:rPr>
        <w:t>On and after the MRTU Effective Date, all ISO charges attributable to Load (as defined under the ISO MRTU tariff) will be paid by the Utility. Revenues associated with Inter-SC Trades related to Energy, Ancillary Services or IFM Load Uplift Obligation (as defined under the ISO MRTU tariff) from DWR Contract will be applied by Utility to offset ISO charges allocated to Load.</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w:t>
      </w:r>
    </w:p>
    <w:p>
      <w:pPr>
        <w:sectPr>
          <w:pgSz w:w="11900" w:h="16838" w:orient="portrait"/>
          <w:cols w:equalWidth="0" w:num="1">
            <w:col w:w="11420"/>
          </w:cols>
          <w:pgMar w:left="220" w:top="677" w:right="259" w:bottom="1440" w:gutter="0" w:footer="0" w:header="0"/>
        </w:sectPr>
      </w:pPr>
    </w:p>
    <w:bookmarkStart w:id="91" w:name="page92"/>
    <w:bookmarkEnd w:id="91"/>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DWR/SDG&amp;E EXHIBIT E</w:t>
      </w:r>
    </w:p>
    <w:p>
      <w:pPr>
        <w:spacing w:after="0" w:line="156" w:lineRule="exact"/>
        <w:rPr>
          <w:sz w:val="20"/>
          <w:szCs w:val="20"/>
          <w:color w:val="auto"/>
        </w:rPr>
      </w:pPr>
    </w:p>
    <w:p>
      <w:pPr>
        <w:ind w:left="3180"/>
        <w:spacing w:after="0"/>
        <w:rPr>
          <w:sz w:val="20"/>
          <w:szCs w:val="20"/>
          <w:color w:val="auto"/>
        </w:rPr>
      </w:pPr>
      <w:r>
        <w:rPr>
          <w:rFonts w:ascii="Arial" w:cs="Arial" w:eastAsia="Arial" w:hAnsi="Arial"/>
          <w:sz w:val="16"/>
          <w:szCs w:val="16"/>
          <w:b w:val="1"/>
          <w:bCs w:val="1"/>
          <w:color w:val="auto"/>
        </w:rPr>
        <w:t>CONTRACT MANAGEMENT AND</w:t>
      </w:r>
    </w:p>
    <w:p>
      <w:pPr>
        <w:spacing w:after="0" w:line="20"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ADMINISTRATION PROTOCOLS</w:t>
      </w:r>
    </w:p>
    <w:p>
      <w:pPr>
        <w:sectPr>
          <w:pgSz w:w="11900" w:h="16838" w:orient="portrait"/>
          <w:cols w:equalWidth="0" w:num="1">
            <w:col w:w="9019"/>
          </w:cols>
          <w:pgMar w:left="1440" w:top="1440" w:right="1440" w:bottom="1440" w:gutter="0" w:footer="0" w:header="0"/>
        </w:sectPr>
      </w:pPr>
    </w:p>
    <w:bookmarkStart w:id="92" w:name="page93"/>
    <w:bookmarkEnd w:id="92"/>
    <w:p>
      <w:pPr>
        <w:jc w:val="center"/>
        <w:spacing w:after="0"/>
        <w:rPr>
          <w:sz w:val="20"/>
          <w:szCs w:val="20"/>
          <w:color w:val="auto"/>
        </w:rPr>
      </w:pPr>
      <w:r>
        <w:rPr>
          <w:rFonts w:ascii="Arial" w:cs="Arial" w:eastAsia="Arial" w:hAnsi="Arial"/>
          <w:sz w:val="17"/>
          <w:szCs w:val="17"/>
          <w:b w:val="1"/>
          <w:bCs w:val="1"/>
          <w:color w:val="auto"/>
        </w:rPr>
        <w:t>EXHIBIT 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CONTRACT MANAGEMENT AND ADMINISTRATION PROTOCOLS</w:t>
      </w:r>
    </w:p>
    <w:p>
      <w:pPr>
        <w:spacing w:after="0" w:line="160"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Except as specifically noted below, DWR will retain all contract management, administration and monitoring responsibilities for the Contracts, including due diligence, performance testing, contract performance assessment, formal correspondence and notifications with Suppliers, exercise of contract options, contract interpretation and dispute resolution, and financial reporting. In the event Utility and DWR agree in the future to transition the Due Diligence and Performance Test Monitoring functions set forth in this Exhibit E from DWR to the Utility, the Parties will first develop a mutually acceptable plan of performance, a transition schedule, and a transition plan for transfer of such functions from DWR to the Utility for review and approval by the Commission. Upon agreement of the Parties to an acceptable plan and completion of the transition period, the agreed upon functions will transfer from DWR to the Utility (the “Transition Date”).</w:t>
      </w:r>
    </w:p>
    <w:p>
      <w:pPr>
        <w:spacing w:after="0" w:line="136"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Pursuant to Advice Letter 2048-E dated December 12, 2008 as related to SDG&amp;E, responsibilities set forth in Paragraph II.A of this Exhibit E have been transferred from DWR to the Utility.</w:t>
      </w:r>
    </w:p>
    <w:p>
      <w:pPr>
        <w:spacing w:after="0" w:line="128" w:lineRule="exact"/>
        <w:rPr>
          <w:sz w:val="20"/>
          <w:szCs w:val="20"/>
          <w:color w:val="auto"/>
        </w:rPr>
      </w:pPr>
    </w:p>
    <w:p>
      <w:pPr>
        <w:ind w:left="500" w:hanging="497"/>
        <w:spacing w:after="0"/>
        <w:tabs>
          <w:tab w:leader="none" w:pos="5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Due-Diligence</w:t>
      </w:r>
    </w:p>
    <w:p>
      <w:pPr>
        <w:spacing w:after="0" w:line="155" w:lineRule="exact"/>
        <w:rPr>
          <w:rFonts w:ascii="Arial" w:cs="Arial" w:eastAsia="Arial" w:hAnsi="Arial"/>
          <w:sz w:val="17"/>
          <w:szCs w:val="17"/>
          <w:color w:val="auto"/>
        </w:rPr>
      </w:pPr>
    </w:p>
    <w:p>
      <w:pPr>
        <w:ind w:left="500" w:right="140"/>
        <w:spacing w:after="0" w:line="233" w:lineRule="auto"/>
        <w:rPr>
          <w:rFonts w:ascii="Arial" w:cs="Arial" w:eastAsia="Arial" w:hAnsi="Arial"/>
          <w:sz w:val="17"/>
          <w:szCs w:val="17"/>
          <w:color w:val="auto"/>
        </w:rPr>
      </w:pPr>
      <w:r>
        <w:rPr>
          <w:rFonts w:ascii="Arial" w:cs="Arial" w:eastAsia="Arial" w:hAnsi="Arial"/>
          <w:sz w:val="17"/>
          <w:szCs w:val="17"/>
          <w:color w:val="auto"/>
        </w:rPr>
        <w:t>The Due Diligence function assesses the progress of permitting, construction and performance capability of new generating facilities under to the Contracts. Due Diligence includes (i) monitoring activities associated with the development, construction, and performance of new generating facilities; (ii) identification and tracking of key projects milestones including permitting, equipment procurement, construction, commissioning, and performance testing; (iii) coordination with permitting agencies and the Suppliers, review of project documents, physical inspections, and witnessing of acceptance tests, (iv) verification that the new facilities can perform in a manner that is consistent with the obligations under the appropriate Contract and (v) review and approval of commercial operation dates and documentation.</w:t>
      </w:r>
    </w:p>
    <w:p>
      <w:pPr>
        <w:spacing w:after="0" w:line="143" w:lineRule="exact"/>
        <w:rPr>
          <w:sz w:val="20"/>
          <w:szCs w:val="20"/>
          <w:color w:val="auto"/>
        </w:rPr>
      </w:pPr>
    </w:p>
    <w:p>
      <w:pPr>
        <w:ind w:left="500" w:hanging="497"/>
        <w:spacing w:after="0"/>
        <w:tabs>
          <w:tab w:leader="none" w:pos="5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Performance Test Monitoring</w:t>
      </w:r>
    </w:p>
    <w:p>
      <w:pPr>
        <w:spacing w:after="0" w:line="141"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Annual Performance Tests</w:t>
      </w:r>
    </w:p>
    <w:p>
      <w:pPr>
        <w:spacing w:after="0" w:line="160" w:lineRule="exact"/>
        <w:rPr>
          <w:sz w:val="20"/>
          <w:szCs w:val="20"/>
          <w:color w:val="auto"/>
        </w:rPr>
      </w:pPr>
    </w:p>
    <w:p>
      <w:pPr>
        <w:ind w:left="500" w:right="60"/>
        <w:spacing w:after="0" w:line="287" w:lineRule="auto"/>
        <w:rPr>
          <w:sz w:val="20"/>
          <w:szCs w:val="20"/>
          <w:color w:val="auto"/>
        </w:rPr>
      </w:pPr>
      <w:r>
        <w:rPr>
          <w:rFonts w:ascii="Arial" w:cs="Arial" w:eastAsia="Arial" w:hAnsi="Arial"/>
          <w:sz w:val="14"/>
          <w:szCs w:val="14"/>
          <w:color w:val="auto"/>
        </w:rPr>
        <w:t>Annual Performance Tests verify ongoing compliance with the Contracts and establish plants capacities and efficiencies that are used to calculate contract payments, either for capacity or energy. Annual Performance Test responsibilities generally consist of (i) verification of testing procedures, (ii) witness of performance tests,</w:t>
      </w:r>
    </w:p>
    <w:p>
      <w:pPr>
        <w:spacing w:after="0" w:line="1" w:lineRule="exact"/>
        <w:rPr>
          <w:sz w:val="20"/>
          <w:szCs w:val="20"/>
          <w:color w:val="auto"/>
        </w:rPr>
      </w:pPr>
    </w:p>
    <w:p>
      <w:pPr>
        <w:ind w:left="500" w:hanging="1"/>
        <w:spacing w:after="0" w:line="232" w:lineRule="auto"/>
        <w:tabs>
          <w:tab w:leader="none" w:pos="789" w:val="left"/>
        </w:tabs>
        <w:numPr>
          <w:ilvl w:val="0"/>
          <w:numId w:val="110"/>
        </w:numPr>
        <w:rPr>
          <w:rFonts w:ascii="Arial" w:cs="Arial" w:eastAsia="Arial" w:hAnsi="Arial"/>
          <w:sz w:val="17"/>
          <w:szCs w:val="17"/>
          <w:color w:val="auto"/>
        </w:rPr>
      </w:pPr>
      <w:r>
        <w:rPr>
          <w:rFonts w:ascii="Arial" w:cs="Arial" w:eastAsia="Arial" w:hAnsi="Arial"/>
          <w:sz w:val="17"/>
          <w:szCs w:val="17"/>
          <w:color w:val="auto"/>
        </w:rPr>
        <w:t>review of test results and test reports for compliance with Contract terms and conditions, and (iv) identification of contract non-compliance for dispute resolution with the Supplier. Prior to the Transition Date, the Utility will cooperate and assist DWR with scheduling of upcoming Annual Performance Tests, and the Utility may have its staff witness such testing.</w:t>
      </w:r>
    </w:p>
    <w:p>
      <w:pPr>
        <w:spacing w:after="0" w:line="128" w:lineRule="exact"/>
        <w:rPr>
          <w:sz w:val="20"/>
          <w:szCs w:val="20"/>
          <w:color w:val="auto"/>
        </w:rPr>
      </w:pPr>
    </w:p>
    <w:p>
      <w:pPr>
        <w:ind w:left="1000" w:hanging="501"/>
        <w:spacing w:after="0"/>
        <w:tabs>
          <w:tab w:leader="none" w:pos="1000" w:val="left"/>
        </w:tabs>
        <w:numPr>
          <w:ilvl w:val="0"/>
          <w:numId w:val="111"/>
        </w:numPr>
        <w:rPr>
          <w:rFonts w:ascii="Arial" w:cs="Arial" w:eastAsia="Arial" w:hAnsi="Arial"/>
          <w:sz w:val="17"/>
          <w:szCs w:val="17"/>
          <w:b w:val="1"/>
          <w:bCs w:val="1"/>
          <w:color w:val="auto"/>
        </w:rPr>
      </w:pPr>
      <w:r>
        <w:rPr>
          <w:rFonts w:ascii="Arial" w:cs="Arial" w:eastAsia="Arial" w:hAnsi="Arial"/>
          <w:sz w:val="17"/>
          <w:szCs w:val="17"/>
          <w:b w:val="1"/>
          <w:bCs w:val="1"/>
          <w:color w:val="auto"/>
        </w:rPr>
        <w:t>Scheduled Performance Tests</w:t>
      </w:r>
    </w:p>
    <w:p>
      <w:pPr>
        <w:spacing w:after="0" w:line="160" w:lineRule="exact"/>
        <w:rPr>
          <w:sz w:val="20"/>
          <w:szCs w:val="20"/>
          <w:color w:val="auto"/>
        </w:rPr>
      </w:pPr>
    </w:p>
    <w:p>
      <w:pPr>
        <w:ind w:left="500"/>
        <w:spacing w:after="0" w:line="235" w:lineRule="auto"/>
        <w:rPr>
          <w:sz w:val="20"/>
          <w:szCs w:val="20"/>
          <w:color w:val="auto"/>
        </w:rPr>
      </w:pPr>
      <w:r>
        <w:rPr>
          <w:rFonts w:ascii="Arial" w:cs="Arial" w:eastAsia="Arial" w:hAnsi="Arial"/>
          <w:sz w:val="17"/>
          <w:szCs w:val="17"/>
          <w:color w:val="auto"/>
        </w:rPr>
        <w:t>Prior to the Transition Date, on occasion, DWR may request that Utility schedule a peaking or dispatchable generating facility for testing (to assure that such generation facility is available according to the terms of the contract between such generation facility and DWR). The Utility will cooperate and shall coordinate with the DWR on a mutually acceptable date for performance of the test. On the date agreed upon, the Utility shall schedule the specified facility or unit for operation to test the availability, reliability, and performance of the scheduled unit.</w:t>
      </w:r>
    </w:p>
    <w:p>
      <w:pPr>
        <w:spacing w:after="0" w:line="140" w:lineRule="exact"/>
        <w:rPr>
          <w:sz w:val="20"/>
          <w:szCs w:val="20"/>
          <w:color w:val="auto"/>
        </w:rPr>
      </w:pPr>
    </w:p>
    <w:p>
      <w:pPr>
        <w:ind w:left="1000" w:hanging="501"/>
        <w:spacing w:after="0"/>
        <w:tabs>
          <w:tab w:leader="none" w:pos="1000"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color w:val="auto"/>
        </w:rPr>
        <w:t>Test Procedures and Protocols</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Prior to January 1, 2003, Utility shall meet with DWR staff to review, discuss, and verify test procedures and protocols developed by DWR.</w:t>
      </w:r>
    </w:p>
    <w:p>
      <w:pPr>
        <w:spacing w:after="0" w:line="146" w:lineRule="exact"/>
        <w:rPr>
          <w:sz w:val="20"/>
          <w:szCs w:val="20"/>
          <w:color w:val="auto"/>
        </w:rPr>
      </w:pPr>
    </w:p>
    <w:p>
      <w:pPr>
        <w:ind w:left="500" w:hanging="497"/>
        <w:spacing w:after="0"/>
        <w:tabs>
          <w:tab w:leader="none" w:pos="5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Contract Performance Assessments</w:t>
      </w:r>
    </w:p>
    <w:p>
      <w:pPr>
        <w:spacing w:after="0" w:line="156" w:lineRule="exact"/>
        <w:rPr>
          <w:sz w:val="20"/>
          <w:szCs w:val="20"/>
          <w:color w:val="auto"/>
        </w:rPr>
      </w:pPr>
    </w:p>
    <w:p>
      <w:pPr>
        <w:ind w:left="500" w:right="160"/>
        <w:spacing w:after="0" w:line="235" w:lineRule="auto"/>
        <w:rPr>
          <w:sz w:val="20"/>
          <w:szCs w:val="20"/>
          <w:color w:val="auto"/>
        </w:rPr>
      </w:pPr>
      <w:r>
        <w:rPr>
          <w:rFonts w:ascii="Arial" w:cs="Arial" w:eastAsia="Arial" w:hAnsi="Arial"/>
          <w:sz w:val="17"/>
          <w:szCs w:val="17"/>
          <w:color w:val="auto"/>
        </w:rPr>
        <w:t>DWR shall continue to perform an after-the-fact review (“Performance Assessment”) of each Contract on a periodic basis. The purpose of the Performance Assessment is to assess, analyze, and document the overall performance of each contract Supplier, assure that the Supplier is satisfying the terms and conditions of their respective Contract(s), and identify potential issues, disputes, and other matters that may require corrective action by either Utility or DWR as part of contract administration.</w:t>
      </w:r>
    </w:p>
    <w:p>
      <w:pPr>
        <w:spacing w:after="0" w:line="134"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IV.</w:t>
      </w:r>
      <w:r>
        <w:rPr>
          <w:sz w:val="20"/>
          <w:szCs w:val="20"/>
          <w:color w:val="auto"/>
        </w:rPr>
        <w:tab/>
      </w:r>
      <w:r>
        <w:rPr>
          <w:rFonts w:ascii="Arial" w:cs="Arial" w:eastAsia="Arial" w:hAnsi="Arial"/>
          <w:sz w:val="17"/>
          <w:szCs w:val="17"/>
          <w:color w:val="auto"/>
        </w:rPr>
        <w:t>Other Administrative Matters</w:t>
      </w:r>
    </w:p>
    <w:p>
      <w:pPr>
        <w:spacing w:after="0" w:line="152" w:lineRule="exact"/>
        <w:rPr>
          <w:sz w:val="20"/>
          <w:szCs w:val="20"/>
          <w:color w:val="auto"/>
        </w:rPr>
      </w:pPr>
    </w:p>
    <w:p>
      <w:pPr>
        <w:ind w:left="1000" w:hanging="501"/>
        <w:spacing w:after="0"/>
        <w:tabs>
          <w:tab w:leader="none" w:pos="1000" w:val="left"/>
        </w:tabs>
        <w:numPr>
          <w:ilvl w:val="0"/>
          <w:numId w:val="114"/>
        </w:numPr>
        <w:rPr>
          <w:rFonts w:ascii="Arial" w:cs="Arial" w:eastAsia="Arial" w:hAnsi="Arial"/>
          <w:sz w:val="17"/>
          <w:szCs w:val="17"/>
          <w:b w:val="1"/>
          <w:bCs w:val="1"/>
          <w:color w:val="auto"/>
        </w:rPr>
      </w:pPr>
      <w:r>
        <w:rPr>
          <w:rFonts w:ascii="Arial" w:cs="Arial" w:eastAsia="Arial" w:hAnsi="Arial"/>
          <w:sz w:val="17"/>
          <w:szCs w:val="17"/>
          <w:b w:val="1"/>
          <w:bCs w:val="1"/>
          <w:color w:val="auto"/>
        </w:rPr>
        <w:t>Correspondence with Suppliers</w:t>
      </w:r>
    </w:p>
    <w:p>
      <w:pPr>
        <w:spacing w:after="0" w:line="160" w:lineRule="exact"/>
        <w:rPr>
          <w:sz w:val="20"/>
          <w:szCs w:val="20"/>
          <w:color w:val="auto"/>
        </w:rPr>
      </w:pPr>
    </w:p>
    <w:p>
      <w:pPr>
        <w:ind w:left="500"/>
        <w:spacing w:after="0" w:line="237" w:lineRule="auto"/>
        <w:rPr>
          <w:sz w:val="20"/>
          <w:szCs w:val="20"/>
          <w:color w:val="auto"/>
        </w:rPr>
      </w:pPr>
      <w:r>
        <w:rPr>
          <w:rFonts w:ascii="Arial" w:cs="Arial" w:eastAsia="Arial" w:hAnsi="Arial"/>
          <w:sz w:val="17"/>
          <w:szCs w:val="17"/>
          <w:color w:val="auto"/>
        </w:rPr>
        <w:t>Utility and DWR agree to copy each other on all written correspondence and written notifications sent to or received from a Supplier of an Allocated Contract related to the activities described in this Exhibit E. The Parties agree to provide additional information as requested related to verification and support of the activities described in this Exhibit E.</w:t>
      </w:r>
    </w:p>
    <w:p>
      <w:pPr>
        <w:spacing w:after="0" w:line="130" w:lineRule="exact"/>
        <w:rPr>
          <w:sz w:val="20"/>
          <w:szCs w:val="20"/>
          <w:color w:val="auto"/>
        </w:rPr>
      </w:pPr>
    </w:p>
    <w:p>
      <w:pPr>
        <w:ind w:left="1000" w:hanging="501"/>
        <w:spacing w:after="0"/>
        <w:tabs>
          <w:tab w:leader="none" w:pos="1000" w:val="left"/>
        </w:tabs>
        <w:numPr>
          <w:ilvl w:val="0"/>
          <w:numId w:val="115"/>
        </w:numPr>
        <w:rPr>
          <w:rFonts w:ascii="Arial" w:cs="Arial" w:eastAsia="Arial" w:hAnsi="Arial"/>
          <w:sz w:val="17"/>
          <w:szCs w:val="17"/>
          <w:b w:val="1"/>
          <w:bCs w:val="1"/>
          <w:color w:val="auto"/>
        </w:rPr>
      </w:pPr>
      <w:r>
        <w:rPr>
          <w:rFonts w:ascii="Arial" w:cs="Arial" w:eastAsia="Arial" w:hAnsi="Arial"/>
          <w:sz w:val="17"/>
          <w:szCs w:val="17"/>
          <w:b w:val="1"/>
          <w:bCs w:val="1"/>
          <w:color w:val="auto"/>
        </w:rPr>
        <w:t>Reports</w:t>
      </w:r>
    </w:p>
    <w:p>
      <w:pPr>
        <w:spacing w:after="0" w:line="160" w:lineRule="exact"/>
        <w:rPr>
          <w:sz w:val="20"/>
          <w:szCs w:val="20"/>
          <w:color w:val="auto"/>
        </w:rPr>
      </w:pPr>
    </w:p>
    <w:p>
      <w:pPr>
        <w:ind w:left="500"/>
        <w:spacing w:after="0" w:line="237" w:lineRule="auto"/>
        <w:rPr>
          <w:sz w:val="20"/>
          <w:szCs w:val="20"/>
          <w:color w:val="auto"/>
        </w:rPr>
      </w:pPr>
      <w:r>
        <w:rPr>
          <w:rFonts w:ascii="Arial" w:cs="Arial" w:eastAsia="Arial" w:hAnsi="Arial"/>
          <w:sz w:val="17"/>
          <w:szCs w:val="17"/>
          <w:color w:val="auto"/>
        </w:rPr>
        <w:t>Results of the activities described in this Exhibit E will be documented by DWR in written reports (“Reports”) and shall be discussed periodically between DWR and the Utility. Such Reports may include, but are not limited to, summary of test results, status of projects, recommendations for operational changes, procedural changes, dispute resolution, and results of Performance Assessments.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Such Reports, documentation, or other material developed by either Party shall be shared and reviewed with the other Party on a timely basis.</w:t>
      </w:r>
    </w:p>
    <w:p>
      <w:pPr>
        <w:sectPr>
          <w:pgSz w:w="11900" w:h="16838" w:orient="portrait"/>
          <w:cols w:equalWidth="0" w:num="1">
            <w:col w:w="11460"/>
          </w:cols>
          <w:pgMar w:left="220" w:top="67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w:t>
      </w:r>
    </w:p>
    <w:p>
      <w:pPr>
        <w:sectPr>
          <w:pgSz w:w="11900" w:h="16838" w:orient="portrait"/>
          <w:cols w:equalWidth="0" w:num="1">
            <w:col w:w="11460"/>
          </w:cols>
          <w:pgMar w:left="220" w:top="677" w:right="219" w:bottom="1440" w:gutter="0" w:footer="0" w:header="0"/>
          <w:type w:val="continuous"/>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DWR/SDG&amp;E EXHIBIT F</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DWR DATA REQUIREMENTS FROM UTILITY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w:t>
      </w:r>
    </w:p>
    <w:p>
      <w:pPr>
        <w:sectPr>
          <w:pgSz w:w="11900" w:h="16838" w:orient="portrait"/>
          <w:cols w:equalWidth="0" w:num="1">
            <w:col w:w="9019"/>
          </w:cols>
          <w:pgMar w:left="1440" w:top="1440" w:right="1440" w:bottom="1440" w:gutter="0" w:footer="0" w:header="0"/>
        </w:sectPr>
      </w:pPr>
    </w:p>
    <w:bookmarkStart w:id="94" w:name="page95"/>
    <w:bookmarkEnd w:id="94"/>
    <w:p>
      <w:pPr>
        <w:jc w:val="center"/>
        <w:ind w:right="-239"/>
        <w:spacing w:after="0"/>
        <w:rPr>
          <w:sz w:val="20"/>
          <w:szCs w:val="20"/>
          <w:color w:val="auto"/>
        </w:rPr>
      </w:pPr>
      <w:r>
        <w:rPr>
          <w:rFonts w:ascii="Arial" w:cs="Arial" w:eastAsia="Arial" w:hAnsi="Arial"/>
          <w:sz w:val="17"/>
          <w:szCs w:val="17"/>
          <w:b w:val="1"/>
          <w:bCs w:val="1"/>
          <w:color w:val="auto"/>
        </w:rPr>
        <w:t>EXHIBIT F</w:t>
      </w:r>
    </w:p>
    <w:p>
      <w:pPr>
        <w:spacing w:after="0" w:line="156"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DWR DATA REQUIREMENTS FROM UTILITY</w:t>
      </w:r>
    </w:p>
    <w:p>
      <w:pPr>
        <w:spacing w:after="0" w:line="16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To effectively fulfill its legal and financial responsibilities, DWR requires access to standard and reliable information on a timely basis. Post transition, DWR remains statutorily and contractually obligated to collect, account for, and remit funds for the power it provides to the Utility’s retail customers. More specifically, post transition, DWR must have readily available access to information that is currently available in-house due to DWR’s operational responsibilities. The primary source of this information post transition will be the three utilities.</w:t>
      </w:r>
    </w:p>
    <w:p>
      <w:pPr>
        <w:spacing w:after="0" w:line="130" w:lineRule="exact"/>
        <w:rPr>
          <w:sz w:val="20"/>
          <w:szCs w:val="20"/>
          <w:color w:val="auto"/>
        </w:rPr>
      </w:pPr>
    </w:p>
    <w:p>
      <w:pPr>
        <w:ind w:left="500" w:hanging="497"/>
        <w:spacing w:after="0"/>
        <w:tabs>
          <w:tab w:leader="none" w:pos="500"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Prior to the MRTU Effective Date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Prior to the MRTU Effective Date, the information being requested is required to:</w:t>
      </w:r>
    </w:p>
    <w:p>
      <w:pPr>
        <w:spacing w:after="0" w:line="156" w:lineRule="exact"/>
        <w:rPr>
          <w:sz w:val="20"/>
          <w:szCs w:val="20"/>
          <w:color w:val="auto"/>
        </w:rPr>
      </w:pPr>
    </w:p>
    <w:p>
      <w:pPr>
        <w:ind w:left="500" w:hanging="249"/>
        <w:spacing w:after="0"/>
        <w:tabs>
          <w:tab w:leader="none" w:pos="5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Verify, audit, monitor and authorize payment for bilateral invoices for allocated DWR contracts;</w:t>
      </w:r>
    </w:p>
    <w:p>
      <w:pPr>
        <w:spacing w:after="0" w:line="62" w:lineRule="exact"/>
        <w:rPr>
          <w:rFonts w:ascii="Arial" w:cs="Arial" w:eastAsia="Arial" w:hAnsi="Arial"/>
          <w:sz w:val="17"/>
          <w:szCs w:val="17"/>
          <w:color w:val="auto"/>
        </w:rPr>
      </w:pPr>
    </w:p>
    <w:p>
      <w:pPr>
        <w:ind w:left="500" w:hanging="249"/>
        <w:spacing w:after="0"/>
        <w:tabs>
          <w:tab w:leader="none" w:pos="5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Manage disputes between DWR and the bilateral counterparties;</w:t>
      </w:r>
    </w:p>
    <w:p>
      <w:pPr>
        <w:spacing w:after="0" w:line="62" w:lineRule="exact"/>
        <w:rPr>
          <w:rFonts w:ascii="Arial" w:cs="Arial" w:eastAsia="Arial" w:hAnsi="Arial"/>
          <w:sz w:val="17"/>
          <w:szCs w:val="17"/>
          <w:color w:val="auto"/>
        </w:rPr>
      </w:pPr>
    </w:p>
    <w:p>
      <w:pPr>
        <w:ind w:left="500" w:hanging="249"/>
        <w:spacing w:after="0"/>
        <w:tabs>
          <w:tab w:leader="none" w:pos="5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Verify, audit, monitor and authorize payment for fuel procured by the utilities relating to DWR allocated contracts;</w:t>
      </w:r>
    </w:p>
    <w:p>
      <w:pPr>
        <w:spacing w:after="0" w:line="73" w:lineRule="exact"/>
        <w:rPr>
          <w:rFonts w:ascii="Arial" w:cs="Arial" w:eastAsia="Arial" w:hAnsi="Arial"/>
          <w:sz w:val="17"/>
          <w:szCs w:val="17"/>
          <w:color w:val="auto"/>
        </w:rPr>
      </w:pPr>
    </w:p>
    <w:p>
      <w:pPr>
        <w:ind w:left="500" w:hanging="249"/>
        <w:spacing w:after="0"/>
        <w:tabs>
          <w:tab w:leader="none" w:pos="5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Verify, audit, monitor, collect and Utility remittances relating to repayment of Energy Supplied and Bond Funds;</w:t>
      </w:r>
    </w:p>
    <w:p>
      <w:pPr>
        <w:spacing w:after="0" w:line="62" w:lineRule="exact"/>
        <w:rPr>
          <w:rFonts w:ascii="Arial" w:cs="Arial" w:eastAsia="Arial" w:hAnsi="Arial"/>
          <w:sz w:val="17"/>
          <w:szCs w:val="17"/>
          <w:color w:val="auto"/>
        </w:rPr>
      </w:pPr>
    </w:p>
    <w:p>
      <w:pPr>
        <w:ind w:left="500" w:hanging="249"/>
        <w:spacing w:after="0"/>
        <w:tabs>
          <w:tab w:leader="none" w:pos="5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Forecast, manage and monitor DWR monetary requirements and associated accounts;</w:t>
      </w:r>
    </w:p>
    <w:p>
      <w:pPr>
        <w:spacing w:after="0" w:line="62" w:lineRule="exact"/>
        <w:rPr>
          <w:rFonts w:ascii="Arial" w:cs="Arial" w:eastAsia="Arial" w:hAnsi="Arial"/>
          <w:sz w:val="17"/>
          <w:szCs w:val="17"/>
          <w:color w:val="auto"/>
        </w:rPr>
      </w:pPr>
    </w:p>
    <w:p>
      <w:pPr>
        <w:ind w:left="500" w:hanging="249"/>
        <w:spacing w:after="0"/>
        <w:tabs>
          <w:tab w:leader="none" w:pos="5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Ongoing reporting responsibilities under AB1X, the rate agreement and bond indenture;</w:t>
      </w:r>
    </w:p>
    <w:p>
      <w:pPr>
        <w:spacing w:after="0" w:line="73" w:lineRule="exact"/>
        <w:rPr>
          <w:rFonts w:ascii="Arial" w:cs="Arial" w:eastAsia="Arial" w:hAnsi="Arial"/>
          <w:sz w:val="17"/>
          <w:szCs w:val="17"/>
          <w:color w:val="auto"/>
        </w:rPr>
      </w:pPr>
    </w:p>
    <w:p>
      <w:pPr>
        <w:ind w:left="500" w:hanging="249"/>
        <w:spacing w:after="0"/>
        <w:tabs>
          <w:tab w:leader="none" w:pos="5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Audit and monitor long-term contract performance and associated risks prior to contract assignment or novation.</w:t>
      </w:r>
    </w:p>
    <w:p>
      <w:pPr>
        <w:spacing w:after="0" w:line="73"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The table below contains a brief description of the information to be provided by Utility, the frequency for which Utility shall provide such information to DWR, and the effective date for when Utility shall provide such information to DWR.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w:t>
      </w:r>
    </w:p>
    <w:p>
      <w:pPr>
        <w:sectPr>
          <w:pgSz w:w="11900" w:h="16838" w:orient="portrait"/>
          <w:cols w:equalWidth="0" w:num="1">
            <w:col w:w="11220"/>
          </w:cols>
          <w:pgMar w:left="220" w:top="677" w:right="459" w:bottom="1440" w:gutter="0" w:footer="0" w:header="0"/>
        </w:sectPr>
      </w:pPr>
    </w:p>
    <w:bookmarkStart w:id="95" w:name="page96"/>
    <w:bookmarkEnd w:id="95"/>
    <w:p>
      <w:pPr>
        <w:spacing w:after="0"/>
        <w:rPr>
          <w:sz w:val="20"/>
          <w:szCs w:val="20"/>
          <w:color w:val="auto"/>
        </w:rPr>
      </w:pPr>
      <w:r>
        <w:rPr>
          <w:rFonts w:ascii="Arial" w:cs="Arial" w:eastAsia="Arial" w:hAnsi="Arial"/>
          <w:sz w:val="17"/>
          <w:szCs w:val="17"/>
          <w:color w:val="auto"/>
        </w:rPr>
        <w:t>The following table outlines DWR data requirements relating to general contract/trade information:</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132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4"/>
                <w:szCs w:val="14"/>
                <w:color w:val="auto"/>
              </w:rPr>
              <w:t>Contract/Trade</w:t>
            </w:r>
          </w:p>
        </w:tc>
        <w:tc>
          <w:tcPr>
            <w:tcW w:w="3360" w:type="dxa"/>
            <w:vAlign w:val="bottom"/>
            <w:tcBorders>
              <w:top w:val="single" w:sz="8" w:color="auto"/>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320" w:type="dxa"/>
            <w:vAlign w:val="bottom"/>
            <w:tcBorders>
              <w:left w:val="single" w:sz="8" w:color="auto"/>
              <w:bottom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3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7"/>
                <w:szCs w:val="17"/>
                <w:b w:val="1"/>
                <w:bCs w:val="1"/>
                <w:color w:val="auto"/>
              </w:rPr>
              <w:t>Requirement</w:t>
            </w:r>
          </w:p>
        </w:tc>
        <w:tc>
          <w:tcPr>
            <w:tcW w:w="3360" w:type="dxa"/>
            <w:vAlign w:val="bottom"/>
            <w:tcBorders>
              <w:right w:val="single" w:sz="8" w:color="auto"/>
            </w:tcBorders>
            <w:vMerge w:val="restart"/>
          </w:tcPr>
          <w:p>
            <w:pPr>
              <w:ind w:left="1260"/>
              <w:spacing w:after="0"/>
              <w:rPr>
                <w:sz w:val="20"/>
                <w:szCs w:val="20"/>
                <w:color w:val="auto"/>
              </w:rPr>
            </w:pPr>
            <w:r>
              <w:rPr>
                <w:rFonts w:ascii="Arial" w:cs="Arial" w:eastAsia="Arial" w:hAnsi="Arial"/>
                <w:sz w:val="17"/>
                <w:szCs w:val="17"/>
                <w:b w:val="1"/>
                <w:bCs w:val="1"/>
                <w:color w:val="auto"/>
              </w:rPr>
              <w:t>Description</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Freq</w:t>
            </w:r>
          </w:p>
        </w:tc>
        <w:tc>
          <w:tcPr>
            <w:tcW w:w="1200" w:type="dxa"/>
            <w:vAlign w:val="bottom"/>
            <w:tcBorders>
              <w:right w:val="single" w:sz="8" w:color="auto"/>
            </w:tcBorders>
            <w:vMerge w:val="restart"/>
          </w:tcPr>
          <w:p>
            <w:pPr>
              <w:ind w:left="280"/>
              <w:spacing w:after="0"/>
              <w:rPr>
                <w:sz w:val="20"/>
                <w:szCs w:val="20"/>
                <w:color w:val="auto"/>
              </w:rPr>
            </w:pPr>
            <w:r>
              <w:rPr>
                <w:rFonts w:ascii="Arial" w:cs="Arial" w:eastAsia="Arial" w:hAnsi="Arial"/>
                <w:sz w:val="17"/>
                <w:szCs w:val="17"/>
                <w:b w:val="1"/>
                <w:bCs w:val="1"/>
                <w:color w:val="auto"/>
              </w:rPr>
              <w:t>Effective</w:t>
            </w:r>
          </w:p>
        </w:tc>
        <w:tc>
          <w:tcPr>
            <w:tcW w:w="128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3"/>
                <w:szCs w:val="13"/>
                <w:b w:val="1"/>
                <w:bCs w:val="1"/>
                <w:color w:val="auto"/>
              </w:rPr>
              <w:t>Delivery</w:t>
            </w:r>
          </w:p>
        </w:tc>
        <w:tc>
          <w:tcPr>
            <w:tcW w:w="0" w:type="dxa"/>
            <w:vAlign w:val="bottom"/>
          </w:tcPr>
          <w:p>
            <w:pPr>
              <w:spacing w:after="0"/>
              <w:rPr>
                <w:sz w:val="1"/>
                <w:szCs w:val="1"/>
                <w:color w:val="auto"/>
              </w:rPr>
            </w:pPr>
          </w:p>
        </w:tc>
      </w:tr>
      <w:tr>
        <w:trPr>
          <w:trHeight w:val="120"/>
        </w:trPr>
        <w:tc>
          <w:tcPr>
            <w:tcW w:w="1320" w:type="dxa"/>
            <w:vAlign w:val="bottom"/>
            <w:tcBorders>
              <w:left w:val="single" w:sz="8" w:color="auto"/>
              <w:right w:val="single" w:sz="8" w:color="auto"/>
            </w:tcBorders>
            <w:vMerge w:val="continue"/>
          </w:tcPr>
          <w:p>
            <w:pPr>
              <w:spacing w:after="0"/>
              <w:rPr>
                <w:sz w:val="10"/>
                <w:szCs w:val="10"/>
                <w:color w:val="auto"/>
              </w:rPr>
            </w:pPr>
          </w:p>
        </w:tc>
        <w:tc>
          <w:tcPr>
            <w:tcW w:w="336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9"/>
              </w:rPr>
              <w:t>Method</w:t>
            </w:r>
          </w:p>
        </w:tc>
        <w:tc>
          <w:tcPr>
            <w:tcW w:w="0" w:type="dxa"/>
            <w:vAlign w:val="bottom"/>
          </w:tcPr>
          <w:p>
            <w:pPr>
              <w:spacing w:after="0"/>
              <w:rPr>
                <w:sz w:val="1"/>
                <w:szCs w:val="1"/>
                <w:color w:val="auto"/>
              </w:rPr>
            </w:pPr>
          </w:p>
        </w:tc>
      </w:tr>
      <w:tr>
        <w:trPr>
          <w:trHeight w:val="86"/>
        </w:trPr>
        <w:tc>
          <w:tcPr>
            <w:tcW w:w="1320" w:type="dxa"/>
            <w:vAlign w:val="bottom"/>
            <w:tcBorders>
              <w:left w:val="single" w:sz="8" w:color="auto"/>
              <w:bottom w:val="single" w:sz="8" w:color="auto"/>
              <w:right w:val="single" w:sz="8" w:color="auto"/>
            </w:tcBorders>
          </w:tcPr>
          <w:p>
            <w:pPr>
              <w:spacing w:after="0"/>
              <w:rPr>
                <w:sz w:val="7"/>
                <w:szCs w:val="7"/>
                <w:color w:val="auto"/>
              </w:rPr>
            </w:pPr>
          </w:p>
        </w:tc>
        <w:tc>
          <w:tcPr>
            <w:tcW w:w="336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32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w w:val="99"/>
              </w:rPr>
              <w:t>Surplus Energy</w:t>
            </w:r>
          </w:p>
        </w:tc>
        <w:tc>
          <w:tcPr>
            <w:tcW w:w="336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rPr>
              <w:t>Monthly utility’s surplus energy sales plan</w:t>
            </w:r>
          </w:p>
        </w:tc>
        <w:tc>
          <w:tcPr>
            <w:tcW w:w="8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7"/>
              </w:rPr>
              <w:t>Monthly</w:t>
            </w:r>
          </w:p>
        </w:tc>
        <w:tc>
          <w:tcPr>
            <w:tcW w:w="120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rPr>
              <w:t>1/1/2003</w:t>
            </w:r>
          </w:p>
        </w:tc>
        <w:tc>
          <w:tcPr>
            <w:tcW w:w="128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0"/>
              </w:rPr>
              <w:t>Email/Fax -</w:t>
            </w: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Sales Plan</w:t>
            </w:r>
          </w:p>
        </w:tc>
        <w:tc>
          <w:tcPr>
            <w:tcW w:w="33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updated weekly. Sales plan will outline all</w:t>
            </w:r>
          </w:p>
        </w:tc>
        <w:tc>
          <w:tcPr>
            <w:tcW w:w="8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2"/>
              </w:rPr>
              <w:t>plan,</w:t>
            </w:r>
          </w:p>
        </w:tc>
        <w:tc>
          <w:tcPr>
            <w:tcW w:w="12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6"/>
              </w:rPr>
              <w:t>Standard Form</w:t>
            </w: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spacing w:after="0"/>
              <w:rPr>
                <w:sz w:val="16"/>
                <w:szCs w:val="16"/>
                <w:color w:val="auto"/>
              </w:rPr>
            </w:pPr>
          </w:p>
        </w:tc>
        <w:tc>
          <w:tcPr>
            <w:tcW w:w="33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surplus sales contemplated by the utility,</w:t>
            </w:r>
          </w:p>
        </w:tc>
        <w:tc>
          <w:tcPr>
            <w:tcW w:w="8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4"/>
              </w:rPr>
              <w:t>updated</w:t>
            </w:r>
          </w:p>
        </w:tc>
        <w:tc>
          <w:tcPr>
            <w:tcW w:w="12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9"/>
              </w:rPr>
              <w:t>TBD</w:t>
            </w: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spacing w:after="0"/>
              <w:rPr>
                <w:sz w:val="16"/>
                <w:szCs w:val="16"/>
                <w:color w:val="auto"/>
              </w:rPr>
            </w:pPr>
          </w:p>
        </w:tc>
        <w:tc>
          <w:tcPr>
            <w:tcW w:w="33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5"/>
              </w:rPr>
              <w:t>including but not limited to balance of month,</w:t>
            </w:r>
          </w:p>
        </w:tc>
        <w:tc>
          <w:tcPr>
            <w:tcW w:w="8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2"/>
              </w:rPr>
              <w:t>weekly</w:t>
            </w:r>
          </w:p>
        </w:tc>
        <w:tc>
          <w:tcPr>
            <w:tcW w:w="12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spacing w:after="0"/>
              <w:rPr>
                <w:sz w:val="16"/>
                <w:szCs w:val="16"/>
                <w:color w:val="auto"/>
              </w:rPr>
            </w:pPr>
          </w:p>
        </w:tc>
        <w:tc>
          <w:tcPr>
            <w:tcW w:w="33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5"/>
              </w:rPr>
              <w:t>weekly balance of week and other short-term</w:t>
            </w:r>
          </w:p>
        </w:tc>
        <w:tc>
          <w:tcPr>
            <w:tcW w:w="8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20" w:type="dxa"/>
            <w:vAlign w:val="bottom"/>
            <w:tcBorders>
              <w:left w:val="single" w:sz="8" w:color="auto"/>
              <w:bottom w:val="single" w:sz="8" w:color="auto"/>
              <w:right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sales.</w:t>
            </w:r>
          </w:p>
        </w:tc>
        <w:tc>
          <w:tcPr>
            <w:tcW w:w="82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2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w w:val="99"/>
              </w:rPr>
              <w:t>Surplus Energy</w:t>
            </w:r>
          </w:p>
        </w:tc>
        <w:tc>
          <w:tcPr>
            <w:tcW w:w="336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rPr>
              <w:t>Contract/Deal information relating to the</w:t>
            </w:r>
          </w:p>
        </w:tc>
        <w:tc>
          <w:tcPr>
            <w:tcW w:w="8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9"/>
              </w:rPr>
              <w:t>When</w:t>
            </w:r>
          </w:p>
        </w:tc>
        <w:tc>
          <w:tcPr>
            <w:tcW w:w="120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rPr>
              <w:t>All surplus</w:t>
            </w:r>
          </w:p>
        </w:tc>
        <w:tc>
          <w:tcPr>
            <w:tcW w:w="128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0"/>
              </w:rPr>
              <w:t>Email/Fax -</w:t>
            </w: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Sales</w:t>
            </w:r>
          </w:p>
        </w:tc>
        <w:tc>
          <w:tcPr>
            <w:tcW w:w="33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forward sale of DWR surplus energy. This</w:t>
            </w:r>
          </w:p>
        </w:tc>
        <w:tc>
          <w:tcPr>
            <w:tcW w:w="8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4"/>
              </w:rPr>
              <w:t>executed</w:t>
            </w:r>
          </w:p>
        </w:tc>
        <w:tc>
          <w:tcPr>
            <w:tcW w:w="12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forward sales</w:t>
            </w:r>
          </w:p>
        </w:tc>
        <w:tc>
          <w:tcPr>
            <w:tcW w:w="128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6"/>
              </w:rPr>
              <w:t>Standard Form</w:t>
            </w: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spacing w:after="0"/>
              <w:rPr>
                <w:sz w:val="16"/>
                <w:szCs w:val="16"/>
                <w:color w:val="auto"/>
              </w:rPr>
            </w:pPr>
          </w:p>
        </w:tc>
        <w:tc>
          <w:tcPr>
            <w:tcW w:w="33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would include but is not limited to</w:t>
            </w:r>
          </w:p>
        </w:tc>
        <w:tc>
          <w:tcPr>
            <w:tcW w:w="8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ind w:left="140"/>
              <w:spacing w:after="0" w:line="186" w:lineRule="exact"/>
              <w:rPr>
                <w:sz w:val="20"/>
                <w:szCs w:val="20"/>
                <w:color w:val="auto"/>
              </w:rPr>
            </w:pPr>
            <w:r>
              <w:rPr>
                <w:rFonts w:ascii="Arial" w:cs="Arial" w:eastAsia="Arial" w:hAnsi="Arial"/>
                <w:sz w:val="17"/>
                <w:szCs w:val="17"/>
                <w:color w:val="auto"/>
              </w:rPr>
              <w:t>entered into</w:t>
            </w:r>
          </w:p>
        </w:tc>
        <w:tc>
          <w:tcPr>
            <w:tcW w:w="128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9"/>
              </w:rPr>
              <w:t>TBD</w:t>
            </w: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spacing w:after="0"/>
              <w:rPr>
                <w:sz w:val="16"/>
                <w:szCs w:val="16"/>
                <w:color w:val="auto"/>
              </w:rPr>
            </w:pPr>
          </w:p>
        </w:tc>
        <w:tc>
          <w:tcPr>
            <w:tcW w:w="33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6"/>
              </w:rPr>
              <w:t>Counterparty, Term (Start/End Date), Hourly</w:t>
            </w:r>
          </w:p>
        </w:tc>
        <w:tc>
          <w:tcPr>
            <w:tcW w:w="8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after 1/1/2003</w:t>
            </w:r>
          </w:p>
        </w:tc>
        <w:tc>
          <w:tcPr>
            <w:tcW w:w="1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spacing w:after="0"/>
              <w:rPr>
                <w:sz w:val="16"/>
                <w:szCs w:val="16"/>
                <w:color w:val="auto"/>
              </w:rPr>
            </w:pPr>
          </w:p>
        </w:tc>
        <w:tc>
          <w:tcPr>
            <w:tcW w:w="33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2"/>
              </w:rPr>
              <w:t>Contract Volumes, Hourly Price, Location, any</w:t>
            </w:r>
          </w:p>
        </w:tc>
        <w:tc>
          <w:tcPr>
            <w:tcW w:w="8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20" w:type="dxa"/>
            <w:vAlign w:val="bottom"/>
            <w:tcBorders>
              <w:left w:val="single" w:sz="8" w:color="auto"/>
              <w:bottom w:val="single" w:sz="8" w:color="auto"/>
              <w:right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fee information, etc.</w:t>
            </w:r>
          </w:p>
        </w:tc>
        <w:tc>
          <w:tcPr>
            <w:tcW w:w="82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outlines DWR data requirements relating to long-term contract schedule information and associated bilateral invoices:</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466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Arial" w:cs="Arial" w:eastAsia="Arial" w:hAnsi="Arial"/>
                <w:sz w:val="14"/>
                <w:szCs w:val="14"/>
                <w:color w:val="auto"/>
              </w:rPr>
              <w:t>Schedule/Bilateral Invoice</w:t>
            </w: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320" w:type="dxa"/>
            <w:vAlign w:val="bottom"/>
            <w:tcBorders>
              <w:left w:val="single" w:sz="8" w:color="auto"/>
              <w:bottom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3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7"/>
                <w:szCs w:val="17"/>
                <w:b w:val="1"/>
                <w:bCs w:val="1"/>
                <w:color w:val="auto"/>
              </w:rPr>
              <w:t>Requirement</w:t>
            </w:r>
          </w:p>
        </w:tc>
        <w:tc>
          <w:tcPr>
            <w:tcW w:w="3340" w:type="dxa"/>
            <w:vAlign w:val="bottom"/>
            <w:tcBorders>
              <w:right w:val="single" w:sz="8" w:color="auto"/>
            </w:tcBorders>
            <w:vMerge w:val="restart"/>
          </w:tcPr>
          <w:p>
            <w:pPr>
              <w:ind w:left="1240"/>
              <w:spacing w:after="0"/>
              <w:rPr>
                <w:sz w:val="20"/>
                <w:szCs w:val="20"/>
                <w:color w:val="auto"/>
              </w:rPr>
            </w:pPr>
            <w:r>
              <w:rPr>
                <w:rFonts w:ascii="Arial" w:cs="Arial" w:eastAsia="Arial" w:hAnsi="Arial"/>
                <w:sz w:val="17"/>
                <w:szCs w:val="17"/>
                <w:b w:val="1"/>
                <w:bCs w:val="1"/>
                <w:color w:val="auto"/>
              </w:rPr>
              <w:t>Description</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Freq</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7"/>
              </w:rPr>
              <w:t>Effective</w:t>
            </w:r>
          </w:p>
        </w:tc>
        <w:tc>
          <w:tcPr>
            <w:tcW w:w="13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3"/>
                <w:szCs w:val="13"/>
                <w:b w:val="1"/>
                <w:bCs w:val="1"/>
                <w:color w:val="auto"/>
              </w:rPr>
              <w:t>Delivery</w:t>
            </w:r>
          </w:p>
        </w:tc>
        <w:tc>
          <w:tcPr>
            <w:tcW w:w="0" w:type="dxa"/>
            <w:vAlign w:val="bottom"/>
          </w:tcPr>
          <w:p>
            <w:pPr>
              <w:spacing w:after="0"/>
              <w:rPr>
                <w:sz w:val="1"/>
                <w:szCs w:val="1"/>
                <w:color w:val="auto"/>
              </w:rPr>
            </w:pPr>
          </w:p>
        </w:tc>
      </w:tr>
      <w:tr>
        <w:trPr>
          <w:trHeight w:val="120"/>
        </w:trPr>
        <w:tc>
          <w:tcPr>
            <w:tcW w:w="1320" w:type="dxa"/>
            <w:vAlign w:val="bottom"/>
            <w:tcBorders>
              <w:left w:val="single" w:sz="8" w:color="auto"/>
              <w:right w:val="single" w:sz="8" w:color="auto"/>
            </w:tcBorders>
            <w:vMerge w:val="continue"/>
          </w:tcPr>
          <w:p>
            <w:pPr>
              <w:spacing w:after="0"/>
              <w:rPr>
                <w:sz w:val="10"/>
                <w:szCs w:val="10"/>
                <w:color w:val="auto"/>
              </w:rPr>
            </w:pPr>
          </w:p>
        </w:tc>
        <w:tc>
          <w:tcPr>
            <w:tcW w:w="334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Method</w:t>
            </w:r>
          </w:p>
        </w:tc>
        <w:tc>
          <w:tcPr>
            <w:tcW w:w="0" w:type="dxa"/>
            <w:vAlign w:val="bottom"/>
          </w:tcPr>
          <w:p>
            <w:pPr>
              <w:spacing w:after="0"/>
              <w:rPr>
                <w:sz w:val="1"/>
                <w:szCs w:val="1"/>
                <w:color w:val="auto"/>
              </w:rPr>
            </w:pPr>
          </w:p>
        </w:tc>
      </w:tr>
      <w:tr>
        <w:trPr>
          <w:trHeight w:val="86"/>
        </w:trPr>
        <w:tc>
          <w:tcPr>
            <w:tcW w:w="1320" w:type="dxa"/>
            <w:vAlign w:val="bottom"/>
            <w:tcBorders>
              <w:left w:val="single" w:sz="8" w:color="auto"/>
              <w:bottom w:val="single" w:sz="8" w:color="auto"/>
              <w:right w:val="single" w:sz="8" w:color="auto"/>
            </w:tcBorders>
          </w:tcPr>
          <w:p>
            <w:pPr>
              <w:spacing w:after="0"/>
              <w:rPr>
                <w:sz w:val="7"/>
                <w:szCs w:val="7"/>
                <w:color w:val="auto"/>
              </w:rPr>
            </w:pPr>
          </w:p>
        </w:tc>
        <w:tc>
          <w:tcPr>
            <w:tcW w:w="334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32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Final Schedule</w:t>
            </w:r>
          </w:p>
        </w:tc>
        <w:tc>
          <w:tcPr>
            <w:tcW w:w="334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rPr>
              <w:t>For all long-term contracts allocated to the</w:t>
            </w:r>
          </w:p>
        </w:tc>
        <w:tc>
          <w:tcPr>
            <w:tcW w:w="8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3"/>
              </w:rPr>
              <w:t>T+1</w:t>
            </w:r>
          </w:p>
        </w:tc>
        <w:tc>
          <w:tcPr>
            <w:tcW w:w="12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7"/>
              </w:rPr>
              <w:t>1/2/2003</w:t>
            </w:r>
          </w:p>
        </w:tc>
        <w:tc>
          <w:tcPr>
            <w:tcW w:w="13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1"/>
              </w:rPr>
              <w:t>Secure</w:t>
            </w: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Volumes, Long</w:t>
            </w:r>
          </w:p>
        </w:tc>
        <w:tc>
          <w:tcPr>
            <w:tcW w:w="334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utilities and any surplus energy sales, the</w:t>
            </w:r>
          </w:p>
        </w:tc>
        <w:tc>
          <w:tcPr>
            <w:tcW w:w="8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7"/>
              </w:rPr>
              <w:t>(Daily)</w:t>
            </w:r>
          </w:p>
        </w:tc>
        <w:tc>
          <w:tcPr>
            <w:tcW w:w="12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0"/>
              </w:rPr>
              <w:t>Electronic –</w:t>
            </w: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w w:val="98"/>
              </w:rPr>
              <w:t>Term Contracts</w:t>
            </w:r>
          </w:p>
        </w:tc>
        <w:tc>
          <w:tcPr>
            <w:tcW w:w="334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9"/>
              </w:rPr>
              <w:t>detailed hourly final schedule volumes and</w:t>
            </w:r>
          </w:p>
        </w:tc>
        <w:tc>
          <w:tcPr>
            <w:tcW w:w="8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0"/>
              </w:rPr>
              <w:t>Format TBD</w:t>
            </w: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spacing w:after="0"/>
              <w:rPr>
                <w:sz w:val="16"/>
                <w:szCs w:val="16"/>
                <w:color w:val="auto"/>
              </w:rPr>
            </w:pPr>
          </w:p>
        </w:tc>
        <w:tc>
          <w:tcPr>
            <w:tcW w:w="334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pricing information by contract by</w:t>
            </w:r>
          </w:p>
        </w:tc>
        <w:tc>
          <w:tcPr>
            <w:tcW w:w="8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320" w:type="dxa"/>
            <w:vAlign w:val="bottom"/>
            <w:tcBorders>
              <w:left w:val="single" w:sz="8" w:color="auto"/>
              <w:right w:val="single" w:sz="8" w:color="auto"/>
            </w:tcBorders>
          </w:tcPr>
          <w:p>
            <w:pPr>
              <w:spacing w:after="0"/>
              <w:rPr>
                <w:sz w:val="18"/>
                <w:szCs w:val="18"/>
                <w:color w:val="auto"/>
              </w:rPr>
            </w:pPr>
          </w:p>
        </w:tc>
        <w:tc>
          <w:tcPr>
            <w:tcW w:w="33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counterparty, by day.</w:t>
            </w:r>
          </w:p>
        </w:tc>
        <w:tc>
          <w:tcPr>
            <w:tcW w:w="8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8"/>
        </w:trPr>
        <w:tc>
          <w:tcPr>
            <w:tcW w:w="1320" w:type="dxa"/>
            <w:vAlign w:val="bottom"/>
            <w:tcBorders>
              <w:left w:val="single" w:sz="8" w:color="auto"/>
              <w:right w:val="single" w:sz="8" w:color="auto"/>
            </w:tcBorders>
          </w:tcPr>
          <w:p>
            <w:pPr>
              <w:spacing w:after="0"/>
              <w:rPr>
                <w:sz w:val="24"/>
                <w:szCs w:val="24"/>
                <w:color w:val="auto"/>
              </w:rPr>
            </w:pPr>
          </w:p>
        </w:tc>
        <w:tc>
          <w:tcPr>
            <w:tcW w:w="33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0"/>
              </w:rPr>
              <w:t>Final schedule volumes are defined as the final</w:t>
            </w:r>
          </w:p>
        </w:tc>
        <w:tc>
          <w:tcPr>
            <w:tcW w:w="82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spacing w:after="0"/>
              <w:rPr>
                <w:sz w:val="16"/>
                <w:szCs w:val="16"/>
                <w:color w:val="auto"/>
              </w:rPr>
            </w:pPr>
          </w:p>
        </w:tc>
        <w:tc>
          <w:tcPr>
            <w:tcW w:w="334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7"/>
              </w:rPr>
              <w:t>volume for the hour at the completion of the</w:t>
            </w:r>
          </w:p>
        </w:tc>
        <w:tc>
          <w:tcPr>
            <w:tcW w:w="8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spacing w:after="0"/>
              <w:rPr>
                <w:sz w:val="16"/>
                <w:szCs w:val="16"/>
                <w:color w:val="auto"/>
              </w:rPr>
            </w:pPr>
          </w:p>
        </w:tc>
        <w:tc>
          <w:tcPr>
            <w:tcW w:w="334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0"/>
              </w:rPr>
              <w:t>real-time market. These volumes represent the</w:t>
            </w:r>
          </w:p>
        </w:tc>
        <w:tc>
          <w:tcPr>
            <w:tcW w:w="8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spacing w:after="0"/>
              <w:rPr>
                <w:sz w:val="16"/>
                <w:szCs w:val="16"/>
                <w:color w:val="auto"/>
              </w:rPr>
            </w:pPr>
          </w:p>
        </w:tc>
        <w:tc>
          <w:tcPr>
            <w:tcW w:w="334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8"/>
              </w:rPr>
              <w:t>hour ahead scheduled volumes adjusted to</w:t>
            </w:r>
          </w:p>
        </w:tc>
        <w:tc>
          <w:tcPr>
            <w:tcW w:w="8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spacing w:after="0"/>
              <w:rPr>
                <w:sz w:val="16"/>
                <w:szCs w:val="16"/>
                <w:color w:val="auto"/>
              </w:rPr>
            </w:pPr>
          </w:p>
        </w:tc>
        <w:tc>
          <w:tcPr>
            <w:tcW w:w="334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6"/>
              </w:rPr>
              <w:t>include any real-time market adjustments by</w:t>
            </w:r>
          </w:p>
        </w:tc>
        <w:tc>
          <w:tcPr>
            <w:tcW w:w="8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spacing w:after="0"/>
              <w:rPr>
                <w:sz w:val="16"/>
                <w:szCs w:val="16"/>
                <w:color w:val="auto"/>
              </w:rPr>
            </w:pPr>
          </w:p>
        </w:tc>
        <w:tc>
          <w:tcPr>
            <w:tcW w:w="334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9"/>
              </w:rPr>
              <w:t>the ISO. Absent any real time adjustments,</w:t>
            </w:r>
          </w:p>
        </w:tc>
        <w:tc>
          <w:tcPr>
            <w:tcW w:w="8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spacing w:after="0"/>
              <w:rPr>
                <w:sz w:val="16"/>
                <w:szCs w:val="16"/>
                <w:color w:val="auto"/>
              </w:rPr>
            </w:pPr>
          </w:p>
        </w:tc>
        <w:tc>
          <w:tcPr>
            <w:tcW w:w="334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1"/>
              </w:rPr>
              <w:t>this data will be the same as Final Hour Ahead</w:t>
            </w:r>
          </w:p>
        </w:tc>
        <w:tc>
          <w:tcPr>
            <w:tcW w:w="8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320" w:type="dxa"/>
            <w:vAlign w:val="bottom"/>
            <w:tcBorders>
              <w:left w:val="single" w:sz="8" w:color="auto"/>
              <w:right w:val="single" w:sz="8" w:color="auto"/>
            </w:tcBorders>
          </w:tcPr>
          <w:p>
            <w:pPr>
              <w:spacing w:after="0"/>
              <w:rPr>
                <w:sz w:val="18"/>
                <w:szCs w:val="18"/>
                <w:color w:val="auto"/>
              </w:rPr>
            </w:pPr>
          </w:p>
        </w:tc>
        <w:tc>
          <w:tcPr>
            <w:tcW w:w="33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Schedule.</w:t>
            </w:r>
          </w:p>
        </w:tc>
        <w:tc>
          <w:tcPr>
            <w:tcW w:w="8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8"/>
        </w:trPr>
        <w:tc>
          <w:tcPr>
            <w:tcW w:w="1320" w:type="dxa"/>
            <w:vAlign w:val="bottom"/>
            <w:tcBorders>
              <w:left w:val="single" w:sz="8" w:color="auto"/>
              <w:right w:val="single" w:sz="8" w:color="auto"/>
            </w:tcBorders>
          </w:tcPr>
          <w:p>
            <w:pPr>
              <w:spacing w:after="0"/>
              <w:rPr>
                <w:sz w:val="24"/>
                <w:szCs w:val="24"/>
                <w:color w:val="auto"/>
              </w:rPr>
            </w:pPr>
          </w:p>
        </w:tc>
        <w:tc>
          <w:tcPr>
            <w:tcW w:w="33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File should include, but is not limited to;</w:t>
            </w:r>
          </w:p>
        </w:tc>
        <w:tc>
          <w:tcPr>
            <w:tcW w:w="82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spacing w:after="0"/>
              <w:rPr>
                <w:sz w:val="16"/>
                <w:szCs w:val="16"/>
                <w:color w:val="auto"/>
              </w:rPr>
            </w:pPr>
          </w:p>
        </w:tc>
        <w:tc>
          <w:tcPr>
            <w:tcW w:w="334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9"/>
              </w:rPr>
              <w:t>Utility identifier, file type identifier (i.e. final,</w:t>
            </w:r>
          </w:p>
        </w:tc>
        <w:tc>
          <w:tcPr>
            <w:tcW w:w="8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spacing w:after="0"/>
              <w:rPr>
                <w:sz w:val="16"/>
                <w:szCs w:val="16"/>
                <w:color w:val="auto"/>
              </w:rPr>
            </w:pPr>
          </w:p>
        </w:tc>
        <w:tc>
          <w:tcPr>
            <w:tcW w:w="334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HA), SC identifier, counterparty identifier,</w:t>
            </w:r>
          </w:p>
        </w:tc>
        <w:tc>
          <w:tcPr>
            <w:tcW w:w="8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spacing w:after="0"/>
              <w:rPr>
                <w:sz w:val="16"/>
                <w:szCs w:val="16"/>
                <w:color w:val="auto"/>
              </w:rPr>
            </w:pPr>
          </w:p>
        </w:tc>
        <w:tc>
          <w:tcPr>
            <w:tcW w:w="334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2"/>
              </w:rPr>
              <w:t>contract identifier, schedule type identifier (i.e.</w:t>
            </w:r>
          </w:p>
        </w:tc>
        <w:tc>
          <w:tcPr>
            <w:tcW w:w="8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spacing w:after="0"/>
              <w:rPr>
                <w:sz w:val="16"/>
                <w:szCs w:val="16"/>
                <w:color w:val="auto"/>
              </w:rPr>
            </w:pPr>
          </w:p>
        </w:tc>
        <w:tc>
          <w:tcPr>
            <w:tcW w:w="334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sale), delivery location, date, volume</w:t>
            </w:r>
          </w:p>
        </w:tc>
        <w:tc>
          <w:tcPr>
            <w:tcW w:w="8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20" w:type="dxa"/>
            <w:vAlign w:val="bottom"/>
            <w:tcBorders>
              <w:left w:val="single" w:sz="8" w:color="auto"/>
              <w:bottom w:val="single" w:sz="8" w:color="auto"/>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scheduled by hour, price per hour.</w:t>
            </w:r>
          </w:p>
        </w:tc>
        <w:tc>
          <w:tcPr>
            <w:tcW w:w="82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2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Hour Ahead</w:t>
            </w:r>
          </w:p>
        </w:tc>
        <w:tc>
          <w:tcPr>
            <w:tcW w:w="334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rPr>
              <w:t>For all long-term contracts allocated to the</w:t>
            </w:r>
          </w:p>
        </w:tc>
        <w:tc>
          <w:tcPr>
            <w:tcW w:w="8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3"/>
              </w:rPr>
              <w:t>T+1</w:t>
            </w:r>
          </w:p>
        </w:tc>
        <w:tc>
          <w:tcPr>
            <w:tcW w:w="12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7"/>
              </w:rPr>
              <w:t>1/2/2003</w:t>
            </w:r>
          </w:p>
        </w:tc>
        <w:tc>
          <w:tcPr>
            <w:tcW w:w="1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7"/>
                <w:szCs w:val="17"/>
                <w:color w:val="auto"/>
              </w:rPr>
              <w:t>Secure</w:t>
            </w:r>
          </w:p>
        </w:tc>
        <w:tc>
          <w:tcPr>
            <w:tcW w:w="0" w:type="dxa"/>
            <w:vAlign w:val="bottom"/>
          </w:tcPr>
          <w:p>
            <w:pPr>
              <w:spacing w:after="0"/>
              <w:rPr>
                <w:sz w:val="1"/>
                <w:szCs w:val="1"/>
                <w:color w:val="auto"/>
              </w:rPr>
            </w:pPr>
          </w:p>
        </w:tc>
      </w:tr>
      <w:tr>
        <w:trPr>
          <w:trHeight w:val="106"/>
        </w:trPr>
        <w:tc>
          <w:tcPr>
            <w:tcW w:w="1320" w:type="dxa"/>
            <w:vAlign w:val="bottom"/>
            <w:tcBorders>
              <w:left w:val="single" w:sz="8" w:color="auto"/>
              <w:right w:val="single" w:sz="8" w:color="auto"/>
            </w:tcBorders>
            <w:vMerge w:val="restart"/>
          </w:tcPr>
          <w:p>
            <w:pPr>
              <w:ind w:left="160"/>
              <w:spacing w:after="0" w:line="186" w:lineRule="exact"/>
              <w:rPr>
                <w:sz w:val="20"/>
                <w:szCs w:val="20"/>
                <w:color w:val="auto"/>
              </w:rPr>
            </w:pPr>
            <w:r>
              <w:rPr>
                <w:rFonts w:ascii="Arial" w:cs="Arial" w:eastAsia="Arial" w:hAnsi="Arial"/>
                <w:sz w:val="17"/>
                <w:szCs w:val="17"/>
                <w:color w:val="auto"/>
              </w:rPr>
              <w:t>Schedule</w:t>
            </w:r>
          </w:p>
        </w:tc>
        <w:tc>
          <w:tcPr>
            <w:tcW w:w="3340" w:type="dxa"/>
            <w:vAlign w:val="bottom"/>
            <w:tcBorders>
              <w:right w:val="single" w:sz="8" w:color="auto"/>
            </w:tcBorders>
            <w:vMerge w:val="restart"/>
          </w:tcPr>
          <w:p>
            <w:pPr>
              <w:ind w:left="100"/>
              <w:spacing w:after="0" w:line="186" w:lineRule="exact"/>
              <w:rPr>
                <w:sz w:val="20"/>
                <w:szCs w:val="20"/>
                <w:color w:val="auto"/>
              </w:rPr>
            </w:pPr>
            <w:r>
              <w:rPr>
                <w:rFonts w:ascii="Arial" w:cs="Arial" w:eastAsia="Arial" w:hAnsi="Arial"/>
                <w:sz w:val="17"/>
                <w:szCs w:val="17"/>
                <w:color w:val="auto"/>
              </w:rPr>
              <w:t>utilities and any surplus energy sales, the</w:t>
            </w:r>
          </w:p>
        </w:tc>
        <w:tc>
          <w:tcPr>
            <w:tcW w:w="820" w:type="dxa"/>
            <w:vAlign w:val="bottom"/>
            <w:tcBorders>
              <w:right w:val="single" w:sz="8" w:color="auto"/>
            </w:tcBorders>
            <w:vMerge w:val="restart"/>
          </w:tcPr>
          <w:p>
            <w:pPr>
              <w:jc w:val="center"/>
              <w:spacing w:after="0" w:line="186" w:lineRule="exact"/>
              <w:rPr>
                <w:sz w:val="20"/>
                <w:szCs w:val="20"/>
                <w:color w:val="auto"/>
              </w:rPr>
            </w:pPr>
            <w:r>
              <w:rPr>
                <w:rFonts w:ascii="Arial" w:cs="Arial" w:eastAsia="Arial" w:hAnsi="Arial"/>
                <w:sz w:val="17"/>
                <w:szCs w:val="17"/>
                <w:color w:val="auto"/>
                <w:w w:val="97"/>
              </w:rPr>
              <w:t>(Daily)</w:t>
            </w:r>
          </w:p>
        </w:tc>
        <w:tc>
          <w:tcPr>
            <w:tcW w:w="120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320" w:type="dxa"/>
            <w:vAlign w:val="bottom"/>
            <w:tcBorders>
              <w:left w:val="single" w:sz="8" w:color="auto"/>
              <w:right w:val="single" w:sz="8" w:color="auto"/>
            </w:tcBorders>
            <w:vMerge w:val="continue"/>
          </w:tcPr>
          <w:p>
            <w:pPr>
              <w:spacing w:after="0"/>
              <w:rPr>
                <w:sz w:val="6"/>
                <w:szCs w:val="6"/>
                <w:color w:val="auto"/>
              </w:rPr>
            </w:pPr>
          </w:p>
        </w:tc>
        <w:tc>
          <w:tcPr>
            <w:tcW w:w="334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Volumes, Long</w:t>
            </w:r>
          </w:p>
        </w:tc>
        <w:tc>
          <w:tcPr>
            <w:tcW w:w="334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7"/>
              </w:rPr>
              <w:t>detailed hour ahead final schedule volumes</w:t>
            </w:r>
          </w:p>
        </w:tc>
        <w:tc>
          <w:tcPr>
            <w:tcW w:w="8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7"/>
                <w:szCs w:val="17"/>
                <w:color w:val="auto"/>
              </w:rPr>
              <w:t>Electronic –</w:t>
            </w:r>
          </w:p>
        </w:tc>
        <w:tc>
          <w:tcPr>
            <w:tcW w:w="0" w:type="dxa"/>
            <w:vAlign w:val="bottom"/>
          </w:tcPr>
          <w:p>
            <w:pPr>
              <w:spacing w:after="0"/>
              <w:rPr>
                <w:sz w:val="1"/>
                <w:szCs w:val="1"/>
                <w:color w:val="auto"/>
              </w:rPr>
            </w:pPr>
          </w:p>
        </w:tc>
      </w:tr>
      <w:tr>
        <w:trPr>
          <w:trHeight w:val="85"/>
        </w:trPr>
        <w:tc>
          <w:tcPr>
            <w:tcW w:w="1320" w:type="dxa"/>
            <w:vAlign w:val="bottom"/>
            <w:tcBorders>
              <w:left w:val="single" w:sz="8" w:color="auto"/>
              <w:right w:val="single" w:sz="8" w:color="auto"/>
            </w:tcBorders>
            <w:vMerge w:val="restart"/>
          </w:tcPr>
          <w:p>
            <w:pPr>
              <w:ind w:left="120"/>
              <w:spacing w:after="0" w:line="186" w:lineRule="exact"/>
              <w:rPr>
                <w:sz w:val="20"/>
                <w:szCs w:val="20"/>
                <w:color w:val="auto"/>
              </w:rPr>
            </w:pPr>
            <w:r>
              <w:rPr>
                <w:rFonts w:ascii="Arial" w:cs="Arial" w:eastAsia="Arial" w:hAnsi="Arial"/>
                <w:sz w:val="17"/>
                <w:szCs w:val="17"/>
                <w:color w:val="auto"/>
                <w:w w:val="98"/>
              </w:rPr>
              <w:t>Term Contracts</w:t>
            </w:r>
          </w:p>
        </w:tc>
        <w:tc>
          <w:tcPr>
            <w:tcW w:w="3340" w:type="dxa"/>
            <w:vAlign w:val="bottom"/>
            <w:tcBorders>
              <w:right w:val="single" w:sz="8" w:color="auto"/>
            </w:tcBorders>
            <w:vMerge w:val="restart"/>
          </w:tcPr>
          <w:p>
            <w:pPr>
              <w:ind w:left="100"/>
              <w:spacing w:after="0" w:line="186" w:lineRule="exact"/>
              <w:rPr>
                <w:sz w:val="20"/>
                <w:szCs w:val="20"/>
                <w:color w:val="auto"/>
              </w:rPr>
            </w:pPr>
            <w:r>
              <w:rPr>
                <w:rFonts w:ascii="Arial" w:cs="Arial" w:eastAsia="Arial" w:hAnsi="Arial"/>
                <w:sz w:val="17"/>
                <w:szCs w:val="17"/>
                <w:color w:val="auto"/>
              </w:rPr>
              <w:t>and pricing information by contract, by</w:t>
            </w:r>
          </w:p>
        </w:tc>
        <w:tc>
          <w:tcPr>
            <w:tcW w:w="820" w:type="dxa"/>
            <w:vAlign w:val="bottom"/>
            <w:tcBorders>
              <w:right w:val="single" w:sz="8" w:color="auto"/>
            </w:tcBorders>
          </w:tcPr>
          <w:p>
            <w:pPr>
              <w:spacing w:after="0"/>
              <w:rPr>
                <w:sz w:val="7"/>
                <w:szCs w:val="7"/>
                <w:color w:val="auto"/>
              </w:rPr>
            </w:pPr>
          </w:p>
        </w:tc>
        <w:tc>
          <w:tcPr>
            <w:tcW w:w="1200" w:type="dxa"/>
            <w:vAlign w:val="bottom"/>
            <w:tcBorders>
              <w:right w:val="single" w:sz="8" w:color="auto"/>
            </w:tcBorders>
          </w:tcPr>
          <w:p>
            <w:pPr>
              <w:spacing w:after="0"/>
              <w:rPr>
                <w:sz w:val="7"/>
                <w:szCs w:val="7"/>
                <w:color w:val="auto"/>
              </w:rPr>
            </w:pPr>
          </w:p>
        </w:tc>
        <w:tc>
          <w:tcPr>
            <w:tcW w:w="1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320" w:type="dxa"/>
            <w:vAlign w:val="bottom"/>
            <w:tcBorders>
              <w:left w:val="single" w:sz="8" w:color="auto"/>
              <w:right w:val="single" w:sz="8" w:color="auto"/>
            </w:tcBorders>
            <w:vMerge w:val="continue"/>
          </w:tcPr>
          <w:p>
            <w:pPr>
              <w:spacing w:after="0"/>
              <w:rPr>
                <w:sz w:val="8"/>
                <w:szCs w:val="8"/>
                <w:color w:val="auto"/>
              </w:rPr>
            </w:pPr>
          </w:p>
        </w:tc>
        <w:tc>
          <w:tcPr>
            <w:tcW w:w="334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1320" w:type="dxa"/>
            <w:vAlign w:val="bottom"/>
            <w:tcBorders>
              <w:left w:val="single" w:sz="8" w:color="auto"/>
              <w:right w:val="single" w:sz="8" w:color="auto"/>
            </w:tcBorders>
          </w:tcPr>
          <w:p>
            <w:pPr>
              <w:spacing w:after="0"/>
              <w:rPr>
                <w:sz w:val="21"/>
                <w:szCs w:val="21"/>
                <w:color w:val="auto"/>
              </w:rPr>
            </w:pPr>
          </w:p>
        </w:tc>
        <w:tc>
          <w:tcPr>
            <w:tcW w:w="33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counterparty, by day.</w:t>
            </w:r>
          </w:p>
        </w:tc>
        <w:tc>
          <w:tcPr>
            <w:tcW w:w="82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Format TBD</w:t>
            </w:r>
          </w:p>
        </w:tc>
        <w:tc>
          <w:tcPr>
            <w:tcW w:w="0" w:type="dxa"/>
            <w:vAlign w:val="bottom"/>
          </w:tcPr>
          <w:p>
            <w:pPr>
              <w:spacing w:after="0"/>
              <w:rPr>
                <w:sz w:val="1"/>
                <w:szCs w:val="1"/>
                <w:color w:val="auto"/>
              </w:rPr>
            </w:pPr>
          </w:p>
        </w:tc>
      </w:tr>
      <w:tr>
        <w:trPr>
          <w:trHeight w:val="287"/>
        </w:trPr>
        <w:tc>
          <w:tcPr>
            <w:tcW w:w="1320" w:type="dxa"/>
            <w:vAlign w:val="bottom"/>
            <w:tcBorders>
              <w:left w:val="single" w:sz="8" w:color="auto"/>
              <w:right w:val="single" w:sz="8" w:color="auto"/>
            </w:tcBorders>
          </w:tcPr>
          <w:p>
            <w:pPr>
              <w:spacing w:after="0"/>
              <w:rPr>
                <w:sz w:val="24"/>
                <w:szCs w:val="24"/>
                <w:color w:val="auto"/>
              </w:rPr>
            </w:pPr>
          </w:p>
        </w:tc>
        <w:tc>
          <w:tcPr>
            <w:tcW w:w="33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3"/>
              </w:rPr>
              <w:t>Format and data elements of the file provided</w:t>
            </w:r>
          </w:p>
        </w:tc>
        <w:tc>
          <w:tcPr>
            <w:tcW w:w="82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spacing w:after="0"/>
              <w:rPr>
                <w:sz w:val="16"/>
                <w:szCs w:val="16"/>
                <w:color w:val="auto"/>
              </w:rPr>
            </w:pPr>
          </w:p>
        </w:tc>
        <w:tc>
          <w:tcPr>
            <w:tcW w:w="334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should be identical to what was specified</w:t>
            </w:r>
          </w:p>
        </w:tc>
        <w:tc>
          <w:tcPr>
            <w:tcW w:w="8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320" w:type="dxa"/>
            <w:vAlign w:val="bottom"/>
            <w:tcBorders>
              <w:left w:val="single" w:sz="8" w:color="auto"/>
              <w:right w:val="single" w:sz="8" w:color="auto"/>
            </w:tcBorders>
          </w:tcPr>
          <w:p>
            <w:pPr>
              <w:spacing w:after="0"/>
              <w:rPr>
                <w:sz w:val="18"/>
                <w:szCs w:val="18"/>
                <w:color w:val="auto"/>
              </w:rPr>
            </w:pPr>
          </w:p>
        </w:tc>
        <w:tc>
          <w:tcPr>
            <w:tcW w:w="33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above in Final Schedule volumes.</w:t>
            </w:r>
          </w:p>
        </w:tc>
        <w:tc>
          <w:tcPr>
            <w:tcW w:w="8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8"/>
        </w:trPr>
        <w:tc>
          <w:tcPr>
            <w:tcW w:w="1320" w:type="dxa"/>
            <w:vAlign w:val="bottom"/>
            <w:tcBorders>
              <w:left w:val="single" w:sz="8" w:color="auto"/>
              <w:right w:val="single" w:sz="8" w:color="auto"/>
            </w:tcBorders>
          </w:tcPr>
          <w:p>
            <w:pPr>
              <w:spacing w:after="0"/>
              <w:rPr>
                <w:sz w:val="24"/>
                <w:szCs w:val="24"/>
                <w:color w:val="auto"/>
              </w:rPr>
            </w:pPr>
          </w:p>
        </w:tc>
        <w:tc>
          <w:tcPr>
            <w:tcW w:w="33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9"/>
              </w:rPr>
              <w:t>(Note: This cannot be the ISO Hour Ahead</w:t>
            </w:r>
          </w:p>
        </w:tc>
        <w:tc>
          <w:tcPr>
            <w:tcW w:w="82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spacing w:after="0"/>
              <w:rPr>
                <w:sz w:val="16"/>
                <w:szCs w:val="16"/>
                <w:color w:val="auto"/>
              </w:rPr>
            </w:pPr>
          </w:p>
        </w:tc>
        <w:tc>
          <w:tcPr>
            <w:tcW w:w="334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6"/>
              </w:rPr>
              <w:t>Final Schedule template as this file does not</w:t>
            </w:r>
          </w:p>
        </w:tc>
        <w:tc>
          <w:tcPr>
            <w:tcW w:w="8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spacing w:after="0"/>
              <w:rPr>
                <w:sz w:val="16"/>
                <w:szCs w:val="16"/>
                <w:color w:val="auto"/>
              </w:rPr>
            </w:pPr>
          </w:p>
        </w:tc>
        <w:tc>
          <w:tcPr>
            <w:tcW w:w="334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provide transactional level details but</w:t>
            </w:r>
          </w:p>
        </w:tc>
        <w:tc>
          <w:tcPr>
            <w:tcW w:w="8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spacing w:after="0"/>
              <w:rPr>
                <w:sz w:val="16"/>
                <w:szCs w:val="16"/>
                <w:color w:val="auto"/>
              </w:rPr>
            </w:pPr>
          </w:p>
        </w:tc>
        <w:tc>
          <w:tcPr>
            <w:tcW w:w="334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5"/>
              </w:rPr>
              <w:t>consolidates/collapses information based on</w:t>
            </w:r>
          </w:p>
        </w:tc>
        <w:tc>
          <w:tcPr>
            <w:tcW w:w="8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20" w:type="dxa"/>
            <w:vAlign w:val="bottom"/>
            <w:tcBorders>
              <w:left w:val="single" w:sz="8" w:color="auto"/>
              <w:bottom w:val="single" w:sz="8" w:color="auto"/>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certain ISO rules.)</w:t>
            </w:r>
          </w:p>
        </w:tc>
        <w:tc>
          <w:tcPr>
            <w:tcW w:w="82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2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Reconciled</w:t>
            </w:r>
          </w:p>
        </w:tc>
        <w:tc>
          <w:tcPr>
            <w:tcW w:w="334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rPr>
              <w:t>Monthly invoice and supporting</w:t>
            </w:r>
          </w:p>
        </w:tc>
        <w:tc>
          <w:tcPr>
            <w:tcW w:w="8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7"/>
              </w:rPr>
              <w:t>Monthly</w:t>
            </w:r>
          </w:p>
        </w:tc>
        <w:tc>
          <w:tcPr>
            <w:tcW w:w="12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6"/>
              </w:rPr>
              <w:t>Feb 03</w:t>
            </w:r>
          </w:p>
        </w:tc>
        <w:tc>
          <w:tcPr>
            <w:tcW w:w="13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3"/>
              </w:rPr>
              <w:t>TBD</w:t>
            </w: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Monthly</w:t>
            </w:r>
          </w:p>
        </w:tc>
        <w:tc>
          <w:tcPr>
            <w:tcW w:w="334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5"/>
              </w:rPr>
              <w:t>documentation for bilateral contracts relating</w:t>
            </w:r>
          </w:p>
        </w:tc>
        <w:tc>
          <w:tcPr>
            <w:tcW w:w="8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2"/>
              </w:rPr>
              <w:t>– 5</w:t>
            </w:r>
          </w:p>
        </w:tc>
        <w:tc>
          <w:tcPr>
            <w:tcW w:w="12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bilateral</w:t>
            </w:r>
          </w:p>
        </w:tc>
        <w:tc>
          <w:tcPr>
            <w:tcW w:w="334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9"/>
              </w:rPr>
              <w:t>to DWR long-term contracts, reviewed and</w:t>
            </w:r>
          </w:p>
        </w:tc>
        <w:tc>
          <w:tcPr>
            <w:tcW w:w="8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3"/>
              </w:rPr>
              <w:t>business</w:t>
            </w:r>
          </w:p>
        </w:tc>
        <w:tc>
          <w:tcPr>
            <w:tcW w:w="12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invoices</w:t>
            </w:r>
          </w:p>
        </w:tc>
        <w:tc>
          <w:tcPr>
            <w:tcW w:w="334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approved by utility for payment by DWR to</w:t>
            </w:r>
          </w:p>
        </w:tc>
        <w:tc>
          <w:tcPr>
            <w:tcW w:w="8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3"/>
              </w:rPr>
              <w:t>days</w:t>
            </w:r>
          </w:p>
        </w:tc>
        <w:tc>
          <w:tcPr>
            <w:tcW w:w="12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spacing w:after="0"/>
              <w:rPr>
                <w:sz w:val="16"/>
                <w:szCs w:val="16"/>
                <w:color w:val="auto"/>
              </w:rPr>
            </w:pPr>
          </w:p>
        </w:tc>
        <w:tc>
          <w:tcPr>
            <w:tcW w:w="334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the counterparty.</w:t>
            </w:r>
          </w:p>
        </w:tc>
        <w:tc>
          <w:tcPr>
            <w:tcW w:w="8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4"/>
              </w:rPr>
              <w:t>prior to</w:t>
            </w:r>
          </w:p>
        </w:tc>
        <w:tc>
          <w:tcPr>
            <w:tcW w:w="12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20" w:type="dxa"/>
            <w:vAlign w:val="bottom"/>
            <w:tcBorders>
              <w:left w:val="single" w:sz="8" w:color="auto"/>
              <w:right w:val="single" w:sz="8" w:color="auto"/>
            </w:tcBorders>
          </w:tcPr>
          <w:p>
            <w:pPr>
              <w:spacing w:after="0"/>
              <w:rPr>
                <w:sz w:val="16"/>
                <w:szCs w:val="16"/>
                <w:color w:val="auto"/>
              </w:rPr>
            </w:pPr>
          </w:p>
        </w:tc>
        <w:tc>
          <w:tcPr>
            <w:tcW w:w="334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8"/>
              </w:rPr>
              <w:t>payment</w:t>
            </w:r>
          </w:p>
        </w:tc>
        <w:tc>
          <w:tcPr>
            <w:tcW w:w="12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20" w:type="dxa"/>
            <w:vAlign w:val="bottom"/>
            <w:tcBorders>
              <w:left w:val="single" w:sz="8" w:color="auto"/>
              <w:bottom w:val="single" w:sz="8" w:color="auto"/>
              <w:right w:val="single" w:sz="8" w:color="auto"/>
            </w:tcBorders>
          </w:tcPr>
          <w:p>
            <w:pPr>
              <w:spacing w:after="0"/>
              <w:rPr>
                <w:sz w:val="17"/>
                <w:szCs w:val="17"/>
                <w:color w:val="auto"/>
              </w:rPr>
            </w:pPr>
          </w:p>
        </w:tc>
        <w:tc>
          <w:tcPr>
            <w:tcW w:w="334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1"/>
              </w:rPr>
              <w:t>due date</w:t>
            </w:r>
          </w:p>
        </w:tc>
        <w:tc>
          <w:tcPr>
            <w:tcW w:w="12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the event of a bilateral invoice dispute with the counterparty, DWR may also request from the utility the additional schedule information. This information would be in the same format as outlined in the table above. As mentioned above, DWR is requesting transactional level information and not the associated ISO template files due to the consolidation/collapsing of schedules with the template files. Schedule information required would include :</w:t>
      </w:r>
    </w:p>
    <w:p>
      <w:pPr>
        <w:spacing w:after="0" w:line="134" w:lineRule="exact"/>
        <w:rPr>
          <w:sz w:val="20"/>
          <w:szCs w:val="20"/>
          <w:color w:val="auto"/>
        </w:rPr>
      </w:pPr>
    </w:p>
    <w:p>
      <w:pPr>
        <w:ind w:left="500" w:hanging="249"/>
        <w:spacing w:after="0"/>
        <w:tabs>
          <w:tab w:leader="none" w:pos="5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Hour Ahead Preferred Schedule Volumes</w:t>
      </w:r>
    </w:p>
    <w:p>
      <w:pPr>
        <w:spacing w:after="0" w:line="73" w:lineRule="exact"/>
        <w:rPr>
          <w:rFonts w:ascii="Arial" w:cs="Arial" w:eastAsia="Arial" w:hAnsi="Arial"/>
          <w:sz w:val="17"/>
          <w:szCs w:val="17"/>
          <w:color w:val="auto"/>
        </w:rPr>
      </w:pPr>
    </w:p>
    <w:p>
      <w:pPr>
        <w:ind w:left="500" w:hanging="249"/>
        <w:spacing w:after="0"/>
        <w:tabs>
          <w:tab w:leader="none" w:pos="5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Day Ahead Final Schedule Volumes</w:t>
      </w:r>
    </w:p>
    <w:p>
      <w:pPr>
        <w:spacing w:after="0" w:line="62" w:lineRule="exact"/>
        <w:rPr>
          <w:rFonts w:ascii="Arial" w:cs="Arial" w:eastAsia="Arial" w:hAnsi="Arial"/>
          <w:sz w:val="17"/>
          <w:szCs w:val="17"/>
          <w:color w:val="auto"/>
        </w:rPr>
      </w:pPr>
    </w:p>
    <w:p>
      <w:pPr>
        <w:ind w:left="500" w:hanging="249"/>
        <w:spacing w:after="0"/>
        <w:tabs>
          <w:tab w:leader="none" w:pos="5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Day Ahead Adjusted Schedule Volumes</w:t>
      </w:r>
    </w:p>
    <w:p>
      <w:pPr>
        <w:spacing w:after="0" w:line="62" w:lineRule="exact"/>
        <w:rPr>
          <w:rFonts w:ascii="Arial" w:cs="Arial" w:eastAsia="Arial" w:hAnsi="Arial"/>
          <w:sz w:val="17"/>
          <w:szCs w:val="17"/>
          <w:color w:val="auto"/>
        </w:rPr>
      </w:pPr>
    </w:p>
    <w:p>
      <w:pPr>
        <w:ind w:left="500" w:hanging="249"/>
        <w:spacing w:after="0"/>
        <w:tabs>
          <w:tab w:leader="none" w:pos="5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Day Ahead Revised Preferred Schedule Volumes</w:t>
      </w:r>
    </w:p>
    <w:p>
      <w:pPr>
        <w:spacing w:after="0" w:line="73" w:lineRule="exact"/>
        <w:rPr>
          <w:rFonts w:ascii="Arial" w:cs="Arial" w:eastAsia="Arial" w:hAnsi="Arial"/>
          <w:sz w:val="17"/>
          <w:szCs w:val="17"/>
          <w:color w:val="auto"/>
        </w:rPr>
      </w:pPr>
    </w:p>
    <w:p>
      <w:pPr>
        <w:ind w:left="500" w:hanging="249"/>
        <w:spacing w:after="0"/>
        <w:tabs>
          <w:tab w:leader="none" w:pos="5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Day Ahead Preferred Schedule Volumes</w:t>
      </w:r>
    </w:p>
    <w:p>
      <w:pPr>
        <w:sectPr>
          <w:pgSz w:w="11900" w:h="16838" w:orient="portrait"/>
          <w:cols w:equalWidth="0" w:num="1">
            <w:col w:w="11380"/>
          </w:cols>
          <w:pgMar w:left="220" w:top="681"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w:t>
      </w:r>
    </w:p>
    <w:p>
      <w:pPr>
        <w:sectPr>
          <w:pgSz w:w="11900" w:h="16838" w:orient="portrait"/>
          <w:cols w:equalWidth="0" w:num="1">
            <w:col w:w="11380"/>
          </w:cols>
          <w:pgMar w:left="220" w:top="681" w:right="299" w:bottom="0" w:gutter="0" w:footer="0" w:header="0"/>
          <w:type w:val="continuous"/>
        </w:sectPr>
      </w:pPr>
    </w:p>
    <w:bookmarkStart w:id="96" w:name="page97"/>
    <w:bookmarkEnd w:id="9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7" w:name="page98"/>
    <w:bookmarkEnd w:id="97"/>
    <w:p>
      <w:pPr>
        <w:spacing w:after="0" w:line="60"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The following table outlines DWR data requirements relating to the verification of fuel costs. It assumes DWR will retain legal and financial responsibility for gas and related services while the utility will perform administrative and operational responsibilities as outlined in Exhibit B.</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134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4"/>
                <w:szCs w:val="14"/>
                <w:color w:val="auto"/>
              </w:rPr>
              <w:t>Fuel Costs</w:t>
            </w:r>
          </w:p>
        </w:tc>
        <w:tc>
          <w:tcPr>
            <w:tcW w:w="2900" w:type="dxa"/>
            <w:vAlign w:val="bottom"/>
            <w:tcBorders>
              <w:top w:val="single" w:sz="8" w:color="auto"/>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340" w:type="dxa"/>
            <w:vAlign w:val="bottom"/>
            <w:tcBorders>
              <w:left w:val="single" w:sz="8" w:color="auto"/>
              <w:bottom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34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7"/>
                <w:szCs w:val="17"/>
                <w:b w:val="1"/>
                <w:bCs w:val="1"/>
                <w:color w:val="auto"/>
              </w:rPr>
              <w:t>Requirement</w:t>
            </w:r>
          </w:p>
        </w:tc>
        <w:tc>
          <w:tcPr>
            <w:tcW w:w="2900" w:type="dxa"/>
            <w:vAlign w:val="bottom"/>
            <w:tcBorders>
              <w:right w:val="single" w:sz="8" w:color="auto"/>
            </w:tcBorders>
            <w:vMerge w:val="restart"/>
          </w:tcPr>
          <w:p>
            <w:pPr>
              <w:ind w:left="1020"/>
              <w:spacing w:after="0"/>
              <w:rPr>
                <w:sz w:val="20"/>
                <w:szCs w:val="20"/>
                <w:color w:val="auto"/>
              </w:rPr>
            </w:pPr>
            <w:r>
              <w:rPr>
                <w:rFonts w:ascii="Arial" w:cs="Arial" w:eastAsia="Arial" w:hAnsi="Arial"/>
                <w:sz w:val="17"/>
                <w:szCs w:val="17"/>
                <w:b w:val="1"/>
                <w:bCs w:val="1"/>
                <w:color w:val="auto"/>
              </w:rPr>
              <w:t>Description</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Freq</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7"/>
              </w:rPr>
              <w:t>Effective</w:t>
            </w:r>
          </w:p>
        </w:tc>
        <w:tc>
          <w:tcPr>
            <w:tcW w:w="126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3"/>
                <w:szCs w:val="13"/>
                <w:b w:val="1"/>
                <w:bCs w:val="1"/>
                <w:color w:val="auto"/>
              </w:rPr>
              <w:t>Delivery</w:t>
            </w:r>
          </w:p>
        </w:tc>
        <w:tc>
          <w:tcPr>
            <w:tcW w:w="0" w:type="dxa"/>
            <w:vAlign w:val="bottom"/>
          </w:tcPr>
          <w:p>
            <w:pPr>
              <w:spacing w:after="0"/>
              <w:rPr>
                <w:sz w:val="1"/>
                <w:szCs w:val="1"/>
                <w:color w:val="auto"/>
              </w:rPr>
            </w:pPr>
          </w:p>
        </w:tc>
      </w:tr>
      <w:tr>
        <w:trPr>
          <w:trHeight w:val="120"/>
        </w:trPr>
        <w:tc>
          <w:tcPr>
            <w:tcW w:w="1340" w:type="dxa"/>
            <w:vAlign w:val="bottom"/>
            <w:tcBorders>
              <w:left w:val="single" w:sz="8" w:color="auto"/>
              <w:right w:val="single" w:sz="8" w:color="auto"/>
            </w:tcBorders>
            <w:vMerge w:val="continue"/>
          </w:tcPr>
          <w:p>
            <w:pPr>
              <w:spacing w:after="0"/>
              <w:rPr>
                <w:sz w:val="10"/>
                <w:szCs w:val="10"/>
                <w:color w:val="auto"/>
              </w:rPr>
            </w:pPr>
          </w:p>
        </w:tc>
        <w:tc>
          <w:tcPr>
            <w:tcW w:w="290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Method</w:t>
            </w:r>
          </w:p>
        </w:tc>
        <w:tc>
          <w:tcPr>
            <w:tcW w:w="0" w:type="dxa"/>
            <w:vAlign w:val="bottom"/>
          </w:tcPr>
          <w:p>
            <w:pPr>
              <w:spacing w:after="0"/>
              <w:rPr>
                <w:sz w:val="1"/>
                <w:szCs w:val="1"/>
                <w:color w:val="auto"/>
              </w:rPr>
            </w:pPr>
          </w:p>
        </w:tc>
      </w:tr>
      <w:tr>
        <w:trPr>
          <w:trHeight w:val="86"/>
        </w:trPr>
        <w:tc>
          <w:tcPr>
            <w:tcW w:w="1340" w:type="dxa"/>
            <w:vAlign w:val="bottom"/>
            <w:tcBorders>
              <w:left w:val="single" w:sz="8" w:color="auto"/>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34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Generator fuel</w:t>
            </w:r>
          </w:p>
        </w:tc>
        <w:tc>
          <w:tcPr>
            <w:tcW w:w="290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rPr>
              <w:t>Proposal and supporting analysis on</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6"/>
              </w:rPr>
              <w:t>Based on</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4"/>
              </w:rPr>
              <w:t>Jan-03</w:t>
            </w:r>
          </w:p>
        </w:tc>
        <w:tc>
          <w:tcPr>
            <w:tcW w:w="12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3"/>
              </w:rPr>
              <w:t>TBD</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plan proposal</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whether or not to accept or reject of</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5"/>
              </w:rPr>
              <w:t>individual</w:t>
            </w: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generator fuel plan.</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contracts</w:t>
            </w:r>
          </w:p>
        </w:tc>
        <w:tc>
          <w:tcPr>
            <w:tcW w:w="9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4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Utility Fuel</w:t>
            </w:r>
          </w:p>
        </w:tc>
        <w:tc>
          <w:tcPr>
            <w:tcW w:w="290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rPr>
              <w:t>Utility will provide a bi-annual fuel</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4"/>
              </w:rPr>
              <w:t>Bi-Annual</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4"/>
              </w:rPr>
              <w:t>Jan-03</w:t>
            </w:r>
          </w:p>
        </w:tc>
        <w:tc>
          <w:tcPr>
            <w:tcW w:w="12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3"/>
              </w:rPr>
              <w:t>TBD</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Procurement</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procurement plan for utility supplied</w:t>
            </w:r>
          </w:p>
        </w:tc>
        <w:tc>
          <w:tcPr>
            <w:tcW w:w="9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Plan</w:t>
            </w:r>
          </w:p>
        </w:tc>
        <w:tc>
          <w:tcPr>
            <w:tcW w:w="2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fuel.</w:t>
            </w:r>
          </w:p>
        </w:tc>
        <w:tc>
          <w:tcPr>
            <w:tcW w:w="9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4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Tolling</w:t>
            </w:r>
          </w:p>
        </w:tc>
        <w:tc>
          <w:tcPr>
            <w:tcW w:w="290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rPr>
              <w:t>Monthly report on each DWR tolling</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4"/>
              </w:rPr>
              <w:t>Monthly</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5"/>
              </w:rPr>
              <w:t>Feb-03</w:t>
            </w:r>
          </w:p>
        </w:tc>
        <w:tc>
          <w:tcPr>
            <w:tcW w:w="12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1"/>
              </w:rPr>
              <w:t>Electronic</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agreement</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agreement that includes but is not</w:t>
            </w:r>
          </w:p>
        </w:tc>
        <w:tc>
          <w:tcPr>
            <w:tcW w:w="9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0"/>
              </w:rPr>
              <w:t>Format TBD</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Settlement</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limited to: tolling contract identifier,</w:t>
            </w:r>
          </w:p>
        </w:tc>
        <w:tc>
          <w:tcPr>
            <w:tcW w:w="9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Report</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3"/>
              </w:rPr>
              <w:t>who provided the gas (generator/utility)</w:t>
            </w:r>
          </w:p>
        </w:tc>
        <w:tc>
          <w:tcPr>
            <w:tcW w:w="9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and daily quantity of gas supplied.</w:t>
            </w:r>
          </w:p>
        </w:tc>
        <w:tc>
          <w:tcPr>
            <w:tcW w:w="9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4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Reconciled</w:t>
            </w:r>
          </w:p>
        </w:tc>
        <w:tc>
          <w:tcPr>
            <w:tcW w:w="290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rPr>
              <w:t>Suppliers monthly invoice and</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4"/>
              </w:rPr>
              <w:t>Monthly –</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5"/>
              </w:rPr>
              <w:t>Feb-03</w:t>
            </w:r>
          </w:p>
        </w:tc>
        <w:tc>
          <w:tcPr>
            <w:tcW w:w="12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0"/>
              </w:rPr>
              <w:t>Electronic –</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Monthly Gas</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supporting documentation for fuel</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5"/>
              </w:rPr>
              <w:t>5-business</w:t>
            </w: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0"/>
              </w:rPr>
              <w:t>Format TBD</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Invoice</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procurement relating to DWR tolling</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8"/>
              </w:rPr>
              <w:t>days prior</w:t>
            </w: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2"/>
              </w:rPr>
              <w:t>agreements, reviewed and approved by</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7"/>
              </w:rPr>
              <w:t>to payment</w:t>
            </w: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Utility for payment by DWR to the</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4"/>
              </w:rPr>
              <w:t>due date</w:t>
            </w: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supplier.</w:t>
            </w:r>
          </w:p>
        </w:tc>
        <w:tc>
          <w:tcPr>
            <w:tcW w:w="9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4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Gas</w:t>
            </w:r>
          </w:p>
        </w:tc>
        <w:tc>
          <w:tcPr>
            <w:tcW w:w="290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w w:val="95"/>
              </w:rPr>
              <w:t>Details relating to the Utility negotiated</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9"/>
              </w:rPr>
              <w:t>When</w:t>
            </w:r>
          </w:p>
        </w:tc>
        <w:tc>
          <w:tcPr>
            <w:tcW w:w="96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rPr>
              <w:t>All</w:t>
            </w:r>
          </w:p>
        </w:tc>
        <w:tc>
          <w:tcPr>
            <w:tcW w:w="12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3"/>
              </w:rPr>
              <w:t>E-mail/Fax</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Transportation</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7"/>
              </w:rPr>
              <w:t>firm and/or interruptible transportation</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4"/>
              </w:rPr>
              <w:t>executed</w:t>
            </w:r>
          </w:p>
        </w:tc>
        <w:tc>
          <w:tcPr>
            <w:tcW w:w="9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contracts</w:t>
            </w:r>
          </w:p>
        </w:tc>
        <w:tc>
          <w:tcPr>
            <w:tcW w:w="12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8"/>
              </w:rPr>
              <w:t>Standard Form</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Contract</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agreements for DWR review and</w:t>
            </w:r>
          </w:p>
        </w:tc>
        <w:tc>
          <w:tcPr>
            <w:tcW w:w="9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effective</w:t>
            </w:r>
          </w:p>
        </w:tc>
        <w:tc>
          <w:tcPr>
            <w:tcW w:w="12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3"/>
              </w:rPr>
              <w:t>TBD</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Information</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authorization.</w:t>
            </w:r>
          </w:p>
        </w:tc>
        <w:tc>
          <w:tcPr>
            <w:tcW w:w="9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after</w:t>
            </w: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7"/>
                <w:szCs w:val="17"/>
                <w:color w:val="auto"/>
                <w:w w:val="99"/>
              </w:rPr>
              <w:t>1/1/2003</w:t>
            </w:r>
          </w:p>
        </w:tc>
        <w:tc>
          <w:tcPr>
            <w:tcW w:w="1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4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Gas Storage</w:t>
            </w:r>
          </w:p>
        </w:tc>
        <w:tc>
          <w:tcPr>
            <w:tcW w:w="290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w w:val="95"/>
              </w:rPr>
              <w:t>Details relating to the Utility/negotiated</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9"/>
              </w:rPr>
              <w:t>When</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rPr>
              <w:t>All</w:t>
            </w:r>
          </w:p>
        </w:tc>
        <w:tc>
          <w:tcPr>
            <w:tcW w:w="12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3"/>
              </w:rPr>
              <w:t>E-mail/Fax</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Contract</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firm and/or interruptible storage</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4"/>
              </w:rPr>
              <w:t>executed</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6"/>
              </w:rPr>
              <w:t>contracts</w:t>
            </w:r>
          </w:p>
        </w:tc>
        <w:tc>
          <w:tcPr>
            <w:tcW w:w="12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8"/>
              </w:rPr>
              <w:t>Standard Form</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Information</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agreements for DWR review and</w:t>
            </w:r>
          </w:p>
        </w:tc>
        <w:tc>
          <w:tcPr>
            <w:tcW w:w="9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1"/>
              </w:rPr>
              <w:t>effective</w:t>
            </w:r>
          </w:p>
        </w:tc>
        <w:tc>
          <w:tcPr>
            <w:tcW w:w="12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3"/>
              </w:rPr>
              <w:t>TBD</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authorization.</w:t>
            </w:r>
          </w:p>
        </w:tc>
        <w:tc>
          <w:tcPr>
            <w:tcW w:w="9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8"/>
              </w:rPr>
              <w:t>after</w:t>
            </w: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7"/>
                <w:szCs w:val="17"/>
                <w:color w:val="auto"/>
              </w:rPr>
              <w:t>1/1/03</w:t>
            </w:r>
          </w:p>
        </w:tc>
        <w:tc>
          <w:tcPr>
            <w:tcW w:w="1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4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Reconciled</w:t>
            </w:r>
          </w:p>
        </w:tc>
        <w:tc>
          <w:tcPr>
            <w:tcW w:w="290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rPr>
              <w:t>Suppliers monthly invoice and</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4"/>
              </w:rPr>
              <w:t>Monthly –</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5"/>
              </w:rPr>
              <w:t>Feb-03</w:t>
            </w:r>
          </w:p>
        </w:tc>
        <w:tc>
          <w:tcPr>
            <w:tcW w:w="12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0"/>
              </w:rPr>
              <w:t>Electronic –</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Monthly gas</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9"/>
              </w:rPr>
              <w:t>supporting documentation for natural</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5"/>
              </w:rPr>
              <w:t>5-business</w:t>
            </w: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0"/>
              </w:rPr>
              <w:t>Format TBD</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transportation</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gas transportation costs relating to</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8"/>
              </w:rPr>
              <w:t>days prior</w:t>
            </w: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invoices</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3"/>
              </w:rPr>
              <w:t>DWR tolling agreements, reviewed and</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7"/>
              </w:rPr>
              <w:t>to payment</w:t>
            </w: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approved by utility for payment by</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4"/>
              </w:rPr>
              <w:t>due date</w:t>
            </w: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DWR to the supplier.</w:t>
            </w:r>
          </w:p>
        </w:tc>
        <w:tc>
          <w:tcPr>
            <w:tcW w:w="9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4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Reconciled</w:t>
            </w:r>
          </w:p>
        </w:tc>
        <w:tc>
          <w:tcPr>
            <w:tcW w:w="290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rPr>
              <w:t>Supplier’s monthly invoice and</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4"/>
              </w:rPr>
              <w:t>Monthly –</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5"/>
              </w:rPr>
              <w:t>Feb-03</w:t>
            </w:r>
          </w:p>
        </w:tc>
        <w:tc>
          <w:tcPr>
            <w:tcW w:w="12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0"/>
              </w:rPr>
              <w:t>Electronic –</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60"/>
              <w:spacing w:after="0" w:line="186" w:lineRule="exact"/>
              <w:rPr>
                <w:sz w:val="20"/>
                <w:szCs w:val="20"/>
                <w:color w:val="auto"/>
              </w:rPr>
            </w:pPr>
            <w:r>
              <w:rPr>
                <w:rFonts w:ascii="Arial" w:cs="Arial" w:eastAsia="Arial" w:hAnsi="Arial"/>
                <w:sz w:val="17"/>
                <w:szCs w:val="17"/>
                <w:color w:val="auto"/>
              </w:rPr>
              <w:t>Monthly gas</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7"/>
              </w:rPr>
              <w:t>supporting documentation for storage</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5"/>
              </w:rPr>
              <w:t>5-business</w:t>
            </w: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0"/>
              </w:rPr>
              <w:t>Format TBD</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w w:val="96"/>
              </w:rPr>
              <w:t>storage invoices</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relating to DWR tolling agreements,</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8"/>
              </w:rPr>
              <w:t>days prior</w:t>
            </w: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reviewed and approved by utility for</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7"/>
              </w:rPr>
              <w:t>to payment</w:t>
            </w: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payment by DWR to the supplier.</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due date</w:t>
            </w:r>
          </w:p>
        </w:tc>
        <w:tc>
          <w:tcPr>
            <w:tcW w:w="9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outlines additional DWR data relating to utility revenue remittance:</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260" w:type="dxa"/>
            <w:vAlign w:val="bottom"/>
            <w:tcBorders>
              <w:top w:val="single" w:sz="8" w:color="auto"/>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7"/>
                <w:szCs w:val="17"/>
                <w:b w:val="1"/>
                <w:bCs w:val="1"/>
                <w:color w:val="auto"/>
              </w:rPr>
              <w:t>Utility Revenue Remittance</w:t>
            </w:r>
          </w:p>
        </w:tc>
        <w:tc>
          <w:tcPr>
            <w:tcW w:w="8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360" w:type="dxa"/>
            <w:vAlign w:val="bottom"/>
            <w:tcBorders>
              <w:left w:val="single" w:sz="8" w:color="auto"/>
              <w:right w:val="single" w:sz="8" w:color="auto"/>
            </w:tcBorders>
            <w:vMerge w:val="restart"/>
          </w:tcPr>
          <w:p>
            <w:pPr>
              <w:ind w:left="220"/>
              <w:spacing w:after="0"/>
              <w:rPr>
                <w:sz w:val="20"/>
                <w:szCs w:val="20"/>
                <w:color w:val="auto"/>
              </w:rPr>
            </w:pPr>
            <w:r>
              <w:rPr>
                <w:rFonts w:ascii="Arial" w:cs="Arial" w:eastAsia="Arial" w:hAnsi="Arial"/>
                <w:sz w:val="17"/>
                <w:szCs w:val="17"/>
                <w:b w:val="1"/>
                <w:bCs w:val="1"/>
                <w:color w:val="auto"/>
              </w:rPr>
              <w:t>Requirement</w:t>
            </w:r>
          </w:p>
        </w:tc>
        <w:tc>
          <w:tcPr>
            <w:tcW w:w="2900" w:type="dxa"/>
            <w:vAlign w:val="bottom"/>
            <w:tcBorders>
              <w:right w:val="single" w:sz="8" w:color="auto"/>
            </w:tcBorders>
            <w:vMerge w:val="restart"/>
          </w:tcPr>
          <w:p>
            <w:pPr>
              <w:ind w:left="1020"/>
              <w:spacing w:after="0"/>
              <w:rPr>
                <w:sz w:val="20"/>
                <w:szCs w:val="20"/>
                <w:color w:val="auto"/>
              </w:rPr>
            </w:pPr>
            <w:r>
              <w:rPr>
                <w:rFonts w:ascii="Arial" w:cs="Arial" w:eastAsia="Arial" w:hAnsi="Arial"/>
                <w:sz w:val="17"/>
                <w:szCs w:val="17"/>
                <w:b w:val="1"/>
                <w:bCs w:val="1"/>
                <w:color w:val="auto"/>
              </w:rPr>
              <w:t>Description</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Freq</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7"/>
              </w:rPr>
              <w:t>Effective</w:t>
            </w:r>
          </w:p>
        </w:tc>
        <w:tc>
          <w:tcPr>
            <w:tcW w:w="12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6"/>
                <w:szCs w:val="16"/>
                <w:b w:val="1"/>
                <w:bCs w:val="1"/>
                <w:color w:val="auto"/>
                <w:w w:val="96"/>
              </w:rPr>
              <w:t>Delivery</w:t>
            </w:r>
          </w:p>
        </w:tc>
        <w:tc>
          <w:tcPr>
            <w:tcW w:w="0" w:type="dxa"/>
            <w:vAlign w:val="bottom"/>
          </w:tcPr>
          <w:p>
            <w:pPr>
              <w:spacing w:after="0"/>
              <w:rPr>
                <w:sz w:val="1"/>
                <w:szCs w:val="1"/>
                <w:color w:val="auto"/>
              </w:rPr>
            </w:pPr>
          </w:p>
        </w:tc>
      </w:tr>
      <w:tr>
        <w:trPr>
          <w:trHeight w:val="120"/>
        </w:trPr>
        <w:tc>
          <w:tcPr>
            <w:tcW w:w="1360" w:type="dxa"/>
            <w:vAlign w:val="bottom"/>
            <w:tcBorders>
              <w:left w:val="single" w:sz="8" w:color="auto"/>
              <w:right w:val="single" w:sz="8" w:color="auto"/>
            </w:tcBorders>
            <w:vMerge w:val="continue"/>
          </w:tcPr>
          <w:p>
            <w:pPr>
              <w:spacing w:after="0"/>
              <w:rPr>
                <w:sz w:val="10"/>
                <w:szCs w:val="10"/>
                <w:color w:val="auto"/>
              </w:rPr>
            </w:pPr>
          </w:p>
        </w:tc>
        <w:tc>
          <w:tcPr>
            <w:tcW w:w="290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Method</w:t>
            </w:r>
          </w:p>
        </w:tc>
        <w:tc>
          <w:tcPr>
            <w:tcW w:w="0" w:type="dxa"/>
            <w:vAlign w:val="bottom"/>
          </w:tcPr>
          <w:p>
            <w:pPr>
              <w:spacing w:after="0"/>
              <w:rPr>
                <w:sz w:val="1"/>
                <w:szCs w:val="1"/>
                <w:color w:val="auto"/>
              </w:rPr>
            </w:pPr>
          </w:p>
        </w:tc>
      </w:tr>
      <w:tr>
        <w:trPr>
          <w:trHeight w:val="86"/>
        </w:trPr>
        <w:tc>
          <w:tcPr>
            <w:tcW w:w="1360" w:type="dxa"/>
            <w:vAlign w:val="bottom"/>
            <w:tcBorders>
              <w:left w:val="single" w:sz="8" w:color="auto"/>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36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Utility ISO</w:t>
            </w:r>
          </w:p>
        </w:tc>
        <w:tc>
          <w:tcPr>
            <w:tcW w:w="290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7"/>
                <w:szCs w:val="17"/>
                <w:color w:val="auto"/>
              </w:rPr>
              <w:t>The complete Utility preliminary</w:t>
            </w:r>
          </w:p>
        </w:tc>
        <w:tc>
          <w:tcPr>
            <w:tcW w:w="8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0"/>
              </w:rPr>
              <w:t>T + 38</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0"/>
              </w:rPr>
              <w:t>Ongoing</w:t>
            </w:r>
          </w:p>
        </w:tc>
        <w:tc>
          <w:tcPr>
            <w:tcW w:w="12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5"/>
              </w:rPr>
              <w:t>Secure</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Preliminary</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rPr>
              <w:t>settlement statement and supporting</w:t>
            </w:r>
          </w:p>
        </w:tc>
        <w:tc>
          <w:tcPr>
            <w:tcW w:w="8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3"/>
              </w:rPr>
              <w:t>business</w:t>
            </w:r>
          </w:p>
        </w:tc>
        <w:tc>
          <w:tcPr>
            <w:tcW w:w="9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1"/>
              </w:rPr>
              <w:t>Electronic-ISO</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Settlement</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rPr>
              <w:t>files in original ISO template format.</w:t>
            </w:r>
          </w:p>
        </w:tc>
        <w:tc>
          <w:tcPr>
            <w:tcW w:w="8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3"/>
              </w:rPr>
              <w:t>days</w:t>
            </w:r>
          </w:p>
        </w:tc>
        <w:tc>
          <w:tcPr>
            <w:tcW w:w="9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7"/>
              </w:rPr>
              <w:t>Template</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Statement and</w:t>
            </w:r>
          </w:p>
        </w:tc>
        <w:tc>
          <w:tcPr>
            <w:tcW w:w="29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3"/>
              </w:rPr>
              <w:t>Direct from</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w w:val="97"/>
              </w:rPr>
              <w:t>Supporting Files</w:t>
            </w:r>
          </w:p>
        </w:tc>
        <w:tc>
          <w:tcPr>
            <w:tcW w:w="290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ISO</w:t>
            </w:r>
          </w:p>
        </w:tc>
        <w:tc>
          <w:tcPr>
            <w:tcW w:w="0" w:type="dxa"/>
            <w:vAlign w:val="bottom"/>
          </w:tcPr>
          <w:p>
            <w:pPr>
              <w:spacing w:after="0"/>
              <w:rPr>
                <w:sz w:val="1"/>
                <w:szCs w:val="1"/>
                <w:color w:val="auto"/>
              </w:rPr>
            </w:pPr>
          </w:p>
        </w:tc>
      </w:tr>
      <w:tr>
        <w:trPr>
          <w:trHeight w:val="160"/>
        </w:trPr>
        <w:tc>
          <w:tcPr>
            <w:tcW w:w="136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Utility Final ISO</w:t>
            </w:r>
          </w:p>
        </w:tc>
        <w:tc>
          <w:tcPr>
            <w:tcW w:w="290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7"/>
                <w:szCs w:val="17"/>
                <w:color w:val="auto"/>
              </w:rPr>
              <w:t>The complete Utility final ISO</w:t>
            </w:r>
          </w:p>
        </w:tc>
        <w:tc>
          <w:tcPr>
            <w:tcW w:w="8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0"/>
              </w:rPr>
              <w:t>T + 45</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0"/>
              </w:rPr>
              <w:t>Ongoing</w:t>
            </w:r>
          </w:p>
        </w:tc>
        <w:tc>
          <w:tcPr>
            <w:tcW w:w="12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5"/>
              </w:rPr>
              <w:t>Secure</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Settlement</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rPr>
              <w:t>settlement statement and supporting</w:t>
            </w:r>
          </w:p>
        </w:tc>
        <w:tc>
          <w:tcPr>
            <w:tcW w:w="8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3"/>
              </w:rPr>
              <w:t>business</w:t>
            </w:r>
          </w:p>
        </w:tc>
        <w:tc>
          <w:tcPr>
            <w:tcW w:w="9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1"/>
              </w:rPr>
              <w:t>Electronic-ISO</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Statement and</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rPr>
              <w:t>files in ISO original template format.</w:t>
            </w:r>
          </w:p>
        </w:tc>
        <w:tc>
          <w:tcPr>
            <w:tcW w:w="8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3"/>
              </w:rPr>
              <w:t>days</w:t>
            </w:r>
          </w:p>
        </w:tc>
        <w:tc>
          <w:tcPr>
            <w:tcW w:w="9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7"/>
              </w:rPr>
              <w:t>Template</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w w:val="97"/>
              </w:rPr>
              <w:t>Supporting Files</w:t>
            </w:r>
          </w:p>
        </w:tc>
        <w:tc>
          <w:tcPr>
            <w:tcW w:w="2900" w:type="dxa"/>
            <w:vAlign w:val="bottom"/>
            <w:tcBorders>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This information also required for</w:t>
            </w:r>
          </w:p>
        </w:tc>
        <w:tc>
          <w:tcPr>
            <w:tcW w:w="8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3"/>
              </w:rPr>
              <w:t>Direct from</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remittance calculation purposes.</w:t>
            </w:r>
          </w:p>
        </w:tc>
        <w:tc>
          <w:tcPr>
            <w:tcW w:w="8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ISO</w:t>
            </w:r>
          </w:p>
        </w:tc>
        <w:tc>
          <w:tcPr>
            <w:tcW w:w="0" w:type="dxa"/>
            <w:vAlign w:val="bottom"/>
          </w:tcPr>
          <w:p>
            <w:pPr>
              <w:spacing w:after="0"/>
              <w:rPr>
                <w:sz w:val="1"/>
                <w:szCs w:val="1"/>
                <w:color w:val="auto"/>
              </w:rPr>
            </w:pPr>
          </w:p>
        </w:tc>
      </w:tr>
      <w:tr>
        <w:trPr>
          <w:trHeight w:val="160"/>
        </w:trPr>
        <w:tc>
          <w:tcPr>
            <w:tcW w:w="136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Scheduled</w:t>
            </w:r>
          </w:p>
        </w:tc>
        <w:tc>
          <w:tcPr>
            <w:tcW w:w="290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7"/>
                <w:szCs w:val="17"/>
                <w:color w:val="auto"/>
              </w:rPr>
              <w:t>Utilities estimated retail load</w:t>
            </w:r>
          </w:p>
        </w:tc>
        <w:tc>
          <w:tcPr>
            <w:tcW w:w="8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1"/>
              </w:rPr>
              <w:t>T + 1</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7"/>
              </w:rPr>
              <w:t>1/1/2003</w:t>
            </w:r>
          </w:p>
        </w:tc>
        <w:tc>
          <w:tcPr>
            <w:tcW w:w="12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9"/>
              </w:rPr>
              <w:t>TBD</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Retail Load by</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w w:val="92"/>
              </w:rPr>
              <w:t>information by hour, by day used for the</w:t>
            </w:r>
          </w:p>
        </w:tc>
        <w:tc>
          <w:tcPr>
            <w:tcW w:w="8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hour</w:t>
            </w:r>
          </w:p>
        </w:tc>
        <w:tc>
          <w:tcPr>
            <w:tcW w:w="2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preliminary remittance.</w:t>
            </w:r>
          </w:p>
        </w:tc>
        <w:tc>
          <w:tcPr>
            <w:tcW w:w="8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6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Hourly</w:t>
            </w:r>
          </w:p>
        </w:tc>
        <w:tc>
          <w:tcPr>
            <w:tcW w:w="290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7"/>
                <w:szCs w:val="17"/>
                <w:color w:val="auto"/>
                <w:w w:val="94"/>
              </w:rPr>
              <w:t>Utilities total hourly scheduled volumes</w:t>
            </w:r>
          </w:p>
        </w:tc>
        <w:tc>
          <w:tcPr>
            <w:tcW w:w="8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3"/>
              </w:rPr>
              <w:t>T+1</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7"/>
              </w:rPr>
              <w:t>1/2/2003</w:t>
            </w:r>
          </w:p>
        </w:tc>
        <w:tc>
          <w:tcPr>
            <w:tcW w:w="12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9"/>
              </w:rPr>
              <w:t>TBD</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aggregate final</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w w:val="99"/>
              </w:rPr>
              <w:t>for the entire Utilities portfolio. This is</w:t>
            </w:r>
          </w:p>
        </w:tc>
        <w:tc>
          <w:tcPr>
            <w:tcW w:w="8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7"/>
              </w:rPr>
              <w:t>(Daily)</w:t>
            </w:r>
          </w:p>
        </w:tc>
        <w:tc>
          <w:tcPr>
            <w:tcW w:w="9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schedule of</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w w:val="96"/>
              </w:rPr>
              <w:t>an aggregate total for the day, by hour</w:t>
            </w:r>
          </w:p>
        </w:tc>
        <w:tc>
          <w:tcPr>
            <w:tcW w:w="8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Utility’s</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w w:val="90"/>
              </w:rPr>
              <w:t>and represents the total volume supplied</w:t>
            </w:r>
          </w:p>
        </w:tc>
        <w:tc>
          <w:tcPr>
            <w:tcW w:w="8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resource</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rPr>
              <w:t>by the utility.</w:t>
            </w:r>
          </w:p>
        </w:tc>
        <w:tc>
          <w:tcPr>
            <w:tcW w:w="8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portfolio</w:t>
            </w:r>
          </w:p>
        </w:tc>
        <w:tc>
          <w:tcPr>
            <w:tcW w:w="290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6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Hourly</w:t>
            </w:r>
          </w:p>
        </w:tc>
        <w:tc>
          <w:tcPr>
            <w:tcW w:w="290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7"/>
                <w:szCs w:val="17"/>
                <w:color w:val="auto"/>
              </w:rPr>
              <w:t>Utility DLF % by hour</w:t>
            </w:r>
          </w:p>
        </w:tc>
        <w:tc>
          <w:tcPr>
            <w:tcW w:w="8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9"/>
              </w:rPr>
              <w:t>When</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7"/>
              </w:rPr>
              <w:t>1/1/2003</w:t>
            </w:r>
          </w:p>
        </w:tc>
        <w:tc>
          <w:tcPr>
            <w:tcW w:w="12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9"/>
              </w:rPr>
              <w:t>TBD</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Distribution</w:t>
            </w:r>
          </w:p>
        </w:tc>
        <w:tc>
          <w:tcPr>
            <w:tcW w:w="29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3"/>
              </w:rPr>
              <w:t>changes</w:t>
            </w:r>
          </w:p>
        </w:tc>
        <w:tc>
          <w:tcPr>
            <w:tcW w:w="9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Loss Factor</w:t>
            </w:r>
          </w:p>
        </w:tc>
        <w:tc>
          <w:tcPr>
            <w:tcW w:w="290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required</w:t>
            </w:r>
          </w:p>
        </w:tc>
        <w:tc>
          <w:tcPr>
            <w:tcW w:w="96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6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w w:val="99"/>
              </w:rPr>
              <w:t>Estimated DWR</w:t>
            </w:r>
          </w:p>
        </w:tc>
        <w:tc>
          <w:tcPr>
            <w:tcW w:w="290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7"/>
                <w:szCs w:val="17"/>
                <w:color w:val="auto"/>
                <w:w w:val="93"/>
              </w:rPr>
              <w:t>Utility estimated remittance percentage.</w:t>
            </w:r>
          </w:p>
        </w:tc>
        <w:tc>
          <w:tcPr>
            <w:tcW w:w="8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9"/>
              </w:rPr>
              <w:t>When</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7"/>
              </w:rPr>
              <w:t>1/1/2003</w:t>
            </w:r>
          </w:p>
        </w:tc>
        <w:tc>
          <w:tcPr>
            <w:tcW w:w="12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9"/>
              </w:rPr>
              <w:t>TBD</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remittance %</w:t>
            </w:r>
          </w:p>
        </w:tc>
        <w:tc>
          <w:tcPr>
            <w:tcW w:w="29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3"/>
              </w:rPr>
              <w:t>changes</w:t>
            </w:r>
          </w:p>
        </w:tc>
        <w:tc>
          <w:tcPr>
            <w:tcW w:w="9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required</w:t>
            </w:r>
          </w:p>
        </w:tc>
        <w:tc>
          <w:tcPr>
            <w:tcW w:w="96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6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Energy Sales</w:t>
            </w:r>
          </w:p>
        </w:tc>
        <w:tc>
          <w:tcPr>
            <w:tcW w:w="290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7"/>
                <w:szCs w:val="17"/>
                <w:color w:val="auto"/>
                <w:w w:val="96"/>
              </w:rPr>
              <w:t>Daily kWh billed by Utility to end users</w:t>
            </w:r>
          </w:p>
        </w:tc>
        <w:tc>
          <w:tcPr>
            <w:tcW w:w="8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5"/>
              </w:rPr>
              <w:t>Daily</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0"/>
              </w:rPr>
              <w:t>Ongoing</w:t>
            </w:r>
          </w:p>
        </w:tc>
        <w:tc>
          <w:tcPr>
            <w:tcW w:w="12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4"/>
              </w:rPr>
              <w:t>Standard</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billed (kWh)*</w:t>
            </w:r>
          </w:p>
        </w:tc>
        <w:tc>
          <w:tcPr>
            <w:tcW w:w="29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3"/>
              </w:rPr>
              <w:t>DWR</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1"/>
              </w:rPr>
              <w:t>Form/File</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(TBD)</w:t>
            </w:r>
          </w:p>
        </w:tc>
        <w:tc>
          <w:tcPr>
            <w:tcW w:w="0" w:type="dxa"/>
            <w:vAlign w:val="bottom"/>
          </w:tcPr>
          <w:p>
            <w:pPr>
              <w:spacing w:after="0"/>
              <w:rPr>
                <w:sz w:val="1"/>
                <w:szCs w:val="1"/>
                <w:color w:val="auto"/>
              </w:rPr>
            </w:pPr>
          </w:p>
        </w:tc>
      </w:tr>
      <w:tr>
        <w:trPr>
          <w:trHeight w:val="160"/>
        </w:trPr>
        <w:tc>
          <w:tcPr>
            <w:tcW w:w="136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DWR Power</w:t>
            </w:r>
          </w:p>
        </w:tc>
        <w:tc>
          <w:tcPr>
            <w:tcW w:w="290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7"/>
                <w:szCs w:val="17"/>
                <w:color w:val="auto"/>
              </w:rPr>
              <w:t>Daily DWR kWh billed by Utility to</w:t>
            </w:r>
          </w:p>
        </w:tc>
        <w:tc>
          <w:tcPr>
            <w:tcW w:w="8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5"/>
              </w:rPr>
              <w:t>Daily</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0"/>
              </w:rPr>
              <w:t>Ongoing</w:t>
            </w:r>
          </w:p>
        </w:tc>
        <w:tc>
          <w:tcPr>
            <w:tcW w:w="12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4"/>
              </w:rPr>
              <w:t>Standard</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Charge</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rPr>
              <w:t>end users</w:t>
            </w:r>
          </w:p>
        </w:tc>
        <w:tc>
          <w:tcPr>
            <w:tcW w:w="8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3"/>
              </w:rPr>
              <w:t>DWR</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volumes*</w:t>
            </w:r>
          </w:p>
        </w:tc>
        <w:tc>
          <w:tcPr>
            <w:tcW w:w="29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1"/>
              </w:rPr>
              <w:t>Form/File</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(TBD)</w:t>
            </w:r>
          </w:p>
        </w:tc>
        <w:tc>
          <w:tcPr>
            <w:tcW w:w="0" w:type="dxa"/>
            <w:vAlign w:val="bottom"/>
          </w:tcPr>
          <w:p>
            <w:pPr>
              <w:spacing w:after="0"/>
              <w:rPr>
                <w:sz w:val="1"/>
                <w:szCs w:val="1"/>
                <w:color w:val="auto"/>
              </w:rPr>
            </w:pPr>
          </w:p>
        </w:tc>
      </w:tr>
    </w:tbl>
    <w:p>
      <w:pPr>
        <w:sectPr>
          <w:pgSz w:w="11900" w:h="16898" w:orient="portrait"/>
          <w:cols w:equalWidth="0" w:num="1">
            <w:col w:w="11080"/>
          </w:cols>
          <w:pgMar w:left="220" w:top="681" w:right="599" w:bottom="0" w:gutter="0" w:footer="0" w:header="0"/>
        </w:sectPr>
      </w:pPr>
    </w:p>
    <w:bookmarkStart w:id="98" w:name="page99"/>
    <w:bookmarkEnd w:id="98"/>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1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DWR Power</w:t>
            </w:r>
          </w:p>
        </w:tc>
        <w:tc>
          <w:tcPr>
            <w:tcW w:w="29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Daily dollar amount of DWR Power</w:t>
            </w:r>
          </w:p>
        </w:tc>
        <w:tc>
          <w:tcPr>
            <w:tcW w:w="860" w:type="dxa"/>
            <w:vAlign w:val="bottom"/>
            <w:tcBorders>
              <w:right w:val="single" w:sz="8" w:color="auto"/>
            </w:tcBorders>
          </w:tcPr>
          <w:p>
            <w:pPr>
              <w:ind w:left="240"/>
              <w:spacing w:after="0"/>
              <w:rPr>
                <w:sz w:val="20"/>
                <w:szCs w:val="20"/>
                <w:color w:val="auto"/>
              </w:rPr>
            </w:pPr>
            <w:r>
              <w:rPr>
                <w:rFonts w:ascii="Arial" w:cs="Arial" w:eastAsia="Arial" w:hAnsi="Arial"/>
                <w:sz w:val="17"/>
                <w:szCs w:val="17"/>
                <w:color w:val="auto"/>
              </w:rPr>
              <w:t>Daily</w:t>
            </w:r>
          </w:p>
        </w:tc>
        <w:tc>
          <w:tcPr>
            <w:tcW w:w="960" w:type="dxa"/>
            <w:vAlign w:val="bottom"/>
            <w:tcBorders>
              <w:right w:val="single" w:sz="8" w:color="auto"/>
            </w:tcBorders>
          </w:tcPr>
          <w:p>
            <w:pPr>
              <w:ind w:left="180"/>
              <w:spacing w:after="0"/>
              <w:rPr>
                <w:sz w:val="20"/>
                <w:szCs w:val="20"/>
                <w:color w:val="auto"/>
              </w:rPr>
            </w:pPr>
            <w:r>
              <w:rPr>
                <w:rFonts w:ascii="Arial" w:cs="Arial" w:eastAsia="Arial" w:hAnsi="Arial"/>
                <w:sz w:val="17"/>
                <w:szCs w:val="17"/>
                <w:color w:val="auto"/>
              </w:rPr>
              <w:t>Ongoing</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4"/>
              </w:rPr>
              <w:t>Standard</w:t>
            </w: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Charge billed to</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rPr>
              <w:t>Charge being billed to customer</w:t>
            </w:r>
          </w:p>
        </w:tc>
        <w:tc>
          <w:tcPr>
            <w:tcW w:w="8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3"/>
              </w:rPr>
              <w:t>DWR</w:t>
            </w: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Customer*</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w w:val="99"/>
              </w:rPr>
              <w:t>including identification of dates billed.</w:t>
            </w:r>
          </w:p>
        </w:tc>
        <w:tc>
          <w:tcPr>
            <w:tcW w:w="8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1"/>
              </w:rPr>
              <w:t>Form/File</w:t>
            </w:r>
          </w:p>
        </w:tc>
      </w:tr>
      <w:tr>
        <w:trPr>
          <w:trHeight w:val="203"/>
        </w:trPr>
        <w:tc>
          <w:tcPr>
            <w:tcW w:w="136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(TBD)</w:t>
            </w:r>
          </w:p>
        </w:tc>
      </w:tr>
      <w:tr>
        <w:trPr>
          <w:trHeight w:val="160"/>
        </w:trPr>
        <w:tc>
          <w:tcPr>
            <w:tcW w:w="136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DWR Power</w:t>
            </w:r>
          </w:p>
        </w:tc>
        <w:tc>
          <w:tcPr>
            <w:tcW w:w="290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7"/>
                <w:szCs w:val="17"/>
                <w:color w:val="auto"/>
                <w:w w:val="99"/>
              </w:rPr>
              <w:t>Daily dollar amount being remitted by</w:t>
            </w:r>
          </w:p>
        </w:tc>
        <w:tc>
          <w:tcPr>
            <w:tcW w:w="860" w:type="dxa"/>
            <w:vAlign w:val="bottom"/>
            <w:tcBorders>
              <w:right w:val="single" w:sz="8" w:color="auto"/>
            </w:tcBorders>
          </w:tcPr>
          <w:p>
            <w:pPr>
              <w:ind w:left="240"/>
              <w:spacing w:after="0" w:line="160" w:lineRule="exact"/>
              <w:rPr>
                <w:sz w:val="20"/>
                <w:szCs w:val="20"/>
                <w:color w:val="auto"/>
              </w:rPr>
            </w:pPr>
            <w:r>
              <w:rPr>
                <w:rFonts w:ascii="Arial" w:cs="Arial" w:eastAsia="Arial" w:hAnsi="Arial"/>
                <w:sz w:val="17"/>
                <w:szCs w:val="17"/>
                <w:color w:val="auto"/>
              </w:rPr>
              <w:t>Daily</w:t>
            </w:r>
          </w:p>
        </w:tc>
        <w:tc>
          <w:tcPr>
            <w:tcW w:w="960" w:type="dxa"/>
            <w:vAlign w:val="bottom"/>
            <w:tcBorders>
              <w:right w:val="single" w:sz="8" w:color="auto"/>
            </w:tcBorders>
          </w:tcPr>
          <w:p>
            <w:pPr>
              <w:ind w:left="180"/>
              <w:spacing w:after="0" w:line="160" w:lineRule="exact"/>
              <w:rPr>
                <w:sz w:val="20"/>
                <w:szCs w:val="20"/>
                <w:color w:val="auto"/>
              </w:rPr>
            </w:pPr>
            <w:r>
              <w:rPr>
                <w:rFonts w:ascii="Arial" w:cs="Arial" w:eastAsia="Arial" w:hAnsi="Arial"/>
                <w:sz w:val="17"/>
                <w:szCs w:val="17"/>
                <w:color w:val="auto"/>
              </w:rPr>
              <w:t>Ongoing</w:t>
            </w:r>
          </w:p>
        </w:tc>
        <w:tc>
          <w:tcPr>
            <w:tcW w:w="12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4"/>
              </w:rPr>
              <w:t>Standard</w:t>
            </w: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w w:val="93"/>
              </w:rPr>
              <w:t>Charge Remitted</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rPr>
              <w:t>Utility to DWR for the DWR Power</w:t>
            </w:r>
          </w:p>
        </w:tc>
        <w:tc>
          <w:tcPr>
            <w:tcW w:w="8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3"/>
              </w:rPr>
              <w:t>DWR</w:t>
            </w: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to DWR*</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rPr>
              <w:t>Charge collected from customers</w:t>
            </w:r>
          </w:p>
        </w:tc>
        <w:tc>
          <w:tcPr>
            <w:tcW w:w="8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1"/>
              </w:rPr>
              <w:t>Form/File</w:t>
            </w:r>
          </w:p>
        </w:tc>
      </w:tr>
      <w:tr>
        <w:trPr>
          <w:trHeight w:val="203"/>
        </w:trPr>
        <w:tc>
          <w:tcPr>
            <w:tcW w:w="136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w w:val="99"/>
              </w:rPr>
              <w:t>including identification of dates billed.</w:t>
            </w:r>
          </w:p>
        </w:tc>
        <w:tc>
          <w:tcPr>
            <w:tcW w:w="8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(TBD)</w:t>
            </w:r>
          </w:p>
        </w:tc>
      </w:tr>
    </w:tbl>
    <w:p>
      <w:pPr>
        <w:spacing w:after="0" w:line="335"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*This information is already provided pursuant to the Servicing Arrangement, and supports the daily remittance calculation for each month and subsequent true-ups. The Servicing Arrangement will be modified as necessary to conform to the Operating Order.</w:t>
      </w:r>
    </w:p>
    <w:p>
      <w:pPr>
        <w:spacing w:after="0" w:line="138"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As various Commission proceedings are finalized DWR will also require specific data related to Bond Charge remittances and to Direct Access exit fees. The specific nature and format of this data will be agreed with between the utilities and DWR.</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outlines DWR data requirements relating to resource information:</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138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4"/>
                <w:szCs w:val="14"/>
                <w:color w:val="auto"/>
                <w:w w:val="92"/>
              </w:rPr>
              <w:t>Resource Information</w:t>
            </w:r>
          </w:p>
        </w:tc>
        <w:tc>
          <w:tcPr>
            <w:tcW w:w="2860" w:type="dxa"/>
            <w:vAlign w:val="bottom"/>
            <w:tcBorders>
              <w:top w:val="single" w:sz="8" w:color="auto"/>
              <w:righ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380" w:type="dxa"/>
            <w:vAlign w:val="bottom"/>
            <w:tcBorders>
              <w:left w:val="single" w:sz="8" w:color="auto"/>
              <w:bottom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380" w:type="dxa"/>
            <w:vAlign w:val="bottom"/>
            <w:vMerge w:val="restart"/>
          </w:tcPr>
          <w:p>
            <w:pPr>
              <w:ind w:left="200"/>
              <w:spacing w:after="0"/>
              <w:rPr>
                <w:sz w:val="20"/>
                <w:szCs w:val="20"/>
                <w:color w:val="auto"/>
              </w:rPr>
            </w:pPr>
            <w:r>
              <w:rPr>
                <w:rFonts w:ascii="Arial" w:cs="Arial" w:eastAsia="Arial" w:hAnsi="Arial"/>
                <w:sz w:val="17"/>
                <w:szCs w:val="17"/>
                <w:b w:val="1"/>
                <w:bCs w:val="1"/>
                <w:color w:val="auto"/>
              </w:rPr>
              <w:t>Requirement</w:t>
            </w:r>
          </w:p>
        </w:tc>
        <w:tc>
          <w:tcPr>
            <w:tcW w:w="2860" w:type="dxa"/>
            <w:vAlign w:val="bottom"/>
            <w:vMerge w:val="restart"/>
          </w:tcPr>
          <w:p>
            <w:pPr>
              <w:ind w:left="980"/>
              <w:spacing w:after="0"/>
              <w:rPr>
                <w:sz w:val="20"/>
                <w:szCs w:val="20"/>
                <w:color w:val="auto"/>
              </w:rPr>
            </w:pPr>
            <w:r>
              <w:rPr>
                <w:rFonts w:ascii="Arial" w:cs="Arial" w:eastAsia="Arial" w:hAnsi="Arial"/>
                <w:sz w:val="17"/>
                <w:szCs w:val="17"/>
                <w:b w:val="1"/>
                <w:bCs w:val="1"/>
                <w:color w:val="auto"/>
              </w:rPr>
              <w:t>Description</w:t>
            </w:r>
          </w:p>
        </w:tc>
        <w:tc>
          <w:tcPr>
            <w:tcW w:w="9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86"/>
              </w:rPr>
              <w:t>Freq</w:t>
            </w:r>
          </w:p>
        </w:tc>
        <w:tc>
          <w:tcPr>
            <w:tcW w:w="9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0"/>
              </w:rPr>
              <w:t>Effective</w:t>
            </w:r>
          </w:p>
        </w:tc>
        <w:tc>
          <w:tcPr>
            <w:tcW w:w="9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rPr>
              <w:t>Delivery</w:t>
            </w:r>
          </w:p>
        </w:tc>
        <w:tc>
          <w:tcPr>
            <w:tcW w:w="0" w:type="dxa"/>
            <w:vAlign w:val="bottom"/>
          </w:tcPr>
          <w:p>
            <w:pPr>
              <w:spacing w:after="0"/>
              <w:rPr>
                <w:sz w:val="1"/>
                <w:szCs w:val="1"/>
                <w:color w:val="auto"/>
              </w:rPr>
            </w:pPr>
          </w:p>
        </w:tc>
      </w:tr>
      <w:tr>
        <w:trPr>
          <w:trHeight w:val="120"/>
        </w:trPr>
        <w:tc>
          <w:tcPr>
            <w:tcW w:w="1380" w:type="dxa"/>
            <w:vAlign w:val="bottom"/>
            <w:vMerge w:val="continue"/>
          </w:tcPr>
          <w:p>
            <w:pPr>
              <w:spacing w:after="0"/>
              <w:rPr>
                <w:sz w:val="10"/>
                <w:szCs w:val="10"/>
                <w:color w:val="auto"/>
              </w:rPr>
            </w:pPr>
          </w:p>
        </w:tc>
        <w:tc>
          <w:tcPr>
            <w:tcW w:w="28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89"/>
              </w:rPr>
              <w:t>Method</w:t>
            </w:r>
          </w:p>
        </w:tc>
        <w:tc>
          <w:tcPr>
            <w:tcW w:w="0" w:type="dxa"/>
            <w:vAlign w:val="bottom"/>
          </w:tcPr>
          <w:p>
            <w:pPr>
              <w:spacing w:after="0"/>
              <w:rPr>
                <w:sz w:val="1"/>
                <w:szCs w:val="1"/>
                <w:color w:val="auto"/>
              </w:rPr>
            </w:pPr>
          </w:p>
        </w:tc>
      </w:tr>
      <w:tr>
        <w:trPr>
          <w:trHeight w:val="86"/>
        </w:trPr>
        <w:tc>
          <w:tcPr>
            <w:tcW w:w="1380" w:type="dxa"/>
            <w:vAlign w:val="bottom"/>
            <w:tcBorders>
              <w:bottom w:val="single" w:sz="8" w:color="auto"/>
            </w:tcBorders>
          </w:tcPr>
          <w:p>
            <w:pPr>
              <w:spacing w:after="0"/>
              <w:rPr>
                <w:sz w:val="7"/>
                <w:szCs w:val="7"/>
                <w:color w:val="auto"/>
              </w:rPr>
            </w:pPr>
          </w:p>
        </w:tc>
        <w:tc>
          <w:tcPr>
            <w:tcW w:w="28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380" w:type="dxa"/>
            <w:vAlign w:val="bottom"/>
          </w:tcPr>
          <w:p>
            <w:pPr>
              <w:ind w:left="120"/>
              <w:spacing w:after="0" w:line="160" w:lineRule="exact"/>
              <w:rPr>
                <w:sz w:val="20"/>
                <w:szCs w:val="20"/>
                <w:color w:val="auto"/>
              </w:rPr>
            </w:pPr>
            <w:r>
              <w:rPr>
                <w:rFonts w:ascii="Arial" w:cs="Arial" w:eastAsia="Arial" w:hAnsi="Arial"/>
                <w:sz w:val="17"/>
                <w:szCs w:val="17"/>
                <w:color w:val="auto"/>
              </w:rPr>
              <w:t>Load and</w:t>
            </w:r>
          </w:p>
        </w:tc>
        <w:tc>
          <w:tcPr>
            <w:tcW w:w="2860" w:type="dxa"/>
            <w:vAlign w:val="bottom"/>
          </w:tcPr>
          <w:p>
            <w:pPr>
              <w:ind w:left="60"/>
              <w:spacing w:after="0" w:line="160" w:lineRule="exact"/>
              <w:rPr>
                <w:sz w:val="20"/>
                <w:szCs w:val="20"/>
                <w:color w:val="auto"/>
              </w:rPr>
            </w:pPr>
            <w:r>
              <w:rPr>
                <w:rFonts w:ascii="Arial" w:cs="Arial" w:eastAsia="Arial" w:hAnsi="Arial"/>
                <w:sz w:val="17"/>
                <w:szCs w:val="17"/>
                <w:color w:val="auto"/>
                <w:w w:val="99"/>
              </w:rPr>
              <w:t>Copies of Utilities annual and quarter</w:t>
            </w:r>
          </w:p>
        </w:tc>
        <w:tc>
          <w:tcPr>
            <w:tcW w:w="920" w:type="dxa"/>
            <w:vAlign w:val="bottom"/>
          </w:tcPr>
          <w:p>
            <w:pPr>
              <w:jc w:val="center"/>
              <w:spacing w:after="0" w:line="160" w:lineRule="exact"/>
              <w:rPr>
                <w:sz w:val="20"/>
                <w:szCs w:val="20"/>
                <w:color w:val="auto"/>
              </w:rPr>
            </w:pPr>
            <w:r>
              <w:rPr>
                <w:rFonts w:ascii="Arial" w:cs="Arial" w:eastAsia="Arial" w:hAnsi="Arial"/>
                <w:sz w:val="17"/>
                <w:szCs w:val="17"/>
                <w:color w:val="auto"/>
                <w:w w:val="91"/>
              </w:rPr>
              <w:t>Annually</w:t>
            </w:r>
          </w:p>
        </w:tc>
        <w:tc>
          <w:tcPr>
            <w:tcW w:w="940" w:type="dxa"/>
            <w:vAlign w:val="bottom"/>
          </w:tcPr>
          <w:p>
            <w:pPr>
              <w:jc w:val="center"/>
              <w:spacing w:after="0" w:line="160" w:lineRule="exact"/>
              <w:rPr>
                <w:sz w:val="20"/>
                <w:szCs w:val="20"/>
                <w:color w:val="auto"/>
              </w:rPr>
            </w:pPr>
            <w:r>
              <w:rPr>
                <w:rFonts w:ascii="Arial" w:cs="Arial" w:eastAsia="Arial" w:hAnsi="Arial"/>
                <w:sz w:val="17"/>
                <w:szCs w:val="17"/>
                <w:color w:val="auto"/>
                <w:w w:val="84"/>
              </w:rPr>
              <w:t>Jan-03</w:t>
            </w:r>
          </w:p>
        </w:tc>
        <w:tc>
          <w:tcPr>
            <w:tcW w:w="980" w:type="dxa"/>
            <w:vAlign w:val="bottom"/>
          </w:tcPr>
          <w:p>
            <w:pPr>
              <w:jc w:val="center"/>
              <w:spacing w:after="0" w:line="160" w:lineRule="exact"/>
              <w:rPr>
                <w:sz w:val="20"/>
                <w:szCs w:val="20"/>
                <w:color w:val="auto"/>
              </w:rPr>
            </w:pPr>
            <w:r>
              <w:rPr>
                <w:rFonts w:ascii="Arial" w:cs="Arial" w:eastAsia="Arial" w:hAnsi="Arial"/>
                <w:sz w:val="17"/>
                <w:szCs w:val="17"/>
                <w:color w:val="auto"/>
                <w:w w:val="99"/>
              </w:rPr>
              <w:t>TBD</w:t>
            </w:r>
          </w:p>
        </w:tc>
        <w:tc>
          <w:tcPr>
            <w:tcW w:w="0" w:type="dxa"/>
            <w:vAlign w:val="bottom"/>
          </w:tcPr>
          <w:p>
            <w:pPr>
              <w:spacing w:after="0"/>
              <w:rPr>
                <w:sz w:val="1"/>
                <w:szCs w:val="1"/>
                <w:color w:val="auto"/>
              </w:rPr>
            </w:pPr>
          </w:p>
        </w:tc>
      </w:tr>
      <w:tr>
        <w:trPr>
          <w:trHeight w:val="186"/>
        </w:trPr>
        <w:tc>
          <w:tcPr>
            <w:tcW w:w="1380" w:type="dxa"/>
            <w:vAlign w:val="bottom"/>
          </w:tcPr>
          <w:p>
            <w:pPr>
              <w:ind w:left="120"/>
              <w:spacing w:after="0" w:line="186" w:lineRule="exact"/>
              <w:rPr>
                <w:sz w:val="20"/>
                <w:szCs w:val="20"/>
                <w:color w:val="auto"/>
              </w:rPr>
            </w:pPr>
            <w:r>
              <w:rPr>
                <w:rFonts w:ascii="Arial" w:cs="Arial" w:eastAsia="Arial" w:hAnsi="Arial"/>
                <w:sz w:val="17"/>
                <w:szCs w:val="17"/>
                <w:color w:val="auto"/>
              </w:rPr>
              <w:t>Resource</w:t>
            </w:r>
          </w:p>
        </w:tc>
        <w:tc>
          <w:tcPr>
            <w:tcW w:w="2860" w:type="dxa"/>
            <w:vAlign w:val="bottom"/>
          </w:tcPr>
          <w:p>
            <w:pPr>
              <w:ind w:left="60"/>
              <w:spacing w:after="0" w:line="186" w:lineRule="exact"/>
              <w:rPr>
                <w:sz w:val="20"/>
                <w:szCs w:val="20"/>
                <w:color w:val="auto"/>
              </w:rPr>
            </w:pPr>
            <w:r>
              <w:rPr>
                <w:rFonts w:ascii="Arial" w:cs="Arial" w:eastAsia="Arial" w:hAnsi="Arial"/>
                <w:sz w:val="17"/>
                <w:szCs w:val="17"/>
                <w:color w:val="auto"/>
                <w:w w:val="88"/>
              </w:rPr>
              <w:t>load and resource assessment studies as</w:t>
            </w:r>
          </w:p>
        </w:tc>
        <w:tc>
          <w:tcPr>
            <w:tcW w:w="920" w:type="dxa"/>
            <w:vAlign w:val="bottom"/>
          </w:tcPr>
          <w:p>
            <w:pPr>
              <w:jc w:val="center"/>
              <w:spacing w:after="0" w:line="186" w:lineRule="exact"/>
              <w:rPr>
                <w:sz w:val="20"/>
                <w:szCs w:val="20"/>
                <w:color w:val="auto"/>
              </w:rPr>
            </w:pPr>
            <w:r>
              <w:rPr>
                <w:rFonts w:ascii="Arial" w:cs="Arial" w:eastAsia="Arial" w:hAnsi="Arial"/>
                <w:sz w:val="17"/>
                <w:szCs w:val="17"/>
                <w:color w:val="auto"/>
                <w:w w:val="84"/>
              </w:rPr>
              <w:t>and</w:t>
            </w: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80" w:type="dxa"/>
            <w:vAlign w:val="bottom"/>
          </w:tcPr>
          <w:p>
            <w:pPr>
              <w:ind w:left="120"/>
              <w:spacing w:after="0" w:line="186" w:lineRule="exact"/>
              <w:rPr>
                <w:sz w:val="20"/>
                <w:szCs w:val="20"/>
                <w:color w:val="auto"/>
              </w:rPr>
            </w:pPr>
            <w:r>
              <w:rPr>
                <w:rFonts w:ascii="Arial" w:cs="Arial" w:eastAsia="Arial" w:hAnsi="Arial"/>
                <w:sz w:val="17"/>
                <w:szCs w:val="17"/>
                <w:color w:val="auto"/>
              </w:rPr>
              <w:t>Assessment</w:t>
            </w:r>
          </w:p>
        </w:tc>
        <w:tc>
          <w:tcPr>
            <w:tcW w:w="2860" w:type="dxa"/>
            <w:vAlign w:val="bottom"/>
          </w:tcPr>
          <w:p>
            <w:pPr>
              <w:ind w:left="60"/>
              <w:spacing w:after="0" w:line="186" w:lineRule="exact"/>
              <w:rPr>
                <w:sz w:val="20"/>
                <w:szCs w:val="20"/>
                <w:color w:val="auto"/>
              </w:rPr>
            </w:pPr>
            <w:r>
              <w:rPr>
                <w:rFonts w:ascii="Arial" w:cs="Arial" w:eastAsia="Arial" w:hAnsi="Arial"/>
                <w:sz w:val="17"/>
                <w:szCs w:val="17"/>
                <w:color w:val="auto"/>
              </w:rPr>
              <w:t>provided to the PUC.</w:t>
            </w:r>
          </w:p>
        </w:tc>
        <w:tc>
          <w:tcPr>
            <w:tcW w:w="920" w:type="dxa"/>
            <w:vAlign w:val="bottom"/>
          </w:tcPr>
          <w:p>
            <w:pPr>
              <w:jc w:val="center"/>
              <w:spacing w:after="0" w:line="186" w:lineRule="exact"/>
              <w:rPr>
                <w:sz w:val="20"/>
                <w:szCs w:val="20"/>
                <w:color w:val="auto"/>
              </w:rPr>
            </w:pPr>
            <w:r>
              <w:rPr>
                <w:rFonts w:ascii="Arial" w:cs="Arial" w:eastAsia="Arial" w:hAnsi="Arial"/>
                <w:sz w:val="17"/>
                <w:szCs w:val="17"/>
                <w:color w:val="auto"/>
                <w:w w:val="90"/>
              </w:rPr>
              <w:t>quarterly</w:t>
            </w: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380" w:type="dxa"/>
            <w:vAlign w:val="bottom"/>
          </w:tcPr>
          <w:p>
            <w:pPr>
              <w:ind w:left="120"/>
              <w:spacing w:after="0"/>
              <w:rPr>
                <w:sz w:val="20"/>
                <w:szCs w:val="20"/>
                <w:color w:val="auto"/>
              </w:rPr>
            </w:pPr>
            <w:r>
              <w:rPr>
                <w:rFonts w:ascii="Arial" w:cs="Arial" w:eastAsia="Arial" w:hAnsi="Arial"/>
                <w:sz w:val="17"/>
                <w:szCs w:val="17"/>
                <w:color w:val="auto"/>
              </w:rPr>
              <w:t>Studies</w:t>
            </w:r>
          </w:p>
        </w:tc>
        <w:tc>
          <w:tcPr>
            <w:tcW w:w="2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13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380" w:type="dxa"/>
            <w:vAlign w:val="bottom"/>
          </w:tcPr>
          <w:p>
            <w:pPr>
              <w:ind w:left="120"/>
              <w:spacing w:after="0" w:line="160" w:lineRule="exact"/>
              <w:rPr>
                <w:sz w:val="20"/>
                <w:szCs w:val="20"/>
                <w:color w:val="auto"/>
              </w:rPr>
            </w:pPr>
            <w:r>
              <w:rPr>
                <w:rFonts w:ascii="Arial" w:cs="Arial" w:eastAsia="Arial" w:hAnsi="Arial"/>
                <w:sz w:val="17"/>
                <w:szCs w:val="17"/>
                <w:color w:val="auto"/>
              </w:rPr>
              <w:t>Update</w:t>
            </w:r>
          </w:p>
        </w:tc>
        <w:tc>
          <w:tcPr>
            <w:tcW w:w="2860" w:type="dxa"/>
            <w:vAlign w:val="bottom"/>
          </w:tcPr>
          <w:p>
            <w:pPr>
              <w:ind w:left="60"/>
              <w:spacing w:after="0" w:line="160" w:lineRule="exact"/>
              <w:rPr>
                <w:sz w:val="20"/>
                <w:szCs w:val="20"/>
                <w:color w:val="auto"/>
              </w:rPr>
            </w:pPr>
            <w:r>
              <w:rPr>
                <w:rFonts w:ascii="Arial" w:cs="Arial" w:eastAsia="Arial" w:hAnsi="Arial"/>
                <w:sz w:val="17"/>
                <w:szCs w:val="17"/>
                <w:color w:val="auto"/>
                <w:w w:val="92"/>
              </w:rPr>
              <w:t>Updated description of resources as set</w:t>
            </w:r>
          </w:p>
        </w:tc>
        <w:tc>
          <w:tcPr>
            <w:tcW w:w="920" w:type="dxa"/>
            <w:vAlign w:val="bottom"/>
          </w:tcPr>
          <w:p>
            <w:pPr>
              <w:jc w:val="center"/>
              <w:spacing w:after="0" w:line="160" w:lineRule="exact"/>
              <w:rPr>
                <w:sz w:val="20"/>
                <w:szCs w:val="20"/>
                <w:color w:val="auto"/>
              </w:rPr>
            </w:pPr>
            <w:r>
              <w:rPr>
                <w:rFonts w:ascii="Arial" w:cs="Arial" w:eastAsia="Arial" w:hAnsi="Arial"/>
                <w:sz w:val="17"/>
                <w:szCs w:val="17"/>
                <w:color w:val="auto"/>
                <w:w w:val="91"/>
              </w:rPr>
              <w:t>Annually</w:t>
            </w:r>
          </w:p>
        </w:tc>
        <w:tc>
          <w:tcPr>
            <w:tcW w:w="940" w:type="dxa"/>
            <w:vAlign w:val="bottom"/>
          </w:tcPr>
          <w:p>
            <w:pPr>
              <w:jc w:val="center"/>
              <w:spacing w:after="0" w:line="160" w:lineRule="exact"/>
              <w:rPr>
                <w:sz w:val="20"/>
                <w:szCs w:val="20"/>
                <w:color w:val="auto"/>
              </w:rPr>
            </w:pPr>
            <w:r>
              <w:rPr>
                <w:rFonts w:ascii="Arial" w:cs="Arial" w:eastAsia="Arial" w:hAnsi="Arial"/>
                <w:sz w:val="17"/>
                <w:szCs w:val="17"/>
                <w:color w:val="auto"/>
                <w:w w:val="85"/>
              </w:rPr>
              <w:t>Jan 1, 04</w:t>
            </w:r>
          </w:p>
        </w:tc>
        <w:tc>
          <w:tcPr>
            <w:tcW w:w="980" w:type="dxa"/>
            <w:vAlign w:val="bottom"/>
          </w:tcPr>
          <w:p>
            <w:pPr>
              <w:jc w:val="center"/>
              <w:spacing w:after="0" w:line="160" w:lineRule="exact"/>
              <w:rPr>
                <w:sz w:val="20"/>
                <w:szCs w:val="20"/>
                <w:color w:val="auto"/>
              </w:rPr>
            </w:pPr>
            <w:r>
              <w:rPr>
                <w:rFonts w:ascii="Arial" w:cs="Arial" w:eastAsia="Arial" w:hAnsi="Arial"/>
                <w:sz w:val="17"/>
                <w:szCs w:val="17"/>
                <w:color w:val="auto"/>
                <w:w w:val="99"/>
              </w:rPr>
              <w:t>TBD</w:t>
            </w:r>
          </w:p>
        </w:tc>
        <w:tc>
          <w:tcPr>
            <w:tcW w:w="0" w:type="dxa"/>
            <w:vAlign w:val="bottom"/>
          </w:tcPr>
          <w:p>
            <w:pPr>
              <w:spacing w:after="0"/>
              <w:rPr>
                <w:sz w:val="1"/>
                <w:szCs w:val="1"/>
                <w:color w:val="auto"/>
              </w:rPr>
            </w:pPr>
          </w:p>
        </w:tc>
      </w:tr>
      <w:tr>
        <w:trPr>
          <w:trHeight w:val="186"/>
        </w:trPr>
        <w:tc>
          <w:tcPr>
            <w:tcW w:w="1380" w:type="dxa"/>
            <w:vAlign w:val="bottom"/>
          </w:tcPr>
          <w:p>
            <w:pPr>
              <w:ind w:left="120"/>
              <w:spacing w:after="0" w:line="186" w:lineRule="exact"/>
              <w:rPr>
                <w:sz w:val="20"/>
                <w:szCs w:val="20"/>
                <w:color w:val="auto"/>
              </w:rPr>
            </w:pPr>
            <w:r>
              <w:rPr>
                <w:rFonts w:ascii="Arial" w:cs="Arial" w:eastAsia="Arial" w:hAnsi="Arial"/>
                <w:sz w:val="17"/>
                <w:szCs w:val="17"/>
                <w:color w:val="auto"/>
              </w:rPr>
              <w:t>Description of</w:t>
            </w:r>
          </w:p>
        </w:tc>
        <w:tc>
          <w:tcPr>
            <w:tcW w:w="2860" w:type="dxa"/>
            <w:vAlign w:val="bottom"/>
          </w:tcPr>
          <w:p>
            <w:pPr>
              <w:ind w:left="60"/>
              <w:spacing w:after="0" w:line="186" w:lineRule="exact"/>
              <w:rPr>
                <w:sz w:val="20"/>
                <w:szCs w:val="20"/>
                <w:color w:val="auto"/>
              </w:rPr>
            </w:pPr>
            <w:r>
              <w:rPr>
                <w:rFonts w:ascii="Arial" w:cs="Arial" w:eastAsia="Arial" w:hAnsi="Arial"/>
                <w:sz w:val="17"/>
                <w:szCs w:val="17"/>
                <w:color w:val="auto"/>
              </w:rPr>
              <w:t>out in Exhibit A. Utilities will also</w:t>
            </w:r>
          </w:p>
        </w:tc>
        <w:tc>
          <w:tcPr>
            <w:tcW w:w="920" w:type="dxa"/>
            <w:vAlign w:val="bottom"/>
          </w:tcPr>
          <w:p>
            <w:pPr>
              <w:jc w:val="center"/>
              <w:spacing w:after="0" w:line="186" w:lineRule="exact"/>
              <w:rPr>
                <w:sz w:val="20"/>
                <w:szCs w:val="20"/>
                <w:color w:val="auto"/>
              </w:rPr>
            </w:pPr>
            <w:r>
              <w:rPr>
                <w:rFonts w:ascii="Arial" w:cs="Arial" w:eastAsia="Arial" w:hAnsi="Arial"/>
                <w:sz w:val="17"/>
                <w:szCs w:val="17"/>
                <w:color w:val="auto"/>
                <w:w w:val="85"/>
              </w:rPr>
              <w:t>or when</w:t>
            </w: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80" w:type="dxa"/>
            <w:vAlign w:val="bottom"/>
          </w:tcPr>
          <w:p>
            <w:pPr>
              <w:ind w:left="120"/>
              <w:spacing w:after="0" w:line="186" w:lineRule="exact"/>
              <w:rPr>
                <w:sz w:val="20"/>
                <w:szCs w:val="20"/>
                <w:color w:val="auto"/>
              </w:rPr>
            </w:pPr>
            <w:r>
              <w:rPr>
                <w:rFonts w:ascii="Arial" w:cs="Arial" w:eastAsia="Arial" w:hAnsi="Arial"/>
                <w:sz w:val="17"/>
                <w:szCs w:val="17"/>
                <w:color w:val="auto"/>
              </w:rPr>
              <w:t>Resources</w:t>
            </w:r>
          </w:p>
        </w:tc>
        <w:tc>
          <w:tcPr>
            <w:tcW w:w="2860" w:type="dxa"/>
            <w:vAlign w:val="bottom"/>
          </w:tcPr>
          <w:p>
            <w:pPr>
              <w:ind w:left="60"/>
              <w:spacing w:after="0" w:line="186" w:lineRule="exact"/>
              <w:rPr>
                <w:sz w:val="20"/>
                <w:szCs w:val="20"/>
                <w:color w:val="auto"/>
              </w:rPr>
            </w:pPr>
            <w:r>
              <w:rPr>
                <w:rFonts w:ascii="Arial" w:cs="Arial" w:eastAsia="Arial" w:hAnsi="Arial"/>
                <w:sz w:val="17"/>
                <w:szCs w:val="17"/>
                <w:color w:val="auto"/>
              </w:rPr>
              <w:t>provide timely updates on significant</w:t>
            </w:r>
          </w:p>
        </w:tc>
        <w:tc>
          <w:tcPr>
            <w:tcW w:w="920" w:type="dxa"/>
            <w:vAlign w:val="bottom"/>
          </w:tcPr>
          <w:p>
            <w:pPr>
              <w:jc w:val="center"/>
              <w:spacing w:after="0" w:line="186" w:lineRule="exact"/>
              <w:rPr>
                <w:sz w:val="20"/>
                <w:szCs w:val="20"/>
                <w:color w:val="auto"/>
              </w:rPr>
            </w:pPr>
            <w:r>
              <w:rPr>
                <w:rFonts w:ascii="Arial" w:cs="Arial" w:eastAsia="Arial" w:hAnsi="Arial"/>
                <w:sz w:val="17"/>
                <w:szCs w:val="17"/>
                <w:color w:val="auto"/>
                <w:w w:val="89"/>
              </w:rPr>
              <w:t>significant</w:t>
            </w: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80" w:type="dxa"/>
            <w:vAlign w:val="bottom"/>
          </w:tcPr>
          <w:p>
            <w:pPr>
              <w:spacing w:after="0"/>
              <w:rPr>
                <w:sz w:val="16"/>
                <w:szCs w:val="16"/>
                <w:color w:val="auto"/>
              </w:rPr>
            </w:pPr>
          </w:p>
        </w:tc>
        <w:tc>
          <w:tcPr>
            <w:tcW w:w="2860" w:type="dxa"/>
            <w:vAlign w:val="bottom"/>
          </w:tcPr>
          <w:p>
            <w:pPr>
              <w:ind w:left="60"/>
              <w:spacing w:after="0" w:line="186" w:lineRule="exact"/>
              <w:rPr>
                <w:sz w:val="20"/>
                <w:szCs w:val="20"/>
                <w:color w:val="auto"/>
              </w:rPr>
            </w:pPr>
            <w:r>
              <w:rPr>
                <w:rFonts w:ascii="Arial" w:cs="Arial" w:eastAsia="Arial" w:hAnsi="Arial"/>
                <w:sz w:val="17"/>
                <w:szCs w:val="17"/>
                <w:color w:val="auto"/>
                <w:w w:val="93"/>
              </w:rPr>
              <w:t>resource changes as outlined in Exhibit</w:t>
            </w:r>
          </w:p>
        </w:tc>
        <w:tc>
          <w:tcPr>
            <w:tcW w:w="920" w:type="dxa"/>
            <w:vAlign w:val="bottom"/>
          </w:tcPr>
          <w:p>
            <w:pPr>
              <w:jc w:val="center"/>
              <w:spacing w:after="0" w:line="186" w:lineRule="exact"/>
              <w:rPr>
                <w:sz w:val="20"/>
                <w:szCs w:val="20"/>
                <w:color w:val="auto"/>
              </w:rPr>
            </w:pPr>
            <w:r>
              <w:rPr>
                <w:rFonts w:ascii="Arial" w:cs="Arial" w:eastAsia="Arial" w:hAnsi="Arial"/>
                <w:sz w:val="17"/>
                <w:szCs w:val="17"/>
                <w:color w:val="auto"/>
                <w:w w:val="80"/>
              </w:rPr>
              <w:t>changes</w:t>
            </w: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8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A.</w:t>
            </w:r>
          </w:p>
        </w:tc>
        <w:tc>
          <w:tcPr>
            <w:tcW w:w="9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80" w:type="dxa"/>
            <w:vAlign w:val="bottom"/>
          </w:tcPr>
          <w:p>
            <w:pPr>
              <w:ind w:left="120"/>
              <w:spacing w:after="0" w:line="160" w:lineRule="exact"/>
              <w:rPr>
                <w:sz w:val="20"/>
                <w:szCs w:val="20"/>
                <w:color w:val="auto"/>
              </w:rPr>
            </w:pPr>
            <w:r>
              <w:rPr>
                <w:rFonts w:ascii="Arial" w:cs="Arial" w:eastAsia="Arial" w:hAnsi="Arial"/>
                <w:sz w:val="17"/>
                <w:szCs w:val="17"/>
                <w:color w:val="auto"/>
              </w:rPr>
              <w:t>Unit</w:t>
            </w:r>
          </w:p>
        </w:tc>
        <w:tc>
          <w:tcPr>
            <w:tcW w:w="2860" w:type="dxa"/>
            <w:vAlign w:val="bottom"/>
          </w:tcPr>
          <w:p>
            <w:pPr>
              <w:ind w:left="80"/>
              <w:spacing w:after="0" w:line="160" w:lineRule="exact"/>
              <w:rPr>
                <w:sz w:val="20"/>
                <w:szCs w:val="20"/>
                <w:color w:val="auto"/>
              </w:rPr>
            </w:pPr>
            <w:r>
              <w:rPr>
                <w:rFonts w:ascii="Arial" w:cs="Arial" w:eastAsia="Arial" w:hAnsi="Arial"/>
                <w:sz w:val="17"/>
                <w:szCs w:val="17"/>
                <w:color w:val="auto"/>
              </w:rPr>
              <w:t>As provided to the PUC.</w:t>
            </w:r>
          </w:p>
        </w:tc>
        <w:tc>
          <w:tcPr>
            <w:tcW w:w="920" w:type="dxa"/>
            <w:vAlign w:val="bottom"/>
          </w:tcPr>
          <w:p>
            <w:pPr>
              <w:jc w:val="center"/>
              <w:spacing w:after="0" w:line="160" w:lineRule="exact"/>
              <w:rPr>
                <w:sz w:val="20"/>
                <w:szCs w:val="20"/>
                <w:color w:val="auto"/>
              </w:rPr>
            </w:pPr>
            <w:r>
              <w:rPr>
                <w:rFonts w:ascii="Arial" w:cs="Arial" w:eastAsia="Arial" w:hAnsi="Arial"/>
                <w:sz w:val="17"/>
                <w:szCs w:val="17"/>
                <w:color w:val="auto"/>
                <w:w w:val="93"/>
              </w:rPr>
              <w:t>Weekly</w:t>
            </w:r>
          </w:p>
        </w:tc>
        <w:tc>
          <w:tcPr>
            <w:tcW w:w="940" w:type="dxa"/>
            <w:vAlign w:val="bottom"/>
          </w:tcPr>
          <w:p>
            <w:pPr>
              <w:jc w:val="center"/>
              <w:spacing w:after="0" w:line="160" w:lineRule="exact"/>
              <w:rPr>
                <w:sz w:val="20"/>
                <w:szCs w:val="20"/>
                <w:color w:val="auto"/>
              </w:rPr>
            </w:pPr>
            <w:r>
              <w:rPr>
                <w:rFonts w:ascii="Arial" w:cs="Arial" w:eastAsia="Arial" w:hAnsi="Arial"/>
                <w:sz w:val="17"/>
                <w:szCs w:val="17"/>
                <w:color w:val="auto"/>
                <w:w w:val="84"/>
              </w:rPr>
              <w:t>Jan-03</w:t>
            </w:r>
          </w:p>
        </w:tc>
        <w:tc>
          <w:tcPr>
            <w:tcW w:w="980" w:type="dxa"/>
            <w:vAlign w:val="bottom"/>
          </w:tcPr>
          <w:p>
            <w:pPr>
              <w:jc w:val="center"/>
              <w:spacing w:after="0" w:line="160" w:lineRule="exact"/>
              <w:rPr>
                <w:sz w:val="20"/>
                <w:szCs w:val="20"/>
                <w:color w:val="auto"/>
              </w:rPr>
            </w:pPr>
            <w:r>
              <w:rPr>
                <w:rFonts w:ascii="Arial" w:cs="Arial" w:eastAsia="Arial" w:hAnsi="Arial"/>
                <w:sz w:val="17"/>
                <w:szCs w:val="17"/>
                <w:color w:val="auto"/>
                <w:w w:val="99"/>
              </w:rPr>
              <w:t>TBD</w:t>
            </w:r>
          </w:p>
        </w:tc>
        <w:tc>
          <w:tcPr>
            <w:tcW w:w="0" w:type="dxa"/>
            <w:vAlign w:val="bottom"/>
          </w:tcPr>
          <w:p>
            <w:pPr>
              <w:spacing w:after="0"/>
              <w:rPr>
                <w:sz w:val="1"/>
                <w:szCs w:val="1"/>
                <w:color w:val="auto"/>
              </w:rPr>
            </w:pPr>
          </w:p>
        </w:tc>
      </w:tr>
      <w:tr>
        <w:trPr>
          <w:trHeight w:val="186"/>
        </w:trPr>
        <w:tc>
          <w:tcPr>
            <w:tcW w:w="1380" w:type="dxa"/>
            <w:vAlign w:val="bottom"/>
          </w:tcPr>
          <w:p>
            <w:pPr>
              <w:ind w:left="120"/>
              <w:spacing w:after="0" w:line="186" w:lineRule="exact"/>
              <w:rPr>
                <w:sz w:val="20"/>
                <w:szCs w:val="20"/>
                <w:color w:val="auto"/>
              </w:rPr>
            </w:pPr>
            <w:r>
              <w:rPr>
                <w:rFonts w:ascii="Arial" w:cs="Arial" w:eastAsia="Arial" w:hAnsi="Arial"/>
                <w:sz w:val="17"/>
                <w:szCs w:val="17"/>
                <w:color w:val="auto"/>
              </w:rPr>
              <w:t>Commitment</w:t>
            </w:r>
          </w:p>
        </w:tc>
        <w:tc>
          <w:tcPr>
            <w:tcW w:w="2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380" w:type="dxa"/>
            <w:vAlign w:val="bottom"/>
          </w:tcPr>
          <w:p>
            <w:pPr>
              <w:ind w:left="120"/>
              <w:spacing w:after="0"/>
              <w:rPr>
                <w:sz w:val="20"/>
                <w:szCs w:val="20"/>
                <w:color w:val="auto"/>
              </w:rPr>
            </w:pPr>
            <w:r>
              <w:rPr>
                <w:rFonts w:ascii="Arial" w:cs="Arial" w:eastAsia="Arial" w:hAnsi="Arial"/>
                <w:sz w:val="17"/>
                <w:szCs w:val="17"/>
                <w:color w:val="auto"/>
              </w:rPr>
              <w:t>Studies</w:t>
            </w:r>
          </w:p>
        </w:tc>
        <w:tc>
          <w:tcPr>
            <w:tcW w:w="2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38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80" w:type="dxa"/>
            <w:vAlign w:val="bottom"/>
          </w:tcPr>
          <w:p>
            <w:pPr>
              <w:ind w:left="120"/>
              <w:spacing w:after="0" w:line="160" w:lineRule="exact"/>
              <w:rPr>
                <w:sz w:val="20"/>
                <w:szCs w:val="20"/>
                <w:color w:val="auto"/>
              </w:rPr>
            </w:pPr>
            <w:r>
              <w:rPr>
                <w:rFonts w:ascii="Arial" w:cs="Arial" w:eastAsia="Arial" w:hAnsi="Arial"/>
                <w:sz w:val="17"/>
                <w:szCs w:val="17"/>
                <w:color w:val="auto"/>
              </w:rPr>
              <w:t>DWR Non-</w:t>
            </w:r>
          </w:p>
        </w:tc>
        <w:tc>
          <w:tcPr>
            <w:tcW w:w="2860" w:type="dxa"/>
            <w:vAlign w:val="bottom"/>
          </w:tcPr>
          <w:p>
            <w:pPr>
              <w:ind w:left="60"/>
              <w:spacing w:after="0" w:line="160" w:lineRule="exact"/>
              <w:rPr>
                <w:sz w:val="20"/>
                <w:szCs w:val="20"/>
                <w:color w:val="auto"/>
              </w:rPr>
            </w:pPr>
            <w:r>
              <w:rPr>
                <w:rFonts w:ascii="Arial" w:cs="Arial" w:eastAsia="Arial" w:hAnsi="Arial"/>
                <w:sz w:val="17"/>
                <w:szCs w:val="17"/>
                <w:color w:val="auto"/>
              </w:rPr>
              <w:t>Report of Resources that were</w:t>
            </w:r>
          </w:p>
        </w:tc>
        <w:tc>
          <w:tcPr>
            <w:tcW w:w="920" w:type="dxa"/>
            <w:vAlign w:val="bottom"/>
          </w:tcPr>
          <w:p>
            <w:pPr>
              <w:jc w:val="center"/>
              <w:spacing w:after="0" w:line="160" w:lineRule="exact"/>
              <w:rPr>
                <w:sz w:val="20"/>
                <w:szCs w:val="20"/>
                <w:color w:val="auto"/>
              </w:rPr>
            </w:pPr>
            <w:r>
              <w:rPr>
                <w:rFonts w:ascii="Arial" w:cs="Arial" w:eastAsia="Arial" w:hAnsi="Arial"/>
                <w:sz w:val="17"/>
                <w:szCs w:val="17"/>
                <w:color w:val="auto"/>
                <w:w w:val="93"/>
              </w:rPr>
              <w:t>Weekly</w:t>
            </w:r>
          </w:p>
        </w:tc>
        <w:tc>
          <w:tcPr>
            <w:tcW w:w="940" w:type="dxa"/>
            <w:vAlign w:val="bottom"/>
          </w:tcPr>
          <w:p>
            <w:pPr>
              <w:jc w:val="right"/>
              <w:ind w:right="178"/>
              <w:spacing w:after="0" w:line="160" w:lineRule="exact"/>
              <w:rPr>
                <w:sz w:val="20"/>
                <w:szCs w:val="20"/>
                <w:color w:val="auto"/>
              </w:rPr>
            </w:pPr>
            <w:r>
              <w:rPr>
                <w:rFonts w:ascii="Arial" w:cs="Arial" w:eastAsia="Arial" w:hAnsi="Arial"/>
                <w:sz w:val="17"/>
                <w:szCs w:val="17"/>
                <w:color w:val="auto"/>
              </w:rPr>
              <w:t>1/1/03</w:t>
            </w:r>
          </w:p>
        </w:tc>
        <w:tc>
          <w:tcPr>
            <w:tcW w:w="980" w:type="dxa"/>
            <w:vAlign w:val="bottom"/>
          </w:tcPr>
          <w:p>
            <w:pPr>
              <w:jc w:val="center"/>
              <w:spacing w:after="0" w:line="160" w:lineRule="exact"/>
              <w:rPr>
                <w:sz w:val="20"/>
                <w:szCs w:val="20"/>
                <w:color w:val="auto"/>
              </w:rPr>
            </w:pPr>
            <w:r>
              <w:rPr>
                <w:rFonts w:ascii="Arial" w:cs="Arial" w:eastAsia="Arial" w:hAnsi="Arial"/>
                <w:sz w:val="17"/>
                <w:szCs w:val="17"/>
                <w:color w:val="auto"/>
                <w:w w:val="99"/>
              </w:rPr>
              <w:t>TBD</w:t>
            </w:r>
          </w:p>
        </w:tc>
        <w:tc>
          <w:tcPr>
            <w:tcW w:w="0" w:type="dxa"/>
            <w:vAlign w:val="bottom"/>
          </w:tcPr>
          <w:p>
            <w:pPr>
              <w:spacing w:after="0"/>
              <w:rPr>
                <w:sz w:val="1"/>
                <w:szCs w:val="1"/>
                <w:color w:val="auto"/>
              </w:rPr>
            </w:pPr>
          </w:p>
        </w:tc>
      </w:tr>
      <w:tr>
        <w:trPr>
          <w:trHeight w:val="186"/>
        </w:trPr>
        <w:tc>
          <w:tcPr>
            <w:tcW w:w="1380" w:type="dxa"/>
            <w:vAlign w:val="bottom"/>
          </w:tcPr>
          <w:p>
            <w:pPr>
              <w:ind w:left="120"/>
              <w:spacing w:after="0" w:line="186" w:lineRule="exact"/>
              <w:rPr>
                <w:sz w:val="20"/>
                <w:szCs w:val="20"/>
                <w:color w:val="auto"/>
              </w:rPr>
            </w:pPr>
            <w:r>
              <w:rPr>
                <w:rFonts w:ascii="Arial" w:cs="Arial" w:eastAsia="Arial" w:hAnsi="Arial"/>
                <w:sz w:val="17"/>
                <w:szCs w:val="17"/>
                <w:color w:val="auto"/>
              </w:rPr>
              <w:t>Dispatched</w:t>
            </w:r>
          </w:p>
        </w:tc>
        <w:tc>
          <w:tcPr>
            <w:tcW w:w="2860" w:type="dxa"/>
            <w:vAlign w:val="bottom"/>
          </w:tcPr>
          <w:p>
            <w:pPr>
              <w:ind w:left="60"/>
              <w:spacing w:after="0" w:line="186" w:lineRule="exact"/>
              <w:rPr>
                <w:sz w:val="20"/>
                <w:szCs w:val="20"/>
                <w:color w:val="auto"/>
              </w:rPr>
            </w:pPr>
            <w:r>
              <w:rPr>
                <w:rFonts w:ascii="Arial" w:cs="Arial" w:eastAsia="Arial" w:hAnsi="Arial"/>
                <w:sz w:val="17"/>
                <w:szCs w:val="17"/>
                <w:color w:val="auto"/>
              </w:rPr>
              <w:t>economic to run, but were not</w:t>
            </w: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80" w:type="dxa"/>
            <w:vAlign w:val="bottom"/>
          </w:tcPr>
          <w:p>
            <w:pPr>
              <w:ind w:left="120"/>
              <w:spacing w:after="0" w:line="186" w:lineRule="exact"/>
              <w:rPr>
                <w:sz w:val="20"/>
                <w:szCs w:val="20"/>
                <w:color w:val="auto"/>
              </w:rPr>
            </w:pPr>
            <w:r>
              <w:rPr>
                <w:rFonts w:ascii="Arial" w:cs="Arial" w:eastAsia="Arial" w:hAnsi="Arial"/>
                <w:sz w:val="17"/>
                <w:szCs w:val="17"/>
                <w:color w:val="auto"/>
              </w:rPr>
              <w:t>Resources</w:t>
            </w:r>
          </w:p>
        </w:tc>
        <w:tc>
          <w:tcPr>
            <w:tcW w:w="2860" w:type="dxa"/>
            <w:vAlign w:val="bottom"/>
          </w:tcPr>
          <w:p>
            <w:pPr>
              <w:ind w:left="60"/>
              <w:spacing w:after="0" w:line="186" w:lineRule="exact"/>
              <w:rPr>
                <w:sz w:val="20"/>
                <w:szCs w:val="20"/>
                <w:color w:val="auto"/>
              </w:rPr>
            </w:pPr>
            <w:r>
              <w:rPr>
                <w:rFonts w:ascii="Arial" w:cs="Arial" w:eastAsia="Arial" w:hAnsi="Arial"/>
                <w:sz w:val="17"/>
                <w:szCs w:val="17"/>
                <w:color w:val="auto"/>
              </w:rPr>
              <w:t>dispatched.</w:t>
            </w: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Report</w:t>
            </w:r>
          </w:p>
        </w:tc>
        <w:tc>
          <w:tcPr>
            <w:tcW w:w="28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380" w:type="dxa"/>
            <w:vAlign w:val="bottom"/>
          </w:tcPr>
          <w:p>
            <w:pPr>
              <w:ind w:left="120"/>
              <w:spacing w:after="0" w:line="145" w:lineRule="exact"/>
              <w:rPr>
                <w:sz w:val="20"/>
                <w:szCs w:val="20"/>
                <w:color w:val="auto"/>
              </w:rPr>
            </w:pPr>
            <w:r>
              <w:rPr>
                <w:rFonts w:ascii="Arial" w:cs="Arial" w:eastAsia="Arial" w:hAnsi="Arial"/>
                <w:sz w:val="16"/>
                <w:szCs w:val="16"/>
                <w:color w:val="auto"/>
              </w:rPr>
              <w:t>DWR Resource</w:t>
            </w:r>
          </w:p>
        </w:tc>
        <w:tc>
          <w:tcPr>
            <w:tcW w:w="2860" w:type="dxa"/>
            <w:vAlign w:val="bottom"/>
          </w:tcPr>
          <w:p>
            <w:pPr>
              <w:ind w:left="60"/>
              <w:spacing w:after="0" w:line="145" w:lineRule="exact"/>
              <w:rPr>
                <w:sz w:val="20"/>
                <w:szCs w:val="20"/>
                <w:color w:val="auto"/>
              </w:rPr>
            </w:pPr>
            <w:r>
              <w:rPr>
                <w:rFonts w:ascii="Arial" w:cs="Arial" w:eastAsia="Arial" w:hAnsi="Arial"/>
                <w:sz w:val="14"/>
                <w:szCs w:val="14"/>
                <w:color w:val="auto"/>
                <w:w w:val="97"/>
              </w:rPr>
              <w:t>Utility notification to DWR for resources within</w:t>
            </w:r>
          </w:p>
        </w:tc>
        <w:tc>
          <w:tcPr>
            <w:tcW w:w="920" w:type="dxa"/>
            <w:vAlign w:val="bottom"/>
          </w:tcPr>
          <w:p>
            <w:pPr>
              <w:jc w:val="center"/>
              <w:spacing w:after="0" w:line="145" w:lineRule="exact"/>
              <w:rPr>
                <w:sz w:val="20"/>
                <w:szCs w:val="20"/>
                <w:color w:val="auto"/>
              </w:rPr>
            </w:pPr>
            <w:r>
              <w:rPr>
                <w:rFonts w:ascii="Arial" w:cs="Arial" w:eastAsia="Arial" w:hAnsi="Arial"/>
                <w:sz w:val="16"/>
                <w:szCs w:val="16"/>
                <w:color w:val="auto"/>
              </w:rPr>
              <w:t>As</w:t>
            </w:r>
          </w:p>
        </w:tc>
        <w:tc>
          <w:tcPr>
            <w:tcW w:w="940" w:type="dxa"/>
            <w:vAlign w:val="bottom"/>
          </w:tcPr>
          <w:p>
            <w:pPr>
              <w:jc w:val="right"/>
              <w:ind w:right="98"/>
              <w:spacing w:after="0" w:line="145" w:lineRule="exact"/>
              <w:rPr>
                <w:sz w:val="20"/>
                <w:szCs w:val="20"/>
                <w:color w:val="auto"/>
              </w:rPr>
            </w:pPr>
            <w:r>
              <w:rPr>
                <w:rFonts w:ascii="Arial" w:cs="Arial" w:eastAsia="Arial" w:hAnsi="Arial"/>
                <w:sz w:val="16"/>
                <w:szCs w:val="16"/>
                <w:color w:val="auto"/>
              </w:rPr>
              <w:t>1/1/2003</w:t>
            </w:r>
          </w:p>
        </w:tc>
        <w:tc>
          <w:tcPr>
            <w:tcW w:w="980" w:type="dxa"/>
            <w:vAlign w:val="bottom"/>
          </w:tcPr>
          <w:p>
            <w:pPr>
              <w:jc w:val="center"/>
              <w:spacing w:after="0" w:line="145" w:lineRule="exact"/>
              <w:rPr>
                <w:sz w:val="20"/>
                <w:szCs w:val="20"/>
                <w:color w:val="auto"/>
              </w:rPr>
            </w:pPr>
            <w:r>
              <w:rPr>
                <w:rFonts w:ascii="Arial" w:cs="Arial" w:eastAsia="Arial" w:hAnsi="Arial"/>
                <w:sz w:val="16"/>
                <w:szCs w:val="16"/>
                <w:color w:val="auto"/>
                <w:w w:val="89"/>
              </w:rPr>
              <w:t>Standard</w:t>
            </w:r>
          </w:p>
        </w:tc>
        <w:tc>
          <w:tcPr>
            <w:tcW w:w="0" w:type="dxa"/>
            <w:vAlign w:val="bottom"/>
          </w:tcPr>
          <w:p>
            <w:pPr>
              <w:spacing w:after="0"/>
              <w:rPr>
                <w:sz w:val="1"/>
                <w:szCs w:val="1"/>
                <w:color w:val="auto"/>
              </w:rPr>
            </w:pPr>
          </w:p>
        </w:tc>
      </w:tr>
      <w:tr>
        <w:trPr>
          <w:trHeight w:val="176"/>
        </w:trPr>
        <w:tc>
          <w:tcPr>
            <w:tcW w:w="1380" w:type="dxa"/>
            <w:vAlign w:val="bottom"/>
          </w:tcPr>
          <w:p>
            <w:pPr>
              <w:ind w:left="120"/>
              <w:spacing w:after="0" w:line="176" w:lineRule="exact"/>
              <w:rPr>
                <w:sz w:val="20"/>
                <w:szCs w:val="20"/>
                <w:color w:val="auto"/>
              </w:rPr>
            </w:pPr>
            <w:r>
              <w:rPr>
                <w:rFonts w:ascii="Arial" w:cs="Arial" w:eastAsia="Arial" w:hAnsi="Arial"/>
                <w:sz w:val="17"/>
                <w:szCs w:val="17"/>
                <w:color w:val="auto"/>
              </w:rPr>
              <w:t>Unavailability</w:t>
            </w:r>
          </w:p>
        </w:tc>
        <w:tc>
          <w:tcPr>
            <w:tcW w:w="2860" w:type="dxa"/>
            <w:vAlign w:val="bottom"/>
          </w:tcPr>
          <w:p>
            <w:pPr>
              <w:ind w:left="60"/>
              <w:spacing w:after="0"/>
              <w:rPr>
                <w:sz w:val="20"/>
                <w:szCs w:val="20"/>
                <w:color w:val="auto"/>
              </w:rPr>
            </w:pPr>
            <w:r>
              <w:rPr>
                <w:rFonts w:ascii="Arial" w:cs="Arial" w:eastAsia="Arial" w:hAnsi="Arial"/>
                <w:sz w:val="14"/>
                <w:szCs w:val="14"/>
                <w:color w:val="auto"/>
                <w:w w:val="93"/>
              </w:rPr>
              <w:t>an allocated contracts becoming unavailable, or</w:t>
            </w:r>
          </w:p>
        </w:tc>
        <w:tc>
          <w:tcPr>
            <w:tcW w:w="920" w:type="dxa"/>
            <w:vAlign w:val="bottom"/>
          </w:tcPr>
          <w:p>
            <w:pPr>
              <w:jc w:val="center"/>
              <w:spacing w:after="0" w:line="176" w:lineRule="exact"/>
              <w:rPr>
                <w:sz w:val="20"/>
                <w:szCs w:val="20"/>
                <w:color w:val="auto"/>
              </w:rPr>
            </w:pPr>
            <w:r>
              <w:rPr>
                <w:rFonts w:ascii="Arial" w:cs="Arial" w:eastAsia="Arial" w:hAnsi="Arial"/>
                <w:sz w:val="17"/>
                <w:szCs w:val="17"/>
                <w:color w:val="auto"/>
                <w:w w:val="93"/>
              </w:rPr>
              <w:t>outlined</w:t>
            </w:r>
          </w:p>
        </w:tc>
        <w:tc>
          <w:tcPr>
            <w:tcW w:w="940" w:type="dxa"/>
            <w:vAlign w:val="bottom"/>
          </w:tcPr>
          <w:p>
            <w:pPr>
              <w:spacing w:after="0"/>
              <w:rPr>
                <w:sz w:val="15"/>
                <w:szCs w:val="15"/>
                <w:color w:val="auto"/>
              </w:rPr>
            </w:pPr>
          </w:p>
        </w:tc>
        <w:tc>
          <w:tcPr>
            <w:tcW w:w="980" w:type="dxa"/>
            <w:vAlign w:val="bottom"/>
          </w:tcPr>
          <w:p>
            <w:pPr>
              <w:jc w:val="center"/>
              <w:spacing w:after="0" w:line="176" w:lineRule="exact"/>
              <w:rPr>
                <w:sz w:val="20"/>
                <w:szCs w:val="20"/>
                <w:color w:val="auto"/>
              </w:rPr>
            </w:pPr>
            <w:r>
              <w:rPr>
                <w:rFonts w:ascii="Arial" w:cs="Arial" w:eastAsia="Arial" w:hAnsi="Arial"/>
                <w:sz w:val="17"/>
                <w:szCs w:val="17"/>
                <w:color w:val="auto"/>
                <w:w w:val="93"/>
              </w:rPr>
              <w:t>DWR</w:t>
            </w:r>
          </w:p>
        </w:tc>
        <w:tc>
          <w:tcPr>
            <w:tcW w:w="0" w:type="dxa"/>
            <w:vAlign w:val="bottom"/>
          </w:tcPr>
          <w:p>
            <w:pPr>
              <w:spacing w:after="0"/>
              <w:rPr>
                <w:sz w:val="1"/>
                <w:szCs w:val="1"/>
                <w:color w:val="auto"/>
              </w:rPr>
            </w:pPr>
          </w:p>
        </w:tc>
      </w:tr>
      <w:tr>
        <w:trPr>
          <w:trHeight w:val="211"/>
        </w:trPr>
        <w:tc>
          <w:tcPr>
            <w:tcW w:w="1380" w:type="dxa"/>
            <w:vAlign w:val="bottom"/>
          </w:tcPr>
          <w:p>
            <w:pPr>
              <w:ind w:left="120"/>
              <w:spacing w:after="0"/>
              <w:rPr>
                <w:sz w:val="20"/>
                <w:szCs w:val="20"/>
                <w:color w:val="auto"/>
              </w:rPr>
            </w:pPr>
            <w:r>
              <w:rPr>
                <w:rFonts w:ascii="Arial" w:cs="Arial" w:eastAsia="Arial" w:hAnsi="Arial"/>
                <w:sz w:val="17"/>
                <w:szCs w:val="17"/>
                <w:color w:val="auto"/>
              </w:rPr>
              <w:t>Form</w:t>
            </w:r>
          </w:p>
        </w:tc>
        <w:tc>
          <w:tcPr>
            <w:tcW w:w="2860" w:type="dxa"/>
            <w:vAlign w:val="bottom"/>
          </w:tcPr>
          <w:p>
            <w:pPr>
              <w:ind w:left="60"/>
              <w:spacing w:after="0"/>
              <w:rPr>
                <w:sz w:val="20"/>
                <w:szCs w:val="20"/>
                <w:color w:val="auto"/>
              </w:rPr>
            </w:pPr>
            <w:r>
              <w:rPr>
                <w:rFonts w:ascii="Arial" w:cs="Arial" w:eastAsia="Arial" w:hAnsi="Arial"/>
                <w:sz w:val="14"/>
                <w:szCs w:val="14"/>
                <w:color w:val="auto"/>
              </w:rPr>
              <w:t>scheduled to become unavailable.</w:t>
            </w:r>
          </w:p>
        </w:tc>
        <w:tc>
          <w:tcPr>
            <w:tcW w:w="920" w:type="dxa"/>
            <w:vAlign w:val="bottom"/>
          </w:tcPr>
          <w:p>
            <w:pPr>
              <w:jc w:val="center"/>
              <w:spacing w:after="0"/>
              <w:rPr>
                <w:sz w:val="20"/>
                <w:szCs w:val="20"/>
                <w:color w:val="auto"/>
              </w:rPr>
            </w:pPr>
            <w:r>
              <w:rPr>
                <w:rFonts w:ascii="Arial" w:cs="Arial" w:eastAsia="Arial" w:hAnsi="Arial"/>
                <w:sz w:val="17"/>
                <w:szCs w:val="17"/>
                <w:color w:val="auto"/>
                <w:w w:val="90"/>
              </w:rPr>
              <w:t>in</w:t>
            </w:r>
          </w:p>
        </w:tc>
        <w:tc>
          <w:tcPr>
            <w:tcW w:w="9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w w:val="89"/>
              </w:rPr>
              <w:t>Form –</w:t>
            </w:r>
          </w:p>
        </w:tc>
        <w:tc>
          <w:tcPr>
            <w:tcW w:w="0" w:type="dxa"/>
            <w:vAlign w:val="bottom"/>
          </w:tcPr>
          <w:p>
            <w:pPr>
              <w:spacing w:after="0"/>
              <w:rPr>
                <w:sz w:val="1"/>
                <w:szCs w:val="1"/>
                <w:color w:val="auto"/>
              </w:rPr>
            </w:pPr>
          </w:p>
        </w:tc>
      </w:tr>
      <w:tr>
        <w:trPr>
          <w:trHeight w:val="186"/>
        </w:trPr>
        <w:tc>
          <w:tcPr>
            <w:tcW w:w="13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920" w:type="dxa"/>
            <w:vAlign w:val="bottom"/>
          </w:tcPr>
          <w:p>
            <w:pPr>
              <w:jc w:val="center"/>
              <w:spacing w:after="0" w:line="186" w:lineRule="exact"/>
              <w:rPr>
                <w:sz w:val="20"/>
                <w:szCs w:val="20"/>
                <w:color w:val="auto"/>
              </w:rPr>
            </w:pPr>
            <w:r>
              <w:rPr>
                <w:rFonts w:ascii="Arial" w:cs="Arial" w:eastAsia="Arial" w:hAnsi="Arial"/>
                <w:sz w:val="17"/>
                <w:szCs w:val="17"/>
                <w:color w:val="auto"/>
                <w:w w:val="90"/>
              </w:rPr>
              <w:t>operating</w:t>
            </w:r>
          </w:p>
        </w:tc>
        <w:tc>
          <w:tcPr>
            <w:tcW w:w="940" w:type="dxa"/>
            <w:vAlign w:val="bottom"/>
          </w:tcPr>
          <w:p>
            <w:pPr>
              <w:spacing w:after="0"/>
              <w:rPr>
                <w:sz w:val="16"/>
                <w:szCs w:val="16"/>
                <w:color w:val="auto"/>
              </w:rPr>
            </w:pPr>
          </w:p>
        </w:tc>
        <w:tc>
          <w:tcPr>
            <w:tcW w:w="980" w:type="dxa"/>
            <w:vAlign w:val="bottom"/>
          </w:tcPr>
          <w:p>
            <w:pPr>
              <w:jc w:val="center"/>
              <w:spacing w:after="0" w:line="186" w:lineRule="exact"/>
              <w:rPr>
                <w:sz w:val="20"/>
                <w:szCs w:val="20"/>
                <w:color w:val="auto"/>
              </w:rPr>
            </w:pPr>
            <w:r>
              <w:rPr>
                <w:rFonts w:ascii="Arial" w:cs="Arial" w:eastAsia="Arial" w:hAnsi="Arial"/>
                <w:sz w:val="17"/>
                <w:szCs w:val="17"/>
                <w:color w:val="auto"/>
                <w:w w:val="92"/>
              </w:rPr>
              <w:t>Email/Fax</w:t>
            </w: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2860" w:type="dxa"/>
            <w:vAlign w:val="bottom"/>
            <w:vMerge w:val="restart"/>
          </w:tcPr>
          <w:p>
            <w:pPr>
              <w:ind w:left="60"/>
              <w:spacing w:after="0"/>
              <w:rPr>
                <w:sz w:val="20"/>
                <w:szCs w:val="20"/>
                <w:color w:val="auto"/>
              </w:rPr>
            </w:pPr>
            <w:r>
              <w:rPr>
                <w:rFonts w:ascii="Arial" w:cs="Arial" w:eastAsia="Arial" w:hAnsi="Arial"/>
                <w:sz w:val="14"/>
                <w:szCs w:val="14"/>
                <w:color w:val="auto"/>
              </w:rPr>
              <w:t>Note: This information could be provided</w:t>
            </w:r>
          </w:p>
        </w:tc>
        <w:tc>
          <w:tcPr>
            <w:tcW w:w="920" w:type="dxa"/>
            <w:vAlign w:val="bottom"/>
          </w:tcPr>
          <w:p>
            <w:pPr>
              <w:jc w:val="center"/>
              <w:spacing w:after="0"/>
              <w:rPr>
                <w:sz w:val="20"/>
                <w:szCs w:val="20"/>
                <w:color w:val="auto"/>
              </w:rPr>
            </w:pPr>
            <w:r>
              <w:rPr>
                <w:rFonts w:ascii="Arial" w:cs="Arial" w:eastAsia="Arial" w:hAnsi="Arial"/>
                <w:sz w:val="17"/>
                <w:szCs w:val="17"/>
                <w:color w:val="auto"/>
                <w:w w:val="83"/>
              </w:rPr>
              <w:t>agreement</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1380" w:type="dxa"/>
            <w:vAlign w:val="bottom"/>
          </w:tcPr>
          <w:p>
            <w:pPr>
              <w:spacing w:after="0"/>
              <w:rPr>
                <w:sz w:val="9"/>
                <w:szCs w:val="9"/>
                <w:color w:val="auto"/>
              </w:rPr>
            </w:pPr>
          </w:p>
        </w:tc>
        <w:tc>
          <w:tcPr>
            <w:tcW w:w="28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2860" w:type="dxa"/>
            <w:vAlign w:val="bottom"/>
          </w:tcPr>
          <w:p>
            <w:pPr>
              <w:ind w:left="60"/>
              <w:spacing w:after="0"/>
              <w:rPr>
                <w:sz w:val="20"/>
                <w:szCs w:val="20"/>
                <w:color w:val="auto"/>
              </w:rPr>
            </w:pPr>
            <w:r>
              <w:rPr>
                <w:rFonts w:ascii="Arial" w:cs="Arial" w:eastAsia="Arial" w:hAnsi="Arial"/>
                <w:sz w:val="14"/>
                <w:szCs w:val="14"/>
                <w:color w:val="auto"/>
                <w:w w:val="97"/>
              </w:rPr>
              <w:t>directly from the generator to DWR and would</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2860" w:type="dxa"/>
            <w:vAlign w:val="bottom"/>
          </w:tcPr>
          <w:p>
            <w:pPr>
              <w:ind w:left="60"/>
              <w:spacing w:after="0"/>
              <w:rPr>
                <w:sz w:val="20"/>
                <w:szCs w:val="20"/>
                <w:color w:val="auto"/>
              </w:rPr>
            </w:pPr>
            <w:r>
              <w:rPr>
                <w:rFonts w:ascii="Arial" w:cs="Arial" w:eastAsia="Arial" w:hAnsi="Arial"/>
                <w:sz w:val="14"/>
                <w:szCs w:val="14"/>
                <w:color w:val="auto"/>
              </w:rPr>
              <w:t>therefore not be required from Utility.</w:t>
            </w: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-3375025</wp:posOffset>
            </wp:positionV>
            <wp:extent cx="4495800" cy="34556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495800" cy="3455670"/>
                    </a:xfrm>
                    <a:prstGeom prst="rect">
                      <a:avLst/>
                    </a:prstGeom>
                    <a:noFill/>
                  </pic:spPr>
                </pic:pic>
              </a:graphicData>
            </a:graphic>
          </wp:anchor>
        </w:drawing>
      </w:r>
    </w:p>
    <w:p>
      <w:pPr>
        <w:spacing w:after="0" w:line="74" w:lineRule="exact"/>
        <w:rPr>
          <w:sz w:val="20"/>
          <w:szCs w:val="20"/>
          <w:color w:val="auto"/>
        </w:rPr>
      </w:pPr>
    </w:p>
    <w:p>
      <w:pPr>
        <w:ind w:left="500" w:hanging="497"/>
        <w:spacing w:after="0"/>
        <w:tabs>
          <w:tab w:leader="none" w:pos="500"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On and After the MRTU Effective Date</w:t>
      </w:r>
    </w:p>
    <w:p>
      <w:pPr>
        <w:spacing w:after="0" w:line="160"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This Part II contains a brief description of the information to be provided by Utility, as well as the frequency, name of the report or source and the delivery method with respect to such information to be provided to DWR.</w:t>
      </w: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outlines DWR data requirements relating to long-term contract schedule information and associated bilateral invoices after MRTU go-live (4/1/2009):</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58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Arial" w:cs="Arial" w:eastAsia="Arial" w:hAnsi="Arial"/>
                <w:sz w:val="17"/>
                <w:szCs w:val="17"/>
                <w:color w:val="auto"/>
              </w:rPr>
              <w:t>Schedule/Bilateral Invoice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1220" w:type="dxa"/>
            <w:vAlign w:val="bottom"/>
            <w:tcBorders>
              <w:left w:val="single" w:sz="8" w:color="auto"/>
              <w:bottom w:val="single" w:sz="8" w:color="auto"/>
            </w:tcBorders>
          </w:tcPr>
          <w:p>
            <w:pPr>
              <w:spacing w:after="0"/>
              <w:rPr>
                <w:sz w:val="7"/>
                <w:szCs w:val="7"/>
                <w:color w:val="auto"/>
              </w:rPr>
            </w:pPr>
          </w:p>
        </w:tc>
        <w:tc>
          <w:tcPr>
            <w:tcW w:w="336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22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7"/>
                <w:szCs w:val="17"/>
                <w:b w:val="1"/>
                <w:bCs w:val="1"/>
                <w:color w:val="auto"/>
              </w:rPr>
              <w:t>Requirement</w:t>
            </w:r>
          </w:p>
        </w:tc>
        <w:tc>
          <w:tcPr>
            <w:tcW w:w="3360" w:type="dxa"/>
            <w:vAlign w:val="bottom"/>
            <w:tcBorders>
              <w:right w:val="single" w:sz="8" w:color="auto"/>
            </w:tcBorders>
            <w:vMerge w:val="restart"/>
          </w:tcPr>
          <w:p>
            <w:pPr>
              <w:ind w:left="1240"/>
              <w:spacing w:after="0"/>
              <w:rPr>
                <w:sz w:val="20"/>
                <w:szCs w:val="20"/>
                <w:color w:val="auto"/>
              </w:rPr>
            </w:pPr>
            <w:r>
              <w:rPr>
                <w:rFonts w:ascii="Arial" w:cs="Arial" w:eastAsia="Arial" w:hAnsi="Arial"/>
                <w:sz w:val="17"/>
                <w:szCs w:val="17"/>
                <w:b w:val="1"/>
                <w:bCs w:val="1"/>
                <w:color w:val="auto"/>
              </w:rPr>
              <w:t>Description</w:t>
            </w:r>
          </w:p>
        </w:tc>
        <w:tc>
          <w:tcPr>
            <w:tcW w:w="60" w:type="dxa"/>
            <w:vAlign w:val="bottom"/>
          </w:tcPr>
          <w:p>
            <w:pPr>
              <w:spacing w:after="0"/>
              <w:rPr>
                <w:sz w:val="10"/>
                <w:szCs w:val="10"/>
                <w:color w:val="auto"/>
              </w:rPr>
            </w:pPr>
          </w:p>
        </w:tc>
        <w:tc>
          <w:tcPr>
            <w:tcW w:w="980" w:type="dxa"/>
            <w:vAlign w:val="bottom"/>
            <w:tcBorders>
              <w:right w:val="single" w:sz="8" w:color="auto"/>
            </w:tcBorders>
            <w:gridSpan w:val="2"/>
            <w:vMerge w:val="restart"/>
          </w:tcPr>
          <w:p>
            <w:pPr>
              <w:jc w:val="center"/>
              <w:ind w:right="37"/>
              <w:spacing w:after="0"/>
              <w:rPr>
                <w:sz w:val="20"/>
                <w:szCs w:val="20"/>
                <w:color w:val="auto"/>
              </w:rPr>
            </w:pPr>
            <w:r>
              <w:rPr>
                <w:rFonts w:ascii="Arial" w:cs="Arial" w:eastAsia="Arial" w:hAnsi="Arial"/>
                <w:sz w:val="17"/>
                <w:szCs w:val="17"/>
                <w:b w:val="1"/>
                <w:bCs w:val="1"/>
                <w:color w:val="auto"/>
                <w:w w:val="86"/>
              </w:rPr>
              <w:t>Frequency</w:t>
            </w:r>
          </w:p>
        </w:tc>
        <w:tc>
          <w:tcPr>
            <w:tcW w:w="120" w:type="dxa"/>
            <w:vAlign w:val="bottom"/>
          </w:tcPr>
          <w:p>
            <w:pPr>
              <w:spacing w:after="0"/>
              <w:rPr>
                <w:sz w:val="10"/>
                <w:szCs w:val="10"/>
                <w:color w:val="auto"/>
              </w:rPr>
            </w:pPr>
          </w:p>
        </w:tc>
        <w:tc>
          <w:tcPr>
            <w:tcW w:w="1100" w:type="dxa"/>
            <w:vAlign w:val="bottom"/>
            <w:tcBorders>
              <w:right w:val="single" w:sz="8" w:color="auto"/>
            </w:tcBorders>
          </w:tcPr>
          <w:p>
            <w:pPr>
              <w:jc w:val="center"/>
              <w:ind w:right="80"/>
              <w:spacing w:after="0" w:line="121" w:lineRule="exact"/>
              <w:rPr>
                <w:sz w:val="20"/>
                <w:szCs w:val="20"/>
                <w:color w:val="auto"/>
              </w:rPr>
            </w:pPr>
            <w:r>
              <w:rPr>
                <w:rFonts w:ascii="Arial" w:cs="Arial" w:eastAsia="Arial" w:hAnsi="Arial"/>
                <w:sz w:val="13"/>
                <w:szCs w:val="13"/>
                <w:b w:val="1"/>
                <w:bCs w:val="1"/>
                <w:color w:val="auto"/>
              </w:rPr>
              <w:t>Report</w:t>
            </w:r>
          </w:p>
        </w:tc>
        <w:tc>
          <w:tcPr>
            <w:tcW w:w="60" w:type="dxa"/>
            <w:vAlign w:val="bottom"/>
          </w:tcPr>
          <w:p>
            <w:pPr>
              <w:spacing w:after="0"/>
              <w:rPr>
                <w:sz w:val="10"/>
                <w:szCs w:val="10"/>
                <w:color w:val="auto"/>
              </w:rPr>
            </w:pPr>
          </w:p>
        </w:tc>
        <w:tc>
          <w:tcPr>
            <w:tcW w:w="1160" w:type="dxa"/>
            <w:vAlign w:val="bottom"/>
            <w:tcBorders>
              <w:right w:val="single" w:sz="8" w:color="auto"/>
            </w:tcBorders>
          </w:tcPr>
          <w:p>
            <w:pPr>
              <w:jc w:val="center"/>
              <w:ind w:right="19"/>
              <w:spacing w:after="0" w:line="121" w:lineRule="exact"/>
              <w:rPr>
                <w:sz w:val="20"/>
                <w:szCs w:val="20"/>
                <w:color w:val="auto"/>
              </w:rPr>
            </w:pPr>
            <w:r>
              <w:rPr>
                <w:rFonts w:ascii="Arial" w:cs="Arial" w:eastAsia="Arial" w:hAnsi="Arial"/>
                <w:sz w:val="13"/>
                <w:szCs w:val="13"/>
                <w:b w:val="1"/>
                <w:bCs w:val="1"/>
                <w:color w:val="auto"/>
              </w:rPr>
              <w:t>Delivery</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220" w:type="dxa"/>
            <w:vAlign w:val="bottom"/>
            <w:tcBorders>
              <w:left w:val="single" w:sz="8" w:color="auto"/>
              <w:right w:val="single" w:sz="8" w:color="auto"/>
            </w:tcBorders>
            <w:vMerge w:val="continue"/>
          </w:tcPr>
          <w:p>
            <w:pPr>
              <w:spacing w:after="0"/>
              <w:rPr>
                <w:sz w:val="10"/>
                <w:szCs w:val="10"/>
                <w:color w:val="auto"/>
              </w:rPr>
            </w:pPr>
          </w:p>
        </w:tc>
        <w:tc>
          <w:tcPr>
            <w:tcW w:w="336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Borders>
              <w:right w:val="single" w:sz="8" w:color="auto"/>
            </w:tcBorders>
            <w:vMerge w:val="restart"/>
          </w:tcPr>
          <w:p>
            <w:pPr>
              <w:jc w:val="center"/>
              <w:ind w:right="80"/>
              <w:spacing w:after="0"/>
              <w:rPr>
                <w:sz w:val="20"/>
                <w:szCs w:val="20"/>
                <w:color w:val="auto"/>
              </w:rPr>
            </w:pPr>
            <w:r>
              <w:rPr>
                <w:rFonts w:ascii="Arial" w:cs="Arial" w:eastAsia="Arial" w:hAnsi="Arial"/>
                <w:sz w:val="17"/>
                <w:szCs w:val="17"/>
                <w:b w:val="1"/>
                <w:bCs w:val="1"/>
                <w:color w:val="auto"/>
                <w:w w:val="86"/>
              </w:rPr>
              <w:t>Name/Source</w:t>
            </w:r>
          </w:p>
        </w:tc>
        <w:tc>
          <w:tcPr>
            <w:tcW w:w="60" w:type="dxa"/>
            <w:vAlign w:val="bottom"/>
          </w:tcPr>
          <w:p>
            <w:pPr>
              <w:spacing w:after="0"/>
              <w:rPr>
                <w:sz w:val="10"/>
                <w:szCs w:val="10"/>
                <w:color w:val="auto"/>
              </w:rPr>
            </w:pPr>
          </w:p>
        </w:tc>
        <w:tc>
          <w:tcPr>
            <w:tcW w:w="1160" w:type="dxa"/>
            <w:vAlign w:val="bottom"/>
            <w:tcBorders>
              <w:right w:val="single" w:sz="8" w:color="auto"/>
            </w:tcBorders>
            <w:vMerge w:val="restart"/>
          </w:tcPr>
          <w:p>
            <w:pPr>
              <w:jc w:val="center"/>
              <w:ind w:right="19"/>
              <w:spacing w:after="0"/>
              <w:rPr>
                <w:sz w:val="20"/>
                <w:szCs w:val="20"/>
                <w:color w:val="auto"/>
              </w:rPr>
            </w:pPr>
            <w:r>
              <w:rPr>
                <w:rFonts w:ascii="Arial" w:cs="Arial" w:eastAsia="Arial" w:hAnsi="Arial"/>
                <w:sz w:val="17"/>
                <w:szCs w:val="17"/>
                <w:b w:val="1"/>
                <w:bCs w:val="1"/>
                <w:color w:val="auto"/>
                <w:w w:val="89"/>
              </w:rPr>
              <w:t>Method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220" w:type="dxa"/>
            <w:vAlign w:val="bottom"/>
            <w:tcBorders>
              <w:left w:val="single" w:sz="8" w:color="auto"/>
              <w:bottom w:val="single" w:sz="8" w:color="auto"/>
              <w:right w:val="single" w:sz="8" w:color="auto"/>
            </w:tcBorders>
          </w:tcPr>
          <w:p>
            <w:pPr>
              <w:spacing w:after="0"/>
              <w:rPr>
                <w:sz w:val="7"/>
                <w:szCs w:val="7"/>
                <w:color w:val="auto"/>
              </w:rPr>
            </w:pPr>
          </w:p>
        </w:tc>
        <w:tc>
          <w:tcPr>
            <w:tcW w:w="336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00" w:type="dxa"/>
            <w:vAlign w:val="bottom"/>
            <w:tcBorders>
              <w:bottom w:val="single" w:sz="8" w:color="auto"/>
              <w:right w:val="single" w:sz="8" w:color="auto"/>
            </w:tcBorders>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160" w:type="dxa"/>
            <w:vAlign w:val="bottom"/>
            <w:tcBorders>
              <w:bottom w:val="single" w:sz="8" w:color="auto"/>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220" w:type="dxa"/>
            <w:vAlign w:val="bottom"/>
            <w:tcBorders>
              <w:left w:val="single" w:sz="8" w:color="auto"/>
              <w:bottom w:val="single" w:sz="8" w:color="auto"/>
            </w:tcBorders>
          </w:tcPr>
          <w:p>
            <w:pPr>
              <w:spacing w:after="0"/>
              <w:rPr>
                <w:sz w:val="15"/>
                <w:szCs w:val="15"/>
                <w:color w:val="auto"/>
              </w:rPr>
            </w:pPr>
          </w:p>
        </w:tc>
        <w:tc>
          <w:tcPr>
            <w:tcW w:w="4520" w:type="dxa"/>
            <w:vAlign w:val="bottom"/>
            <w:tcBorders>
              <w:bottom w:val="single" w:sz="8" w:color="auto"/>
            </w:tcBorders>
            <w:gridSpan w:val="5"/>
          </w:tcPr>
          <w:p>
            <w:pPr>
              <w:ind w:left="1120"/>
              <w:spacing w:after="0" w:line="176" w:lineRule="exact"/>
              <w:rPr>
                <w:sz w:val="20"/>
                <w:szCs w:val="20"/>
                <w:color w:val="auto"/>
              </w:rPr>
            </w:pPr>
            <w:r>
              <w:rPr>
                <w:rFonts w:ascii="Arial" w:cs="Arial" w:eastAsia="Arial" w:hAnsi="Arial"/>
                <w:sz w:val="17"/>
                <w:szCs w:val="17"/>
                <w:b w:val="1"/>
                <w:bCs w:val="1"/>
                <w:color w:val="auto"/>
                <w:w w:val="88"/>
              </w:rPr>
              <w:t>Utility is the Generator Scheduling Coordinator</w:t>
            </w:r>
          </w:p>
        </w:tc>
        <w:tc>
          <w:tcPr>
            <w:tcW w:w="1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22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Day Ahead</w:t>
            </w:r>
          </w:p>
        </w:tc>
        <w:tc>
          <w:tcPr>
            <w:tcW w:w="336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rPr>
              <w:t>For all long-term contracts allocated to the</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right w:val="single" w:sz="8" w:color="auto"/>
            </w:tcBorders>
          </w:tcPr>
          <w:p>
            <w:pPr>
              <w:jc w:val="center"/>
              <w:ind w:right="177"/>
              <w:spacing w:after="0" w:line="160" w:lineRule="exact"/>
              <w:rPr>
                <w:sz w:val="20"/>
                <w:szCs w:val="20"/>
                <w:color w:val="auto"/>
              </w:rPr>
            </w:pPr>
            <w:r>
              <w:rPr>
                <w:rFonts w:ascii="Arial" w:cs="Arial" w:eastAsia="Arial" w:hAnsi="Arial"/>
                <w:sz w:val="17"/>
                <w:szCs w:val="17"/>
                <w:color w:val="auto"/>
                <w:w w:val="97"/>
              </w:rPr>
              <w:t>M+10</w:t>
            </w:r>
          </w:p>
        </w:tc>
        <w:tc>
          <w:tcPr>
            <w:tcW w:w="120" w:type="dxa"/>
            <w:vAlign w:val="bottom"/>
          </w:tcPr>
          <w:p>
            <w:pPr>
              <w:spacing w:after="0"/>
              <w:rPr>
                <w:sz w:val="13"/>
                <w:szCs w:val="13"/>
                <w:color w:val="auto"/>
              </w:rPr>
            </w:pPr>
          </w:p>
        </w:tc>
        <w:tc>
          <w:tcPr>
            <w:tcW w:w="1100" w:type="dxa"/>
            <w:vAlign w:val="bottom"/>
            <w:tcBorders>
              <w:right w:val="single" w:sz="8" w:color="auto"/>
            </w:tcBorders>
          </w:tcPr>
          <w:p>
            <w:pPr>
              <w:jc w:val="center"/>
              <w:ind w:right="60"/>
              <w:spacing w:after="0" w:line="160" w:lineRule="exact"/>
              <w:rPr>
                <w:sz w:val="20"/>
                <w:szCs w:val="20"/>
                <w:color w:val="auto"/>
              </w:rPr>
            </w:pPr>
            <w:r>
              <w:rPr>
                <w:rFonts w:ascii="Arial" w:cs="Arial" w:eastAsia="Arial" w:hAnsi="Arial"/>
                <w:sz w:val="17"/>
                <w:szCs w:val="17"/>
                <w:color w:val="auto"/>
                <w:w w:val="92"/>
              </w:rPr>
              <w:t>CMRI Report</w:t>
            </w:r>
          </w:p>
        </w:tc>
        <w:tc>
          <w:tcPr>
            <w:tcW w:w="60" w:type="dxa"/>
            <w:vAlign w:val="bottom"/>
          </w:tcPr>
          <w:p>
            <w:pPr>
              <w:spacing w:after="0"/>
              <w:rPr>
                <w:sz w:val="13"/>
                <w:szCs w:val="13"/>
                <w:color w:val="auto"/>
              </w:rPr>
            </w:pPr>
          </w:p>
        </w:tc>
        <w:tc>
          <w:tcPr>
            <w:tcW w:w="1160" w:type="dxa"/>
            <w:vAlign w:val="bottom"/>
            <w:tcBorders>
              <w:right w:val="single" w:sz="8" w:color="auto"/>
            </w:tcBorders>
          </w:tcPr>
          <w:p>
            <w:pPr>
              <w:jc w:val="center"/>
              <w:ind w:right="19"/>
              <w:spacing w:after="0" w:line="160" w:lineRule="exact"/>
              <w:rPr>
                <w:sz w:val="20"/>
                <w:szCs w:val="20"/>
                <w:color w:val="auto"/>
              </w:rPr>
            </w:pPr>
            <w:r>
              <w:rPr>
                <w:rFonts w:ascii="Arial" w:cs="Arial" w:eastAsia="Arial" w:hAnsi="Arial"/>
                <w:sz w:val="17"/>
                <w:szCs w:val="17"/>
                <w:color w:val="auto"/>
                <w:w w:val="89"/>
              </w:rPr>
              <w:t>Excel Format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IFM Award</w:t>
            </w:r>
          </w:p>
        </w:tc>
        <w:tc>
          <w:tcPr>
            <w:tcW w:w="33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utilities where the Utility is the SC, the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Borders>
              <w:right w:val="single" w:sz="8" w:color="auto"/>
            </w:tcBorders>
          </w:tcPr>
          <w:p>
            <w:pPr>
              <w:jc w:val="center"/>
              <w:ind w:right="157"/>
              <w:spacing w:after="0" w:line="186" w:lineRule="exact"/>
              <w:rPr>
                <w:sz w:val="20"/>
                <w:szCs w:val="20"/>
                <w:color w:val="auto"/>
              </w:rPr>
            </w:pPr>
            <w:r>
              <w:rPr>
                <w:rFonts w:ascii="Arial" w:cs="Arial" w:eastAsia="Arial" w:hAnsi="Arial"/>
                <w:sz w:val="17"/>
                <w:szCs w:val="17"/>
                <w:color w:val="auto"/>
                <w:w w:val="86"/>
              </w:rPr>
              <w:t>Calendar</w:t>
            </w:r>
          </w:p>
        </w:tc>
        <w:tc>
          <w:tcPr>
            <w:tcW w:w="12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Borders>
              <w:right w:val="single" w:sz="8" w:color="auto"/>
            </w:tcBorders>
          </w:tcPr>
          <w:p>
            <w:pPr>
              <w:jc w:val="center"/>
              <w:ind w:right="19"/>
              <w:spacing w:after="0" w:line="186" w:lineRule="exact"/>
              <w:rPr>
                <w:sz w:val="20"/>
                <w:szCs w:val="20"/>
                <w:color w:val="auto"/>
              </w:rPr>
            </w:pPr>
            <w:r>
              <w:rPr>
                <w:rFonts w:ascii="Arial" w:cs="Arial" w:eastAsia="Arial" w:hAnsi="Arial"/>
                <w:sz w:val="17"/>
                <w:szCs w:val="17"/>
                <w:color w:val="auto"/>
                <w:w w:val="92"/>
              </w:rPr>
              <w:t>per Existing</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ind w:left="160"/>
              <w:spacing w:after="0" w:line="186" w:lineRule="exact"/>
              <w:rPr>
                <w:sz w:val="20"/>
                <w:szCs w:val="20"/>
                <w:color w:val="auto"/>
              </w:rPr>
            </w:pPr>
            <w:r>
              <w:rPr>
                <w:rFonts w:ascii="Arial" w:cs="Arial" w:eastAsia="Arial" w:hAnsi="Arial"/>
                <w:sz w:val="17"/>
                <w:szCs w:val="17"/>
                <w:color w:val="auto"/>
              </w:rPr>
              <w:t>Volumes,</w:t>
            </w:r>
          </w:p>
        </w:tc>
        <w:tc>
          <w:tcPr>
            <w:tcW w:w="33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4"/>
              </w:rPr>
              <w:t>detailed Day Ahead IFM Award Volumes and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Borders>
              <w:right w:val="single" w:sz="8" w:color="auto"/>
            </w:tcBorders>
          </w:tcPr>
          <w:p>
            <w:pPr>
              <w:jc w:val="center"/>
              <w:ind w:right="177"/>
              <w:spacing w:after="0" w:line="186" w:lineRule="exact"/>
              <w:rPr>
                <w:sz w:val="20"/>
                <w:szCs w:val="20"/>
                <w:color w:val="auto"/>
              </w:rPr>
            </w:pPr>
            <w:r>
              <w:rPr>
                <w:rFonts w:ascii="Arial" w:cs="Arial" w:eastAsia="Arial" w:hAnsi="Arial"/>
                <w:sz w:val="17"/>
                <w:szCs w:val="17"/>
                <w:color w:val="auto"/>
                <w:w w:val="87"/>
              </w:rPr>
              <w:t>Days</w:t>
            </w:r>
          </w:p>
        </w:tc>
        <w:tc>
          <w:tcPr>
            <w:tcW w:w="12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Borders>
              <w:right w:val="single" w:sz="8" w:color="auto"/>
            </w:tcBorders>
          </w:tcPr>
          <w:p>
            <w:pPr>
              <w:jc w:val="center"/>
              <w:ind w:right="39"/>
              <w:spacing w:after="0" w:line="186" w:lineRule="exact"/>
              <w:rPr>
                <w:sz w:val="20"/>
                <w:szCs w:val="20"/>
                <w:color w:val="auto"/>
              </w:rPr>
            </w:pPr>
            <w:r>
              <w:rPr>
                <w:rFonts w:ascii="Arial" w:cs="Arial" w:eastAsia="Arial" w:hAnsi="Arial"/>
                <w:sz w:val="17"/>
                <w:szCs w:val="17"/>
                <w:color w:val="auto"/>
                <w:w w:val="89"/>
              </w:rPr>
              <w:t>Protocol</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Long Term</w:t>
            </w:r>
          </w:p>
        </w:tc>
        <w:tc>
          <w:tcPr>
            <w:tcW w:w="33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pricing information pursuant to a bid.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Contracts</w:t>
            </w:r>
          </w:p>
        </w:tc>
        <w:tc>
          <w:tcPr>
            <w:tcW w:w="3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7"/>
                <w:szCs w:val="17"/>
                <w:color w:val="auto"/>
                <w:w w:val="97"/>
              </w:rPr>
              <w:t>Final IFM award volumes are defined as the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220" w:type="dxa"/>
            <w:vAlign w:val="bottom"/>
            <w:tcBorders>
              <w:left w:val="single" w:sz="8" w:color="auto"/>
              <w:right w:val="single" w:sz="8" w:color="auto"/>
            </w:tcBorders>
          </w:tcPr>
          <w:p>
            <w:pPr>
              <w:spacing w:after="0"/>
              <w:rPr>
                <w:sz w:val="12"/>
                <w:szCs w:val="12"/>
                <w:color w:val="auto"/>
              </w:rPr>
            </w:pPr>
          </w:p>
        </w:tc>
        <w:tc>
          <w:tcPr>
            <w:tcW w:w="336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220" w:type="dxa"/>
            <w:vAlign w:val="bottom"/>
            <w:tcBorders>
              <w:left w:val="single" w:sz="8" w:color="auto"/>
              <w:right w:val="single" w:sz="8" w:color="auto"/>
            </w:tcBorders>
          </w:tcPr>
          <w:p>
            <w:pPr>
              <w:spacing w:after="0"/>
              <w:rPr>
                <w:sz w:val="18"/>
                <w:szCs w:val="18"/>
                <w:color w:val="auto"/>
              </w:rPr>
            </w:pPr>
          </w:p>
        </w:tc>
        <w:tc>
          <w:tcPr>
            <w:tcW w:w="33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award volume that clears the ISO IFM.</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8"/>
        </w:trPr>
        <w:tc>
          <w:tcPr>
            <w:tcW w:w="1220" w:type="dxa"/>
            <w:vAlign w:val="bottom"/>
            <w:tcBorders>
              <w:left w:val="single" w:sz="8" w:color="auto"/>
              <w:right w:val="single" w:sz="8" w:color="auto"/>
            </w:tcBorders>
          </w:tcPr>
          <w:p>
            <w:pPr>
              <w:spacing w:after="0"/>
              <w:rPr>
                <w:sz w:val="24"/>
                <w:szCs w:val="24"/>
                <w:color w:val="auto"/>
              </w:rPr>
            </w:pPr>
          </w:p>
        </w:tc>
        <w:tc>
          <w:tcPr>
            <w:tcW w:w="33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File should include, but is not limited to;</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spacing w:after="0"/>
              <w:rPr>
                <w:sz w:val="16"/>
                <w:szCs w:val="16"/>
                <w:color w:val="auto"/>
              </w:rPr>
            </w:pPr>
          </w:p>
        </w:tc>
        <w:tc>
          <w:tcPr>
            <w:tcW w:w="33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Utility identifier, file type identifier (i.e. final,</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spacing w:after="0"/>
              <w:rPr>
                <w:sz w:val="16"/>
                <w:szCs w:val="16"/>
                <w:color w:val="auto"/>
              </w:rPr>
            </w:pPr>
          </w:p>
        </w:tc>
        <w:tc>
          <w:tcPr>
            <w:tcW w:w="33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DA), SC identifier, counterparty identifier,</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spacing w:after="0"/>
              <w:rPr>
                <w:sz w:val="16"/>
                <w:szCs w:val="16"/>
                <w:color w:val="auto"/>
              </w:rPr>
            </w:pPr>
          </w:p>
        </w:tc>
        <w:tc>
          <w:tcPr>
            <w:tcW w:w="33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3"/>
              </w:rPr>
              <w:t>contract identifier, schedule type identifier (i.e.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spacing w:after="0"/>
              <w:rPr>
                <w:sz w:val="16"/>
                <w:szCs w:val="16"/>
                <w:color w:val="auto"/>
              </w:rPr>
            </w:pPr>
          </w:p>
        </w:tc>
        <w:tc>
          <w:tcPr>
            <w:tcW w:w="33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sale), delivery location, date, volume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20" w:type="dxa"/>
            <w:vAlign w:val="bottom"/>
            <w:tcBorders>
              <w:left w:val="single" w:sz="8" w:color="auto"/>
              <w:bottom w:val="single" w:sz="8" w:color="auto"/>
              <w:right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scheduled by hour, price per hour.</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22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ISO Expected</w:t>
            </w:r>
          </w:p>
        </w:tc>
        <w:tc>
          <w:tcPr>
            <w:tcW w:w="336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w w:val="95"/>
              </w:rPr>
              <w:t>For Contracts allocated to SDG&amp;E where the</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right w:val="single" w:sz="8" w:color="auto"/>
            </w:tcBorders>
          </w:tcPr>
          <w:p>
            <w:pPr>
              <w:jc w:val="center"/>
              <w:ind w:right="157"/>
              <w:spacing w:after="0" w:line="160" w:lineRule="exact"/>
              <w:rPr>
                <w:sz w:val="20"/>
                <w:szCs w:val="20"/>
                <w:color w:val="auto"/>
              </w:rPr>
            </w:pPr>
            <w:r>
              <w:rPr>
                <w:rFonts w:ascii="Arial" w:cs="Arial" w:eastAsia="Arial" w:hAnsi="Arial"/>
                <w:sz w:val="17"/>
                <w:szCs w:val="17"/>
                <w:color w:val="auto"/>
                <w:w w:val="92"/>
              </w:rPr>
              <w:t>Ad Hoc,</w:t>
            </w:r>
          </w:p>
        </w:tc>
        <w:tc>
          <w:tcPr>
            <w:tcW w:w="120" w:type="dxa"/>
            <w:vAlign w:val="bottom"/>
          </w:tcPr>
          <w:p>
            <w:pPr>
              <w:spacing w:after="0"/>
              <w:rPr>
                <w:sz w:val="13"/>
                <w:szCs w:val="13"/>
                <w:color w:val="auto"/>
              </w:rPr>
            </w:pPr>
          </w:p>
        </w:tc>
        <w:tc>
          <w:tcPr>
            <w:tcW w:w="1100" w:type="dxa"/>
            <w:vAlign w:val="bottom"/>
            <w:tcBorders>
              <w:right w:val="single" w:sz="8" w:color="auto"/>
            </w:tcBorders>
          </w:tcPr>
          <w:p>
            <w:pPr>
              <w:jc w:val="center"/>
              <w:ind w:right="60"/>
              <w:spacing w:after="0" w:line="160" w:lineRule="exact"/>
              <w:rPr>
                <w:sz w:val="20"/>
                <w:szCs w:val="20"/>
                <w:color w:val="auto"/>
              </w:rPr>
            </w:pPr>
            <w:r>
              <w:rPr>
                <w:rFonts w:ascii="Arial" w:cs="Arial" w:eastAsia="Arial" w:hAnsi="Arial"/>
                <w:sz w:val="17"/>
                <w:szCs w:val="17"/>
                <w:color w:val="auto"/>
                <w:w w:val="92"/>
              </w:rPr>
              <w:t>CMRI Report</w:t>
            </w:r>
          </w:p>
        </w:tc>
        <w:tc>
          <w:tcPr>
            <w:tcW w:w="60" w:type="dxa"/>
            <w:vAlign w:val="bottom"/>
          </w:tcPr>
          <w:p>
            <w:pPr>
              <w:spacing w:after="0"/>
              <w:rPr>
                <w:sz w:val="13"/>
                <w:szCs w:val="13"/>
                <w:color w:val="auto"/>
              </w:rPr>
            </w:pPr>
          </w:p>
        </w:tc>
        <w:tc>
          <w:tcPr>
            <w:tcW w:w="1160" w:type="dxa"/>
            <w:vAlign w:val="bottom"/>
            <w:tcBorders>
              <w:right w:val="single" w:sz="8" w:color="auto"/>
            </w:tcBorders>
          </w:tcPr>
          <w:p>
            <w:pPr>
              <w:jc w:val="center"/>
              <w:ind w:right="19"/>
              <w:spacing w:after="0" w:line="160" w:lineRule="exact"/>
              <w:rPr>
                <w:sz w:val="20"/>
                <w:szCs w:val="20"/>
                <w:color w:val="auto"/>
              </w:rPr>
            </w:pPr>
            <w:r>
              <w:rPr>
                <w:rFonts w:ascii="Arial" w:cs="Arial" w:eastAsia="Arial" w:hAnsi="Arial"/>
                <w:sz w:val="17"/>
                <w:szCs w:val="17"/>
                <w:color w:val="auto"/>
                <w:w w:val="90"/>
              </w:rPr>
              <w:t>Excel format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Energy File</w:t>
            </w:r>
          </w:p>
        </w:tc>
        <w:tc>
          <w:tcPr>
            <w:tcW w:w="33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Utility is the SC, the ISO Expected Energy</w:t>
            </w:r>
          </w:p>
        </w:tc>
        <w:tc>
          <w:tcPr>
            <w:tcW w:w="60" w:type="dxa"/>
            <w:vAlign w:val="bottom"/>
          </w:tcPr>
          <w:p>
            <w:pPr>
              <w:spacing w:after="0"/>
              <w:rPr>
                <w:sz w:val="16"/>
                <w:szCs w:val="16"/>
                <w:color w:val="auto"/>
              </w:rPr>
            </w:pPr>
          </w:p>
        </w:tc>
        <w:tc>
          <w:tcPr>
            <w:tcW w:w="980" w:type="dxa"/>
            <w:vAlign w:val="bottom"/>
            <w:tcBorders>
              <w:right w:val="single" w:sz="8" w:color="auto"/>
            </w:tcBorders>
            <w:gridSpan w:val="2"/>
          </w:tcPr>
          <w:p>
            <w:pPr>
              <w:jc w:val="center"/>
              <w:ind w:right="37"/>
              <w:spacing w:after="0" w:line="186" w:lineRule="exact"/>
              <w:rPr>
                <w:sz w:val="20"/>
                <w:szCs w:val="20"/>
                <w:color w:val="auto"/>
              </w:rPr>
            </w:pPr>
            <w:r>
              <w:rPr>
                <w:rFonts w:ascii="Arial" w:cs="Arial" w:eastAsia="Arial" w:hAnsi="Arial"/>
                <w:sz w:val="17"/>
                <w:szCs w:val="17"/>
                <w:color w:val="auto"/>
                <w:w w:val="86"/>
              </w:rPr>
              <w:t>upon request</w:t>
            </w:r>
          </w:p>
        </w:tc>
        <w:tc>
          <w:tcPr>
            <w:tcW w:w="12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Borders>
              <w:right w:val="single" w:sz="8" w:color="auto"/>
            </w:tcBorders>
          </w:tcPr>
          <w:p>
            <w:pPr>
              <w:jc w:val="center"/>
              <w:ind w:right="19"/>
              <w:spacing w:after="0" w:line="186" w:lineRule="exact"/>
              <w:rPr>
                <w:sz w:val="20"/>
                <w:szCs w:val="20"/>
                <w:color w:val="auto"/>
              </w:rPr>
            </w:pPr>
            <w:r>
              <w:rPr>
                <w:rFonts w:ascii="Arial" w:cs="Arial" w:eastAsia="Arial" w:hAnsi="Arial"/>
                <w:sz w:val="17"/>
                <w:szCs w:val="17"/>
                <w:color w:val="auto"/>
                <w:w w:val="91"/>
              </w:rPr>
              <w:t>by email</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20" w:type="dxa"/>
            <w:vAlign w:val="bottom"/>
            <w:tcBorders>
              <w:left w:val="single" w:sz="8" w:color="auto"/>
              <w:bottom w:val="single" w:sz="8" w:color="auto"/>
              <w:right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File.</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ind w:right="157"/>
              <w:spacing w:after="0"/>
              <w:rPr>
                <w:sz w:val="20"/>
                <w:szCs w:val="20"/>
                <w:color w:val="auto"/>
              </w:rPr>
            </w:pPr>
            <w:r>
              <w:rPr>
                <w:rFonts w:ascii="Arial" w:cs="Arial" w:eastAsia="Arial" w:hAnsi="Arial"/>
                <w:sz w:val="17"/>
                <w:szCs w:val="17"/>
                <w:color w:val="auto"/>
                <w:w w:val="94"/>
              </w:rPr>
              <w:t>of DWR</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22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20" w:type="dxa"/>
            <w:vAlign w:val="bottom"/>
            <w:tcBorders>
              <w:left w:val="single" w:sz="8" w:color="auto"/>
              <w:bottom w:val="single" w:sz="8" w:color="auto"/>
            </w:tcBorders>
          </w:tcPr>
          <w:p>
            <w:pPr>
              <w:spacing w:after="0"/>
              <w:rPr>
                <w:sz w:val="15"/>
                <w:szCs w:val="15"/>
                <w:color w:val="auto"/>
              </w:rPr>
            </w:pPr>
          </w:p>
        </w:tc>
        <w:tc>
          <w:tcPr>
            <w:tcW w:w="3420" w:type="dxa"/>
            <w:vAlign w:val="bottom"/>
            <w:tcBorders>
              <w:bottom w:val="single" w:sz="8" w:color="auto"/>
            </w:tcBorders>
            <w:gridSpan w:val="2"/>
          </w:tcPr>
          <w:p>
            <w:pPr>
              <w:ind w:left="1140"/>
              <w:spacing w:after="0" w:line="176" w:lineRule="exact"/>
              <w:rPr>
                <w:sz w:val="20"/>
                <w:szCs w:val="20"/>
                <w:color w:val="auto"/>
              </w:rPr>
            </w:pPr>
            <w:r>
              <w:rPr>
                <w:rFonts w:ascii="Arial" w:cs="Arial" w:eastAsia="Arial" w:hAnsi="Arial"/>
                <w:sz w:val="17"/>
                <w:szCs w:val="17"/>
                <w:b w:val="1"/>
                <w:bCs w:val="1"/>
                <w:color w:val="auto"/>
                <w:w w:val="92"/>
              </w:rPr>
              <w:t>Utility is Not the Generator SC</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2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7"/>
                <w:szCs w:val="17"/>
                <w:b w:val="1"/>
                <w:bCs w:val="1"/>
                <w:color w:val="auto"/>
              </w:rPr>
              <w:t>Requirement</w:t>
            </w:r>
          </w:p>
        </w:tc>
        <w:tc>
          <w:tcPr>
            <w:tcW w:w="3420" w:type="dxa"/>
            <w:vAlign w:val="bottom"/>
            <w:gridSpan w:val="2"/>
            <w:vMerge w:val="restart"/>
          </w:tcPr>
          <w:p>
            <w:pPr>
              <w:ind w:left="100"/>
              <w:spacing w:after="0"/>
              <w:rPr>
                <w:sz w:val="20"/>
                <w:szCs w:val="20"/>
                <w:color w:val="auto"/>
              </w:rPr>
            </w:pPr>
            <w:r>
              <w:rPr>
                <w:rFonts w:ascii="Arial" w:cs="Arial" w:eastAsia="Arial" w:hAnsi="Arial"/>
                <w:sz w:val="17"/>
                <w:szCs w:val="17"/>
                <w:b w:val="1"/>
                <w:bCs w:val="1"/>
                <w:color w:val="auto"/>
              </w:rPr>
              <w:t>Description</w:t>
            </w:r>
          </w:p>
        </w:tc>
        <w:tc>
          <w:tcPr>
            <w:tcW w:w="14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7"/>
                <w:szCs w:val="17"/>
                <w:b w:val="1"/>
                <w:bCs w:val="1"/>
                <w:color w:val="auto"/>
                <w:w w:val="86"/>
              </w:rPr>
              <w:t>Frequency</w:t>
            </w:r>
          </w:p>
        </w:tc>
        <w:tc>
          <w:tcPr>
            <w:tcW w:w="1100" w:type="dxa"/>
            <w:vAlign w:val="bottom"/>
          </w:tcPr>
          <w:p>
            <w:pPr>
              <w:jc w:val="center"/>
              <w:spacing w:after="0" w:line="156" w:lineRule="exact"/>
              <w:rPr>
                <w:sz w:val="20"/>
                <w:szCs w:val="20"/>
                <w:color w:val="auto"/>
              </w:rPr>
            </w:pPr>
            <w:r>
              <w:rPr>
                <w:rFonts w:ascii="Arial" w:cs="Arial" w:eastAsia="Arial" w:hAnsi="Arial"/>
                <w:sz w:val="17"/>
                <w:szCs w:val="17"/>
                <w:b w:val="1"/>
                <w:bCs w:val="1"/>
                <w:color w:val="auto"/>
                <w:w w:val="91"/>
              </w:rPr>
              <w:t>Report</w:t>
            </w:r>
          </w:p>
        </w:tc>
        <w:tc>
          <w:tcPr>
            <w:tcW w:w="60" w:type="dxa"/>
            <w:vAlign w:val="bottom"/>
            <w:tcBorders>
              <w:right w:val="single" w:sz="8" w:color="auto"/>
            </w:tcBorders>
          </w:tcPr>
          <w:p>
            <w:pPr>
              <w:spacing w:after="0"/>
              <w:rPr>
                <w:sz w:val="13"/>
                <w:szCs w:val="13"/>
                <w:color w:val="auto"/>
              </w:rPr>
            </w:pPr>
          </w:p>
        </w:tc>
        <w:tc>
          <w:tcPr>
            <w:tcW w:w="1160" w:type="dxa"/>
            <w:vAlign w:val="bottom"/>
          </w:tcPr>
          <w:p>
            <w:pPr>
              <w:jc w:val="center"/>
              <w:spacing w:after="0" w:line="156" w:lineRule="exact"/>
              <w:rPr>
                <w:sz w:val="20"/>
                <w:szCs w:val="20"/>
                <w:color w:val="auto"/>
              </w:rPr>
            </w:pPr>
            <w:r>
              <w:rPr>
                <w:rFonts w:ascii="Arial" w:cs="Arial" w:eastAsia="Arial" w:hAnsi="Arial"/>
                <w:sz w:val="17"/>
                <w:szCs w:val="17"/>
                <w:b w:val="1"/>
                <w:bCs w:val="1"/>
                <w:color w:val="auto"/>
                <w:w w:val="90"/>
              </w:rPr>
              <w:t>Delivery</w:t>
            </w: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220" w:type="dxa"/>
            <w:vAlign w:val="bottom"/>
            <w:tcBorders>
              <w:left w:val="single" w:sz="8" w:color="auto"/>
              <w:right w:val="single" w:sz="8" w:color="auto"/>
            </w:tcBorders>
            <w:vMerge w:val="continue"/>
          </w:tcPr>
          <w:p>
            <w:pPr>
              <w:spacing w:after="0"/>
              <w:rPr>
                <w:sz w:val="10"/>
                <w:szCs w:val="10"/>
                <w:color w:val="auto"/>
              </w:rPr>
            </w:pPr>
          </w:p>
        </w:tc>
        <w:tc>
          <w:tcPr>
            <w:tcW w:w="3420" w:type="dxa"/>
            <w:vAlign w:val="bottom"/>
            <w:gridSpan w:val="2"/>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gridSpan w:val="2"/>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86"/>
              </w:rPr>
              <w:t>Name/Source</w:t>
            </w:r>
          </w:p>
        </w:tc>
        <w:tc>
          <w:tcPr>
            <w:tcW w:w="60" w:type="dxa"/>
            <w:vAlign w:val="bottom"/>
            <w:tcBorders>
              <w:right w:val="single" w:sz="8" w:color="auto"/>
            </w:tcBorders>
          </w:tcPr>
          <w:p>
            <w:pPr>
              <w:spacing w:after="0"/>
              <w:rPr>
                <w:sz w:val="10"/>
                <w:szCs w:val="10"/>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2"/>
              </w:rPr>
              <w:t>Method</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220" w:type="dxa"/>
            <w:vAlign w:val="bottom"/>
            <w:tcBorders>
              <w:left w:val="single" w:sz="8" w:color="auto"/>
              <w:bottom w:val="single" w:sz="8" w:color="auto"/>
              <w:right w:val="single" w:sz="8" w:color="auto"/>
            </w:tcBorders>
          </w:tcPr>
          <w:p>
            <w:pPr>
              <w:spacing w:after="0"/>
              <w:rPr>
                <w:sz w:val="7"/>
                <w:szCs w:val="7"/>
                <w:color w:val="auto"/>
              </w:rPr>
            </w:pPr>
          </w:p>
        </w:tc>
        <w:tc>
          <w:tcPr>
            <w:tcW w:w="33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22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w w:val="91"/>
              </w:rPr>
              <w:t>Requested and</w:t>
            </w:r>
          </w:p>
        </w:tc>
        <w:tc>
          <w:tcPr>
            <w:tcW w:w="3420" w:type="dxa"/>
            <w:vAlign w:val="bottom"/>
            <w:gridSpan w:val="2"/>
          </w:tcPr>
          <w:p>
            <w:pPr>
              <w:ind w:left="100"/>
              <w:spacing w:after="0" w:line="160" w:lineRule="exact"/>
              <w:rPr>
                <w:sz w:val="20"/>
                <w:szCs w:val="20"/>
                <w:color w:val="auto"/>
              </w:rPr>
            </w:pPr>
            <w:r>
              <w:rPr>
                <w:rFonts w:ascii="Arial" w:cs="Arial" w:eastAsia="Arial" w:hAnsi="Arial"/>
                <w:sz w:val="17"/>
                <w:szCs w:val="17"/>
                <w:color w:val="auto"/>
              </w:rPr>
              <w:t>For all long-term contracts allocated to the</w:t>
            </w:r>
          </w:p>
        </w:tc>
        <w:tc>
          <w:tcPr>
            <w:tcW w:w="14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gridSpan w:val="2"/>
          </w:tcPr>
          <w:p>
            <w:pPr>
              <w:jc w:val="center"/>
              <w:spacing w:after="0" w:line="160" w:lineRule="exact"/>
              <w:rPr>
                <w:sz w:val="20"/>
                <w:szCs w:val="20"/>
                <w:color w:val="auto"/>
              </w:rPr>
            </w:pPr>
            <w:r>
              <w:rPr>
                <w:rFonts w:ascii="Arial" w:cs="Arial" w:eastAsia="Arial" w:hAnsi="Arial"/>
                <w:sz w:val="17"/>
                <w:szCs w:val="17"/>
                <w:color w:val="auto"/>
                <w:w w:val="92"/>
              </w:rPr>
              <w:t>M+10</w:t>
            </w:r>
          </w:p>
        </w:tc>
        <w:tc>
          <w:tcPr>
            <w:tcW w:w="1100" w:type="dxa"/>
            <w:vAlign w:val="bottom"/>
          </w:tcPr>
          <w:p>
            <w:pPr>
              <w:jc w:val="center"/>
              <w:spacing w:after="0" w:line="160" w:lineRule="exact"/>
              <w:rPr>
                <w:sz w:val="20"/>
                <w:szCs w:val="20"/>
                <w:color w:val="auto"/>
              </w:rPr>
            </w:pPr>
            <w:r>
              <w:rPr>
                <w:rFonts w:ascii="Arial" w:cs="Arial" w:eastAsia="Arial" w:hAnsi="Arial"/>
                <w:sz w:val="17"/>
                <w:szCs w:val="17"/>
                <w:color w:val="auto"/>
                <w:w w:val="89"/>
              </w:rPr>
              <w:t>IST Report</w:t>
            </w:r>
          </w:p>
        </w:tc>
        <w:tc>
          <w:tcPr>
            <w:tcW w:w="60" w:type="dxa"/>
            <w:vAlign w:val="bottom"/>
            <w:tcBorders>
              <w:right w:val="single" w:sz="8" w:color="auto"/>
            </w:tcBorders>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Arial" w:cs="Arial" w:eastAsia="Arial" w:hAnsi="Arial"/>
                <w:sz w:val="17"/>
                <w:szCs w:val="17"/>
                <w:color w:val="auto"/>
                <w:w w:val="87"/>
              </w:rPr>
              <w:t>Excel Format</w:t>
            </w: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Final Day</w:t>
            </w:r>
          </w:p>
        </w:tc>
        <w:tc>
          <w:tcPr>
            <w:tcW w:w="3420" w:type="dxa"/>
            <w:vAlign w:val="bottom"/>
            <w:gridSpan w:val="2"/>
          </w:tcPr>
          <w:p>
            <w:pPr>
              <w:ind w:left="100"/>
              <w:spacing w:after="0" w:line="186" w:lineRule="exact"/>
              <w:rPr>
                <w:sz w:val="20"/>
                <w:szCs w:val="20"/>
                <w:color w:val="auto"/>
              </w:rPr>
            </w:pPr>
            <w:r>
              <w:rPr>
                <w:rFonts w:ascii="Arial" w:cs="Arial" w:eastAsia="Arial" w:hAnsi="Arial"/>
                <w:sz w:val="17"/>
                <w:szCs w:val="17"/>
                <w:color w:val="auto"/>
                <w:w w:val="91"/>
              </w:rPr>
              <w:t>utilities, all the IST information downloaded from</w:t>
            </w:r>
          </w:p>
        </w:tc>
        <w:tc>
          <w:tcPr>
            <w:tcW w:w="1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gridSpan w:val="2"/>
          </w:tcPr>
          <w:p>
            <w:pPr>
              <w:jc w:val="center"/>
              <w:spacing w:after="0" w:line="186" w:lineRule="exact"/>
              <w:rPr>
                <w:sz w:val="20"/>
                <w:szCs w:val="20"/>
                <w:color w:val="auto"/>
              </w:rPr>
            </w:pPr>
            <w:r>
              <w:rPr>
                <w:rFonts w:ascii="Arial" w:cs="Arial" w:eastAsia="Arial" w:hAnsi="Arial"/>
                <w:sz w:val="17"/>
                <w:szCs w:val="17"/>
                <w:color w:val="auto"/>
                <w:w w:val="86"/>
              </w:rPr>
              <w:t>Calendar</w:t>
            </w:r>
          </w:p>
        </w:tc>
        <w:tc>
          <w:tcPr>
            <w:tcW w:w="11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1160" w:type="dxa"/>
            <w:vAlign w:val="bottom"/>
          </w:tcPr>
          <w:p>
            <w:pPr>
              <w:jc w:val="center"/>
              <w:spacing w:after="0" w:line="186" w:lineRule="exact"/>
              <w:rPr>
                <w:sz w:val="20"/>
                <w:szCs w:val="20"/>
                <w:color w:val="auto"/>
              </w:rPr>
            </w:pPr>
            <w:r>
              <w:rPr>
                <w:rFonts w:ascii="Arial" w:cs="Arial" w:eastAsia="Arial" w:hAnsi="Arial"/>
                <w:sz w:val="17"/>
                <w:szCs w:val="17"/>
                <w:color w:val="auto"/>
                <w:w w:val="87"/>
              </w:rPr>
              <w:t>per existing</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Ahead Inter-</w:t>
            </w:r>
          </w:p>
        </w:tc>
        <w:tc>
          <w:tcPr>
            <w:tcW w:w="3420" w:type="dxa"/>
            <w:vAlign w:val="bottom"/>
            <w:gridSpan w:val="2"/>
          </w:tcPr>
          <w:p>
            <w:pPr>
              <w:ind w:left="100"/>
              <w:spacing w:after="0" w:line="186" w:lineRule="exact"/>
              <w:rPr>
                <w:sz w:val="20"/>
                <w:szCs w:val="20"/>
                <w:color w:val="auto"/>
              </w:rPr>
            </w:pPr>
            <w:r>
              <w:rPr>
                <w:rFonts w:ascii="Arial" w:cs="Arial" w:eastAsia="Arial" w:hAnsi="Arial"/>
                <w:sz w:val="17"/>
                <w:szCs w:val="17"/>
                <w:color w:val="auto"/>
              </w:rPr>
              <w:t>SIBR.</w:t>
            </w:r>
          </w:p>
        </w:tc>
        <w:tc>
          <w:tcPr>
            <w:tcW w:w="1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gridSpan w:val="2"/>
          </w:tcPr>
          <w:p>
            <w:pPr>
              <w:jc w:val="center"/>
              <w:ind w:right="20"/>
              <w:spacing w:after="0" w:line="186" w:lineRule="exact"/>
              <w:rPr>
                <w:sz w:val="20"/>
                <w:szCs w:val="20"/>
                <w:color w:val="auto"/>
              </w:rPr>
            </w:pPr>
            <w:r>
              <w:rPr>
                <w:rFonts w:ascii="Arial" w:cs="Arial" w:eastAsia="Arial" w:hAnsi="Arial"/>
                <w:sz w:val="17"/>
                <w:szCs w:val="17"/>
                <w:color w:val="auto"/>
                <w:w w:val="87"/>
              </w:rPr>
              <w:t>Days</w:t>
            </w:r>
          </w:p>
        </w:tc>
        <w:tc>
          <w:tcPr>
            <w:tcW w:w="11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1160" w:type="dxa"/>
            <w:vAlign w:val="bottom"/>
          </w:tcPr>
          <w:p>
            <w:pPr>
              <w:jc w:val="center"/>
              <w:spacing w:after="0" w:line="186" w:lineRule="exact"/>
              <w:rPr>
                <w:sz w:val="20"/>
                <w:szCs w:val="20"/>
                <w:color w:val="auto"/>
              </w:rPr>
            </w:pPr>
            <w:r>
              <w:rPr>
                <w:rFonts w:ascii="Arial" w:cs="Arial" w:eastAsia="Arial" w:hAnsi="Arial"/>
                <w:sz w:val="17"/>
                <w:szCs w:val="17"/>
                <w:color w:val="auto"/>
                <w:w w:val="89"/>
              </w:rPr>
              <w:t>Protocol</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SC Trade</w:t>
            </w:r>
          </w:p>
        </w:tc>
        <w:tc>
          <w:tcPr>
            <w:tcW w:w="3420" w:type="dxa"/>
            <w:vAlign w:val="bottom"/>
            <w:gridSpan w:val="2"/>
            <w:vMerge w:val="restart"/>
          </w:tcPr>
          <w:p>
            <w:pPr>
              <w:ind w:left="100"/>
              <w:spacing w:after="0"/>
              <w:rPr>
                <w:sz w:val="20"/>
                <w:szCs w:val="20"/>
                <w:color w:val="auto"/>
              </w:rPr>
            </w:pPr>
            <w:r>
              <w:rPr>
                <w:rFonts w:ascii="Arial" w:cs="Arial" w:eastAsia="Arial" w:hAnsi="Arial"/>
                <w:sz w:val="17"/>
                <w:szCs w:val="17"/>
                <w:color w:val="auto"/>
                <w:w w:val="92"/>
              </w:rPr>
              <w:t>File should include, but is not limited to; Market,</w:t>
            </w:r>
          </w:p>
        </w:tc>
        <w:tc>
          <w:tcPr>
            <w:tcW w:w="140" w:type="dxa"/>
            <w:vAlign w:val="bottom"/>
            <w:tcBorders>
              <w:right w:val="single" w:sz="8" w:color="auto"/>
            </w:tcBorders>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220" w:type="dxa"/>
            <w:vAlign w:val="bottom"/>
            <w:tcBorders>
              <w:left w:val="single" w:sz="8" w:color="auto"/>
              <w:right w:val="single" w:sz="8" w:color="auto"/>
            </w:tcBorders>
          </w:tcPr>
          <w:p>
            <w:pPr>
              <w:ind w:left="120"/>
              <w:spacing w:after="0" w:line="166" w:lineRule="exact"/>
              <w:rPr>
                <w:sz w:val="20"/>
                <w:szCs w:val="20"/>
                <w:color w:val="auto"/>
              </w:rPr>
            </w:pPr>
            <w:r>
              <w:rPr>
                <w:rFonts w:ascii="Arial" w:cs="Arial" w:eastAsia="Arial" w:hAnsi="Arial"/>
                <w:sz w:val="17"/>
                <w:szCs w:val="17"/>
                <w:color w:val="auto"/>
              </w:rPr>
              <w:t>Volumes</w:t>
            </w:r>
          </w:p>
        </w:tc>
        <w:tc>
          <w:tcPr>
            <w:tcW w:w="3420" w:type="dxa"/>
            <w:vAlign w:val="bottom"/>
            <w:gridSpan w:val="2"/>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2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gridSpan w:val="3"/>
          </w:tcPr>
          <w:p>
            <w:pPr>
              <w:ind w:left="100"/>
              <w:spacing w:after="0"/>
              <w:rPr>
                <w:sz w:val="20"/>
                <w:szCs w:val="20"/>
                <w:color w:val="auto"/>
              </w:rPr>
            </w:pPr>
            <w:r>
              <w:rPr>
                <w:rFonts w:ascii="Arial" w:cs="Arial" w:eastAsia="Arial" w:hAnsi="Arial"/>
                <w:sz w:val="17"/>
                <w:szCs w:val="17"/>
                <w:color w:val="auto"/>
                <w:w w:val="90"/>
              </w:rPr>
              <w:t>Date, Hour, Product Type, Selling SC, Buying SC,</w:t>
            </w:r>
          </w:p>
        </w:tc>
        <w:tc>
          <w:tcPr>
            <w:tcW w:w="960" w:type="dxa"/>
            <w:vAlign w:val="bottom"/>
            <w:tcBorders>
              <w:right w:val="single" w:sz="8" w:color="auto"/>
            </w:tcBorders>
            <w:gridSpan w:val="2"/>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1220" w:type="dxa"/>
            <w:vAlign w:val="bottom"/>
            <w:tcBorders>
              <w:left w:val="single" w:sz="8" w:color="auto"/>
              <w:right w:val="single" w:sz="8" w:color="auto"/>
            </w:tcBorders>
          </w:tcPr>
          <w:p>
            <w:pPr>
              <w:spacing w:after="0"/>
              <w:rPr>
                <w:sz w:val="9"/>
                <w:szCs w:val="9"/>
                <w:color w:val="auto"/>
              </w:rPr>
            </w:pPr>
          </w:p>
        </w:tc>
        <w:tc>
          <w:tcPr>
            <w:tcW w:w="3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280"/>
          </w:cols>
          <w:pgMar w:left="220" w:top="113" w:right="399" w:bottom="0" w:gutter="0" w:footer="0" w:header="0"/>
        </w:sectPr>
      </w:pPr>
    </w:p>
    <w:bookmarkStart w:id="99" w:name="page100"/>
    <w:bookmarkEnd w:id="9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1220" w:type="dxa"/>
            <w:vAlign w:val="bottom"/>
            <w:tcBorders>
              <w:left w:val="single" w:sz="8" w:color="auto"/>
              <w:right w:val="single" w:sz="8" w:color="auto"/>
            </w:tcBorders>
          </w:tcPr>
          <w:p>
            <w:pPr>
              <w:spacing w:after="0"/>
              <w:rPr>
                <w:sz w:val="16"/>
                <w:szCs w:val="16"/>
                <w:color w:val="auto"/>
              </w:rPr>
            </w:pPr>
          </w:p>
        </w:tc>
        <w:tc>
          <w:tcPr>
            <w:tcW w:w="356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w w:val="93"/>
              </w:rPr>
              <w:t>Trading Location, Submitted Qty., Adjusted Qty.,</w:t>
            </w:r>
          </w:p>
        </w:tc>
        <w:tc>
          <w:tcPr>
            <w:tcW w:w="9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spacing w:after="0"/>
              <w:rPr>
                <w:sz w:val="16"/>
                <w:szCs w:val="16"/>
                <w:color w:val="auto"/>
              </w:rPr>
            </w:pPr>
          </w:p>
        </w:tc>
        <w:tc>
          <w:tcPr>
            <w:tcW w:w="35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3"/>
              </w:rPr>
              <w:t>Counter Qty., Trade Name, Trade Type, Depend</w:t>
            </w:r>
          </w:p>
        </w:tc>
        <w:tc>
          <w:tcPr>
            <w:tcW w:w="9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spacing w:after="0"/>
              <w:rPr>
                <w:sz w:val="16"/>
                <w:szCs w:val="16"/>
                <w:color w:val="auto"/>
              </w:rPr>
            </w:pPr>
          </w:p>
        </w:tc>
        <w:tc>
          <w:tcPr>
            <w:tcW w:w="35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5"/>
              </w:rPr>
              <w:t>on Trade, Submit SC, Trade Status, Submitted,</w:t>
            </w:r>
          </w:p>
        </w:tc>
        <w:tc>
          <w:tcPr>
            <w:tcW w:w="9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spacing w:after="0"/>
              <w:rPr>
                <w:sz w:val="16"/>
                <w:szCs w:val="16"/>
                <w:color w:val="auto"/>
              </w:rPr>
            </w:pPr>
          </w:p>
        </w:tc>
        <w:tc>
          <w:tcPr>
            <w:tcW w:w="35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9"/>
              </w:rPr>
              <w:t>Market Status, Physical/APN ISTs, CPTs, IST</w:t>
            </w:r>
          </w:p>
        </w:tc>
        <w:tc>
          <w:tcPr>
            <w:tcW w:w="9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spacing w:after="0"/>
              <w:rPr>
                <w:sz w:val="16"/>
                <w:szCs w:val="16"/>
                <w:color w:val="auto"/>
              </w:rPr>
            </w:pPr>
          </w:p>
        </w:tc>
        <w:tc>
          <w:tcPr>
            <w:tcW w:w="35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0"/>
              </w:rPr>
              <w:t>Quantities not considered for Remittance, and IST</w:t>
            </w:r>
          </w:p>
        </w:tc>
        <w:tc>
          <w:tcPr>
            <w:tcW w:w="9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20" w:type="dxa"/>
            <w:vAlign w:val="bottom"/>
            <w:tcBorders>
              <w:left w:val="single" w:sz="8" w:color="auto"/>
              <w:bottom w:val="single" w:sz="8" w:color="auto"/>
              <w:right w:val="single" w:sz="8" w:color="auto"/>
            </w:tcBorders>
          </w:tcPr>
          <w:p>
            <w:pPr>
              <w:spacing w:after="0"/>
              <w:rPr>
                <w:sz w:val="17"/>
                <w:szCs w:val="17"/>
                <w:color w:val="auto"/>
              </w:rPr>
            </w:pPr>
          </w:p>
        </w:tc>
        <w:tc>
          <w:tcPr>
            <w:tcW w:w="3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Quantities for Remittance Basis</w:t>
            </w:r>
          </w:p>
        </w:tc>
        <w:tc>
          <w:tcPr>
            <w:tcW w:w="96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22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w w:val="91"/>
              </w:rPr>
              <w:t>Requested and</w:t>
            </w:r>
          </w:p>
        </w:tc>
        <w:tc>
          <w:tcPr>
            <w:tcW w:w="356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rPr>
              <w:t>For all long-term contracts allocated to the</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2"/>
              </w:rPr>
              <w:t>M+10</w:t>
            </w:r>
          </w:p>
        </w:tc>
        <w:tc>
          <w:tcPr>
            <w:tcW w:w="1160" w:type="dxa"/>
            <w:vAlign w:val="bottom"/>
            <w:tcBorders>
              <w:right w:val="single" w:sz="8" w:color="auto"/>
            </w:tcBorders>
          </w:tcPr>
          <w:p>
            <w:pPr>
              <w:ind w:left="200"/>
              <w:spacing w:after="0" w:line="160" w:lineRule="exact"/>
              <w:rPr>
                <w:sz w:val="20"/>
                <w:szCs w:val="20"/>
                <w:color w:val="auto"/>
              </w:rPr>
            </w:pPr>
            <w:r>
              <w:rPr>
                <w:rFonts w:ascii="Arial" w:cs="Arial" w:eastAsia="Arial" w:hAnsi="Arial"/>
                <w:sz w:val="17"/>
                <w:szCs w:val="17"/>
                <w:color w:val="auto"/>
              </w:rPr>
              <w:t>IST Report</w:t>
            </w:r>
          </w:p>
        </w:tc>
        <w:tc>
          <w:tcPr>
            <w:tcW w:w="12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7"/>
              </w:rPr>
              <w:t>Excel Format</w:t>
            </w: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Final HASP</w:t>
            </w:r>
          </w:p>
        </w:tc>
        <w:tc>
          <w:tcPr>
            <w:tcW w:w="35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4"/>
              </w:rPr>
              <w:t>utilities, all the IST information downloaded from</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6"/>
              </w:rPr>
              <w:t>Calendar</w:t>
            </w:r>
          </w:p>
        </w:tc>
        <w:tc>
          <w:tcPr>
            <w:tcW w:w="11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7"/>
              </w:rPr>
              <w:t>per existing</w:t>
            </w: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w w:val="94"/>
              </w:rPr>
              <w:t>Inter-SC Trade</w:t>
            </w:r>
          </w:p>
        </w:tc>
        <w:tc>
          <w:tcPr>
            <w:tcW w:w="35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SIBR.</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7"/>
              </w:rPr>
              <w:t>Days</w:t>
            </w:r>
          </w:p>
        </w:tc>
        <w:tc>
          <w:tcPr>
            <w:tcW w:w="11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8"/>
              </w:rPr>
              <w:t>Protocol –</w:t>
            </w:r>
          </w:p>
        </w:tc>
        <w:tc>
          <w:tcPr>
            <w:tcW w:w="0" w:type="dxa"/>
            <w:vAlign w:val="bottom"/>
          </w:tcPr>
          <w:p>
            <w:pPr>
              <w:spacing w:after="0"/>
              <w:rPr>
                <w:sz w:val="1"/>
                <w:szCs w:val="1"/>
                <w:color w:val="auto"/>
              </w:rPr>
            </w:pPr>
          </w:p>
        </w:tc>
      </w:tr>
      <w:tr>
        <w:trPr>
          <w:trHeight w:val="209"/>
        </w:trPr>
        <w:tc>
          <w:tcPr>
            <w:tcW w:w="1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Volumes</w:t>
            </w:r>
          </w:p>
        </w:tc>
        <w:tc>
          <w:tcPr>
            <w:tcW w:w="3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7"/>
                <w:szCs w:val="17"/>
                <w:color w:val="auto"/>
                <w:w w:val="95"/>
              </w:rPr>
              <w:t>File should include, but is not limited to; Market,</w:t>
            </w:r>
          </w:p>
        </w:tc>
        <w:tc>
          <w:tcPr>
            <w:tcW w:w="9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220" w:type="dxa"/>
            <w:vAlign w:val="bottom"/>
            <w:tcBorders>
              <w:left w:val="single" w:sz="8" w:color="auto"/>
              <w:right w:val="single" w:sz="8" w:color="auto"/>
            </w:tcBorders>
          </w:tcPr>
          <w:p>
            <w:pPr>
              <w:spacing w:after="0"/>
              <w:rPr>
                <w:sz w:val="12"/>
                <w:szCs w:val="12"/>
                <w:color w:val="auto"/>
              </w:rPr>
            </w:pPr>
          </w:p>
        </w:tc>
        <w:tc>
          <w:tcPr>
            <w:tcW w:w="356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spacing w:after="0"/>
              <w:rPr>
                <w:sz w:val="16"/>
                <w:szCs w:val="16"/>
                <w:color w:val="auto"/>
              </w:rPr>
            </w:pPr>
          </w:p>
        </w:tc>
        <w:tc>
          <w:tcPr>
            <w:tcW w:w="35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0"/>
              </w:rPr>
              <w:t>Date, Hour, Product Type, Selling SC, Buying SC,</w:t>
            </w:r>
          </w:p>
        </w:tc>
        <w:tc>
          <w:tcPr>
            <w:tcW w:w="9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spacing w:after="0"/>
              <w:rPr>
                <w:sz w:val="16"/>
                <w:szCs w:val="16"/>
                <w:color w:val="auto"/>
              </w:rPr>
            </w:pPr>
          </w:p>
        </w:tc>
        <w:tc>
          <w:tcPr>
            <w:tcW w:w="35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3"/>
              </w:rPr>
              <w:t>Trading Location, Submitted Qty., Adjusted Qty.,</w:t>
            </w:r>
          </w:p>
        </w:tc>
        <w:tc>
          <w:tcPr>
            <w:tcW w:w="9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spacing w:after="0"/>
              <w:rPr>
                <w:sz w:val="16"/>
                <w:szCs w:val="16"/>
                <w:color w:val="auto"/>
              </w:rPr>
            </w:pPr>
          </w:p>
        </w:tc>
        <w:tc>
          <w:tcPr>
            <w:tcW w:w="35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3"/>
              </w:rPr>
              <w:t>Counter Qty., Trade Name, Trade Type, Depend</w:t>
            </w:r>
          </w:p>
        </w:tc>
        <w:tc>
          <w:tcPr>
            <w:tcW w:w="9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spacing w:after="0"/>
              <w:rPr>
                <w:sz w:val="16"/>
                <w:szCs w:val="16"/>
                <w:color w:val="auto"/>
              </w:rPr>
            </w:pPr>
          </w:p>
        </w:tc>
        <w:tc>
          <w:tcPr>
            <w:tcW w:w="35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5"/>
              </w:rPr>
              <w:t>on Trade, Submit SC, Trade Status, Submitted,</w:t>
            </w:r>
          </w:p>
        </w:tc>
        <w:tc>
          <w:tcPr>
            <w:tcW w:w="9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spacing w:after="0"/>
              <w:rPr>
                <w:sz w:val="16"/>
                <w:szCs w:val="16"/>
                <w:color w:val="auto"/>
              </w:rPr>
            </w:pPr>
          </w:p>
        </w:tc>
        <w:tc>
          <w:tcPr>
            <w:tcW w:w="35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9"/>
              </w:rPr>
              <w:t>Market Status, Physical/APN ISTs, CPTs, IST</w:t>
            </w:r>
          </w:p>
        </w:tc>
        <w:tc>
          <w:tcPr>
            <w:tcW w:w="9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spacing w:after="0"/>
              <w:rPr>
                <w:sz w:val="16"/>
                <w:szCs w:val="16"/>
                <w:color w:val="auto"/>
              </w:rPr>
            </w:pPr>
          </w:p>
        </w:tc>
        <w:tc>
          <w:tcPr>
            <w:tcW w:w="35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0"/>
              </w:rPr>
              <w:t>Quantities not considered for Remittance, and IST</w:t>
            </w:r>
          </w:p>
        </w:tc>
        <w:tc>
          <w:tcPr>
            <w:tcW w:w="9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20" w:type="dxa"/>
            <w:vAlign w:val="bottom"/>
            <w:tcBorders>
              <w:left w:val="single" w:sz="8" w:color="auto"/>
              <w:bottom w:val="single" w:sz="8" w:color="auto"/>
              <w:right w:val="single" w:sz="8" w:color="auto"/>
            </w:tcBorders>
          </w:tcPr>
          <w:p>
            <w:pPr>
              <w:spacing w:after="0"/>
              <w:rPr>
                <w:sz w:val="17"/>
                <w:szCs w:val="17"/>
                <w:color w:val="auto"/>
              </w:rPr>
            </w:pPr>
          </w:p>
        </w:tc>
        <w:tc>
          <w:tcPr>
            <w:tcW w:w="3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Quantities for Remittance Basis</w:t>
            </w:r>
          </w:p>
        </w:tc>
        <w:tc>
          <w:tcPr>
            <w:tcW w:w="96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22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Reconciled</w:t>
            </w:r>
          </w:p>
        </w:tc>
        <w:tc>
          <w:tcPr>
            <w:tcW w:w="356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w w:val="97"/>
              </w:rPr>
              <w:t>Monthly invoice and supporting documentation</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rPr>
              <w:t>Monthly 5</w:t>
            </w:r>
          </w:p>
        </w:tc>
        <w:tc>
          <w:tcPr>
            <w:tcW w:w="116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6"/>
              </w:rPr>
              <w:t>Format per</w:t>
            </w: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Monthly</w:t>
            </w:r>
          </w:p>
        </w:tc>
        <w:tc>
          <w:tcPr>
            <w:tcW w:w="35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5"/>
              </w:rPr>
              <w:t>for bilateral contracts relating to DWR long-term</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6"/>
              </w:rPr>
              <w:t>Calendar</w:t>
            </w:r>
          </w:p>
        </w:tc>
        <w:tc>
          <w:tcPr>
            <w:tcW w:w="11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0"/>
              </w:rPr>
              <w:t>existing</w:t>
            </w: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bilateral</w:t>
            </w:r>
          </w:p>
        </w:tc>
        <w:tc>
          <w:tcPr>
            <w:tcW w:w="35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8"/>
              </w:rPr>
              <w:t>contracts, reviewed and approved by utility for</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8"/>
              </w:rPr>
              <w:t>days prior</w:t>
            </w:r>
          </w:p>
        </w:tc>
        <w:tc>
          <w:tcPr>
            <w:tcW w:w="11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9"/>
              </w:rPr>
              <w:t>Protocol</w:t>
            </w: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invoices</w:t>
            </w:r>
          </w:p>
        </w:tc>
        <w:tc>
          <w:tcPr>
            <w:tcW w:w="356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payment by DWR to the counterparty.</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7"/>
              </w:rPr>
              <w:t>to payment</w:t>
            </w:r>
          </w:p>
        </w:tc>
        <w:tc>
          <w:tcPr>
            <w:tcW w:w="11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20" w:type="dxa"/>
            <w:vAlign w:val="bottom"/>
            <w:tcBorders>
              <w:left w:val="single" w:sz="8" w:color="auto"/>
              <w:bottom w:val="single" w:sz="8" w:color="auto"/>
              <w:right w:val="single" w:sz="8" w:color="auto"/>
            </w:tcBorders>
          </w:tcPr>
          <w:p>
            <w:pPr>
              <w:spacing w:after="0"/>
              <w:rPr>
                <w:sz w:val="17"/>
                <w:szCs w:val="17"/>
                <w:color w:val="auto"/>
              </w:rPr>
            </w:pPr>
          </w:p>
        </w:tc>
        <w:tc>
          <w:tcPr>
            <w:tcW w:w="35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due date</w:t>
            </w:r>
          </w:p>
        </w:tc>
        <w:tc>
          <w:tcPr>
            <w:tcW w:w="116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outlines the data to be transferred to the Utility upon receipt by DWR from certain of the Suppliers :</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1120" w:type="dxa"/>
            <w:vAlign w:val="bottom"/>
            <w:tcBorders>
              <w:top w:val="single" w:sz="8" w:color="auto"/>
              <w:left w:val="single" w:sz="8" w:color="auto"/>
            </w:tcBorders>
            <w:vMerge w:val="restart"/>
          </w:tcPr>
          <w:p>
            <w:pPr>
              <w:ind w:left="140"/>
              <w:spacing w:after="0"/>
              <w:rPr>
                <w:sz w:val="20"/>
                <w:szCs w:val="20"/>
                <w:color w:val="auto"/>
              </w:rPr>
            </w:pPr>
            <w:r>
              <w:rPr>
                <w:rFonts w:ascii="Arial" w:cs="Arial" w:eastAsia="Arial" w:hAnsi="Arial"/>
                <w:sz w:val="17"/>
                <w:szCs w:val="17"/>
                <w:b w:val="1"/>
                <w:bCs w:val="1"/>
                <w:color w:val="auto"/>
                <w:w w:val="92"/>
              </w:rPr>
              <w:t>Requirement</w:t>
            </w:r>
          </w:p>
        </w:tc>
        <w:tc>
          <w:tcPr>
            <w:tcW w:w="100" w:type="dxa"/>
            <w:vAlign w:val="bottom"/>
            <w:tcBorders>
              <w:top w:val="single" w:sz="8" w:color="auto"/>
              <w:right w:val="single" w:sz="8" w:color="auto"/>
            </w:tcBorders>
          </w:tcPr>
          <w:p>
            <w:pPr>
              <w:spacing w:after="0"/>
              <w:rPr>
                <w:sz w:val="15"/>
                <w:szCs w:val="15"/>
                <w:color w:val="auto"/>
              </w:rPr>
            </w:pPr>
          </w:p>
        </w:tc>
        <w:tc>
          <w:tcPr>
            <w:tcW w:w="3320" w:type="dxa"/>
            <w:vAlign w:val="bottom"/>
            <w:tcBorders>
              <w:top w:val="single" w:sz="8" w:color="auto"/>
              <w:right w:val="single" w:sz="8" w:color="auto"/>
            </w:tcBorders>
            <w:vMerge w:val="restart"/>
          </w:tcPr>
          <w:p>
            <w:pPr>
              <w:ind w:left="1240"/>
              <w:spacing w:after="0"/>
              <w:rPr>
                <w:sz w:val="20"/>
                <w:szCs w:val="20"/>
                <w:color w:val="auto"/>
              </w:rPr>
            </w:pPr>
            <w:r>
              <w:rPr>
                <w:rFonts w:ascii="Arial" w:cs="Arial" w:eastAsia="Arial" w:hAnsi="Arial"/>
                <w:sz w:val="17"/>
                <w:szCs w:val="17"/>
                <w:b w:val="1"/>
                <w:bCs w:val="1"/>
                <w:color w:val="auto"/>
              </w:rPr>
              <w:t>Description</w:t>
            </w:r>
          </w:p>
        </w:tc>
        <w:tc>
          <w:tcPr>
            <w:tcW w:w="10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6"/>
              </w:rPr>
              <w:t>Frequency</w:t>
            </w:r>
          </w:p>
        </w:tc>
        <w:tc>
          <w:tcPr>
            <w:tcW w:w="1220" w:type="dxa"/>
            <w:vAlign w:val="bottom"/>
            <w:tcBorders>
              <w:top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b w:val="1"/>
                <w:bCs w:val="1"/>
                <w:color w:val="auto"/>
                <w:w w:val="91"/>
              </w:rPr>
              <w:t>Report</w:t>
            </w:r>
          </w:p>
        </w:tc>
        <w:tc>
          <w:tcPr>
            <w:tcW w:w="40" w:type="dxa"/>
            <w:vAlign w:val="bottom"/>
            <w:tcBorders>
              <w:top w:val="single" w:sz="8" w:color="auto"/>
            </w:tcBorders>
          </w:tcPr>
          <w:p>
            <w:pPr>
              <w:spacing w:after="0"/>
              <w:rPr>
                <w:sz w:val="15"/>
                <w:szCs w:val="15"/>
                <w:color w:val="auto"/>
              </w:rPr>
            </w:pPr>
          </w:p>
        </w:tc>
        <w:tc>
          <w:tcPr>
            <w:tcW w:w="1180" w:type="dxa"/>
            <w:vAlign w:val="bottom"/>
            <w:tcBorders>
              <w:top w:val="single" w:sz="8" w:color="auto"/>
              <w:right w:val="single" w:sz="8" w:color="auto"/>
            </w:tcBorders>
          </w:tcPr>
          <w:p>
            <w:pPr>
              <w:ind w:left="260"/>
              <w:spacing w:after="0" w:line="180" w:lineRule="exact"/>
              <w:rPr>
                <w:sz w:val="20"/>
                <w:szCs w:val="20"/>
                <w:color w:val="auto"/>
              </w:rPr>
            </w:pPr>
            <w:r>
              <w:rPr>
                <w:rFonts w:ascii="Arial" w:cs="Arial" w:eastAsia="Arial" w:hAnsi="Arial"/>
                <w:sz w:val="17"/>
                <w:szCs w:val="17"/>
                <w:b w:val="1"/>
                <w:bCs w:val="1"/>
                <w:color w:val="auto"/>
              </w:rPr>
              <w:t>Delivery</w:t>
            </w:r>
          </w:p>
        </w:tc>
        <w:tc>
          <w:tcPr>
            <w:tcW w:w="0" w:type="dxa"/>
            <w:vAlign w:val="bottom"/>
          </w:tcPr>
          <w:p>
            <w:pPr>
              <w:spacing w:after="0"/>
              <w:rPr>
                <w:sz w:val="1"/>
                <w:szCs w:val="1"/>
                <w:color w:val="auto"/>
              </w:rPr>
            </w:pPr>
          </w:p>
        </w:tc>
      </w:tr>
      <w:tr>
        <w:trPr>
          <w:trHeight w:val="120"/>
        </w:trPr>
        <w:tc>
          <w:tcPr>
            <w:tcW w:w="1120" w:type="dxa"/>
            <w:vAlign w:val="bottom"/>
            <w:tcBorders>
              <w:left w:val="single" w:sz="8" w:color="auto"/>
            </w:tcBorders>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332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6"/>
              </w:rPr>
              <w:t>Name/Source</w:t>
            </w:r>
          </w:p>
        </w:tc>
        <w:tc>
          <w:tcPr>
            <w:tcW w:w="40" w:type="dxa"/>
            <w:vAlign w:val="bottom"/>
          </w:tcPr>
          <w:p>
            <w:pPr>
              <w:spacing w:after="0"/>
              <w:rPr>
                <w:sz w:val="10"/>
                <w:szCs w:val="10"/>
                <w:color w:val="auto"/>
              </w:rPr>
            </w:pPr>
          </w:p>
        </w:tc>
        <w:tc>
          <w:tcPr>
            <w:tcW w:w="1180" w:type="dxa"/>
            <w:vAlign w:val="bottom"/>
            <w:tcBorders>
              <w:right w:val="single" w:sz="8" w:color="auto"/>
            </w:tcBorders>
            <w:vMerge w:val="restart"/>
          </w:tcPr>
          <w:p>
            <w:pPr>
              <w:ind w:left="280"/>
              <w:spacing w:after="0"/>
              <w:rPr>
                <w:sz w:val="20"/>
                <w:szCs w:val="20"/>
                <w:color w:val="auto"/>
              </w:rPr>
            </w:pPr>
            <w:r>
              <w:rPr>
                <w:rFonts w:ascii="Arial" w:cs="Arial" w:eastAsia="Arial" w:hAnsi="Arial"/>
                <w:sz w:val="17"/>
                <w:szCs w:val="17"/>
                <w:b w:val="1"/>
                <w:bCs w:val="1"/>
                <w:color w:val="auto"/>
              </w:rPr>
              <w:t>Method</w:t>
            </w:r>
          </w:p>
        </w:tc>
        <w:tc>
          <w:tcPr>
            <w:tcW w:w="0" w:type="dxa"/>
            <w:vAlign w:val="bottom"/>
          </w:tcPr>
          <w:p>
            <w:pPr>
              <w:spacing w:after="0"/>
              <w:rPr>
                <w:sz w:val="1"/>
                <w:szCs w:val="1"/>
                <w:color w:val="auto"/>
              </w:rPr>
            </w:pPr>
          </w:p>
        </w:tc>
      </w:tr>
      <w:tr>
        <w:trPr>
          <w:trHeight w:val="102"/>
        </w:trPr>
        <w:tc>
          <w:tcPr>
            <w:tcW w:w="112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332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220" w:type="dxa"/>
            <w:vAlign w:val="bottom"/>
            <w:tcBorders>
              <w:bottom w:val="single" w:sz="8" w:color="auto"/>
              <w:right w:val="single" w:sz="8" w:color="auto"/>
            </w:tcBorders>
            <w:vMerge w:val="continue"/>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8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11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60" w:type="dxa"/>
            <w:vAlign w:val="bottom"/>
            <w:gridSpan w:val="4"/>
          </w:tcPr>
          <w:p>
            <w:pPr>
              <w:jc w:val="center"/>
              <w:ind w:right="60"/>
              <w:spacing w:after="0" w:line="141" w:lineRule="exact"/>
              <w:rPr>
                <w:sz w:val="20"/>
                <w:szCs w:val="20"/>
                <w:color w:val="auto"/>
              </w:rPr>
            </w:pPr>
            <w:r>
              <w:rPr>
                <w:rFonts w:ascii="Arial" w:cs="Arial" w:eastAsia="Arial" w:hAnsi="Arial"/>
                <w:sz w:val="16"/>
                <w:szCs w:val="16"/>
                <w:b w:val="1"/>
                <w:bCs w:val="1"/>
                <w:color w:val="auto"/>
                <w:w w:val="94"/>
              </w:rPr>
              <w:t>Data to be Provided by DWR to Utility when the Utility is Not the Generator SC</w:t>
            </w:r>
          </w:p>
        </w:tc>
        <w:tc>
          <w:tcPr>
            <w:tcW w:w="1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120" w:type="dxa"/>
            <w:vAlign w:val="bottom"/>
            <w:tcBorders>
              <w:left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0" w:type="dxa"/>
            <w:vAlign w:val="bottom"/>
            <w:tcBorders>
              <w:bottom w:val="single" w:sz="8" w:color="auto"/>
            </w:tcBorders>
            <w:gridSpan w:val="2"/>
          </w:tcPr>
          <w:p>
            <w:pPr>
              <w:jc w:val="center"/>
              <w:ind w:left="1118"/>
              <w:spacing w:after="0"/>
              <w:rPr>
                <w:sz w:val="20"/>
                <w:szCs w:val="20"/>
                <w:color w:val="auto"/>
              </w:rPr>
            </w:pPr>
            <w:r>
              <w:rPr>
                <w:rFonts w:ascii="Arial" w:cs="Arial" w:eastAsia="Arial" w:hAnsi="Arial"/>
                <w:sz w:val="17"/>
                <w:szCs w:val="17"/>
                <w:b w:val="1"/>
                <w:bCs w:val="1"/>
                <w:color w:val="auto"/>
                <w:w w:val="89"/>
              </w:rPr>
              <w:t>Relating to Small Dispatchable Contracts</w:t>
            </w:r>
          </w:p>
        </w:tc>
        <w:tc>
          <w:tcPr>
            <w:tcW w:w="1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120" w:type="dxa"/>
            <w:vAlign w:val="bottom"/>
            <w:tcBorders>
              <w:left w:val="single" w:sz="8" w:color="auto"/>
            </w:tcBorders>
          </w:tcPr>
          <w:p>
            <w:pPr>
              <w:ind w:left="120"/>
              <w:spacing w:after="0" w:line="160" w:lineRule="exact"/>
              <w:rPr>
                <w:sz w:val="20"/>
                <w:szCs w:val="20"/>
                <w:color w:val="auto"/>
              </w:rPr>
            </w:pPr>
            <w:r>
              <w:rPr>
                <w:rFonts w:ascii="Arial" w:cs="Arial" w:eastAsia="Arial" w:hAnsi="Arial"/>
                <w:sz w:val="17"/>
                <w:szCs w:val="17"/>
                <w:color w:val="auto"/>
                <w:w w:val="93"/>
              </w:rPr>
              <w:t>ISO Expected</w:t>
            </w:r>
          </w:p>
        </w:tc>
        <w:tc>
          <w:tcPr>
            <w:tcW w:w="100" w:type="dxa"/>
            <w:vAlign w:val="bottom"/>
            <w:tcBorders>
              <w:right w:val="single" w:sz="8" w:color="auto"/>
            </w:tcBorders>
          </w:tcPr>
          <w:p>
            <w:pPr>
              <w:spacing w:after="0"/>
              <w:rPr>
                <w:sz w:val="13"/>
                <w:szCs w:val="13"/>
                <w:color w:val="auto"/>
              </w:rPr>
            </w:pPr>
          </w:p>
        </w:tc>
        <w:tc>
          <w:tcPr>
            <w:tcW w:w="332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w w:val="98"/>
              </w:rPr>
              <w:t>For Contracts Allocated to Utility where the</w:t>
            </w:r>
          </w:p>
        </w:tc>
        <w:tc>
          <w:tcPr>
            <w:tcW w:w="108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5"/>
              </w:rPr>
              <w:t>M + 10</w:t>
            </w:r>
          </w:p>
        </w:tc>
        <w:tc>
          <w:tcPr>
            <w:tcW w:w="12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2"/>
              </w:rPr>
              <w:t>CMRI Report</w:t>
            </w:r>
          </w:p>
        </w:tc>
        <w:tc>
          <w:tcPr>
            <w:tcW w:w="40" w:type="dxa"/>
            <w:vAlign w:val="bottom"/>
          </w:tcPr>
          <w:p>
            <w:pPr>
              <w:spacing w:after="0"/>
              <w:rPr>
                <w:sz w:val="13"/>
                <w:szCs w:val="13"/>
                <w:color w:val="auto"/>
              </w:rPr>
            </w:pPr>
          </w:p>
        </w:tc>
        <w:tc>
          <w:tcPr>
            <w:tcW w:w="1180" w:type="dxa"/>
            <w:vAlign w:val="bottom"/>
            <w:tcBorders>
              <w:right w:val="single" w:sz="8" w:color="auto"/>
            </w:tcBorders>
          </w:tcPr>
          <w:p>
            <w:pPr>
              <w:ind w:left="40"/>
              <w:spacing w:after="0" w:line="160" w:lineRule="exact"/>
              <w:rPr>
                <w:sz w:val="20"/>
                <w:szCs w:val="20"/>
                <w:color w:val="auto"/>
              </w:rPr>
            </w:pPr>
            <w:r>
              <w:rPr>
                <w:rFonts w:ascii="Arial" w:cs="Arial" w:eastAsia="Arial" w:hAnsi="Arial"/>
                <w:sz w:val="17"/>
                <w:szCs w:val="17"/>
                <w:color w:val="auto"/>
              </w:rPr>
              <w:t>Excel format</w:t>
            </w:r>
          </w:p>
        </w:tc>
        <w:tc>
          <w:tcPr>
            <w:tcW w:w="0" w:type="dxa"/>
            <w:vAlign w:val="bottom"/>
          </w:tcPr>
          <w:p>
            <w:pPr>
              <w:spacing w:after="0"/>
              <w:rPr>
                <w:sz w:val="1"/>
                <w:szCs w:val="1"/>
                <w:color w:val="auto"/>
              </w:rPr>
            </w:pPr>
          </w:p>
        </w:tc>
      </w:tr>
      <w:tr>
        <w:trPr>
          <w:trHeight w:val="186"/>
        </w:trPr>
        <w:tc>
          <w:tcPr>
            <w:tcW w:w="1120" w:type="dxa"/>
            <w:vAlign w:val="bottom"/>
            <w:tcBorders>
              <w:left w:val="single" w:sz="8" w:color="auto"/>
            </w:tcBorders>
          </w:tcPr>
          <w:p>
            <w:pPr>
              <w:ind w:left="120"/>
              <w:spacing w:after="0" w:line="186" w:lineRule="exact"/>
              <w:rPr>
                <w:sz w:val="20"/>
                <w:szCs w:val="20"/>
                <w:color w:val="auto"/>
              </w:rPr>
            </w:pPr>
            <w:r>
              <w:rPr>
                <w:rFonts w:ascii="Arial" w:cs="Arial" w:eastAsia="Arial" w:hAnsi="Arial"/>
                <w:sz w:val="17"/>
                <w:szCs w:val="17"/>
                <w:color w:val="auto"/>
              </w:rPr>
              <w:t>Energy File</w:t>
            </w:r>
          </w:p>
        </w:tc>
        <w:tc>
          <w:tcPr>
            <w:tcW w:w="100" w:type="dxa"/>
            <w:vAlign w:val="bottom"/>
            <w:tcBorders>
              <w:right w:val="single" w:sz="8" w:color="auto"/>
            </w:tcBorders>
          </w:tcPr>
          <w:p>
            <w:pPr>
              <w:spacing w:after="0"/>
              <w:rPr>
                <w:sz w:val="16"/>
                <w:szCs w:val="16"/>
                <w:color w:val="auto"/>
              </w:rPr>
            </w:pPr>
          </w:p>
        </w:tc>
        <w:tc>
          <w:tcPr>
            <w:tcW w:w="332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Utility is not the SC and market bids are</w:t>
            </w:r>
          </w:p>
        </w:tc>
        <w:tc>
          <w:tcPr>
            <w:tcW w:w="108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6"/>
              </w:rPr>
              <w:t>Calendar</w:t>
            </w:r>
          </w:p>
        </w:tc>
        <w:tc>
          <w:tcPr>
            <w:tcW w:w="12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7"/>
                <w:szCs w:val="17"/>
                <w:color w:val="auto"/>
              </w:rPr>
              <w:t>by email or</w:t>
            </w:r>
          </w:p>
        </w:tc>
        <w:tc>
          <w:tcPr>
            <w:tcW w:w="0" w:type="dxa"/>
            <w:vAlign w:val="bottom"/>
          </w:tcPr>
          <w:p>
            <w:pPr>
              <w:spacing w:after="0"/>
              <w:rPr>
                <w:sz w:val="1"/>
                <w:szCs w:val="1"/>
                <w:color w:val="auto"/>
              </w:rPr>
            </w:pPr>
          </w:p>
        </w:tc>
      </w:tr>
      <w:tr>
        <w:trPr>
          <w:trHeight w:val="186"/>
        </w:trPr>
        <w:tc>
          <w:tcPr>
            <w:tcW w:w="1120" w:type="dxa"/>
            <w:vAlign w:val="bottom"/>
            <w:tcBorders>
              <w:lef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32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directed to be submitted by Utility</w:t>
            </w:r>
          </w:p>
        </w:tc>
        <w:tc>
          <w:tcPr>
            <w:tcW w:w="108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7"/>
              </w:rPr>
              <w:t>Days</w:t>
            </w:r>
          </w:p>
        </w:tc>
        <w:tc>
          <w:tcPr>
            <w:tcW w:w="12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7"/>
                <w:szCs w:val="17"/>
                <w:color w:val="auto"/>
              </w:rPr>
              <w:t>Secure</w:t>
            </w:r>
          </w:p>
        </w:tc>
        <w:tc>
          <w:tcPr>
            <w:tcW w:w="0" w:type="dxa"/>
            <w:vAlign w:val="bottom"/>
          </w:tcPr>
          <w:p>
            <w:pPr>
              <w:spacing w:after="0"/>
              <w:rPr>
                <w:sz w:val="1"/>
                <w:szCs w:val="1"/>
                <w:color w:val="auto"/>
              </w:rPr>
            </w:pPr>
          </w:p>
        </w:tc>
      </w:tr>
      <w:tr>
        <w:trPr>
          <w:trHeight w:val="186"/>
        </w:trPr>
        <w:tc>
          <w:tcPr>
            <w:tcW w:w="1120" w:type="dxa"/>
            <w:vAlign w:val="bottom"/>
            <w:tcBorders>
              <w:lef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3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7"/>
                <w:szCs w:val="17"/>
                <w:color w:val="auto"/>
              </w:rPr>
              <w:t>Electronic ISO</w:t>
            </w:r>
          </w:p>
        </w:tc>
        <w:tc>
          <w:tcPr>
            <w:tcW w:w="0" w:type="dxa"/>
            <w:vAlign w:val="bottom"/>
          </w:tcPr>
          <w:p>
            <w:pPr>
              <w:spacing w:after="0"/>
              <w:rPr>
                <w:sz w:val="1"/>
                <w:szCs w:val="1"/>
                <w:color w:val="auto"/>
              </w:rPr>
            </w:pPr>
          </w:p>
        </w:tc>
      </w:tr>
      <w:tr>
        <w:trPr>
          <w:trHeight w:val="186"/>
        </w:trPr>
        <w:tc>
          <w:tcPr>
            <w:tcW w:w="1120" w:type="dxa"/>
            <w:vAlign w:val="bottom"/>
            <w:tcBorders>
              <w:lef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3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7"/>
                <w:szCs w:val="17"/>
                <w:color w:val="auto"/>
              </w:rPr>
              <w:t>Template</w:t>
            </w:r>
          </w:p>
        </w:tc>
        <w:tc>
          <w:tcPr>
            <w:tcW w:w="0" w:type="dxa"/>
            <w:vAlign w:val="bottom"/>
          </w:tcPr>
          <w:p>
            <w:pPr>
              <w:spacing w:after="0"/>
              <w:rPr>
                <w:sz w:val="1"/>
                <w:szCs w:val="1"/>
                <w:color w:val="auto"/>
              </w:rPr>
            </w:pPr>
          </w:p>
        </w:tc>
      </w:tr>
      <w:tr>
        <w:trPr>
          <w:trHeight w:val="186"/>
        </w:trPr>
        <w:tc>
          <w:tcPr>
            <w:tcW w:w="1120" w:type="dxa"/>
            <w:vAlign w:val="bottom"/>
            <w:tcBorders>
              <w:lef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3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Borders>
              <w:right w:val="single" w:sz="8" w:color="auto"/>
            </w:tcBorders>
          </w:tcPr>
          <w:p>
            <w:pPr>
              <w:ind w:left="40"/>
              <w:spacing w:after="0" w:line="186" w:lineRule="exact"/>
              <w:rPr>
                <w:sz w:val="20"/>
                <w:szCs w:val="20"/>
                <w:color w:val="auto"/>
              </w:rPr>
            </w:pPr>
            <w:r>
              <w:rPr>
                <w:rFonts w:ascii="Arial" w:cs="Arial" w:eastAsia="Arial" w:hAnsi="Arial"/>
                <w:sz w:val="17"/>
                <w:szCs w:val="17"/>
                <w:color w:val="auto"/>
              </w:rPr>
              <w:t>Directly from</w:t>
            </w:r>
          </w:p>
        </w:tc>
        <w:tc>
          <w:tcPr>
            <w:tcW w:w="0" w:type="dxa"/>
            <w:vAlign w:val="bottom"/>
          </w:tcPr>
          <w:p>
            <w:pPr>
              <w:spacing w:after="0"/>
              <w:rPr>
                <w:sz w:val="1"/>
                <w:szCs w:val="1"/>
                <w:color w:val="auto"/>
              </w:rPr>
            </w:pPr>
          </w:p>
        </w:tc>
      </w:tr>
      <w:tr>
        <w:trPr>
          <w:trHeight w:val="203"/>
        </w:trPr>
        <w:tc>
          <w:tcPr>
            <w:tcW w:w="1120" w:type="dxa"/>
            <w:vAlign w:val="bottom"/>
            <w:tcBorders>
              <w:left w:val="single" w:sz="8" w:color="auto"/>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33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ISO</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line="349" w:lineRule="auto"/>
        <w:rPr>
          <w:sz w:val="20"/>
          <w:szCs w:val="20"/>
          <w:color w:val="auto"/>
        </w:rPr>
      </w:pPr>
      <w:r>
        <w:rPr>
          <w:rFonts w:ascii="Arial" w:cs="Arial" w:eastAsia="Arial" w:hAnsi="Arial"/>
          <w:sz w:val="14"/>
          <w:szCs w:val="14"/>
          <w:color w:val="auto"/>
        </w:rPr>
        <w:t>In the event of a bilateral invoice dispute with the counterparty, DWR may also request from the utility the additional schedule information. This information would be in the same format as outlined in the table above. In the cases the Utility is the generator SC, CDWR may request additional ISO data for dispute resolution.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F-</w:t>
      </w:r>
    </w:p>
    <w:p>
      <w:pPr>
        <w:sectPr>
          <w:pgSz w:w="11900" w:h="16838" w:orient="portrait"/>
          <w:cols w:equalWidth="0" w:num="1">
            <w:col w:w="11260"/>
          </w:cols>
          <w:pgMar w:left="220" w:top="113" w:right="419" w:bottom="1440" w:gutter="0" w:footer="0" w:header="0"/>
        </w:sectPr>
      </w:pPr>
    </w:p>
    <w:bookmarkStart w:id="100" w:name="page101"/>
    <w:bookmarkEnd w:id="100"/>
    <w:p>
      <w:pPr>
        <w:spacing w:after="0" w:line="245" w:lineRule="auto"/>
        <w:rPr>
          <w:sz w:val="20"/>
          <w:szCs w:val="20"/>
          <w:color w:val="auto"/>
        </w:rPr>
      </w:pPr>
      <w:r>
        <w:rPr>
          <w:rFonts w:ascii="Arial" w:cs="Arial" w:eastAsia="Arial" w:hAnsi="Arial"/>
          <w:sz w:val="17"/>
          <w:szCs w:val="17"/>
          <w:color w:val="auto"/>
        </w:rPr>
        <w:t>The following table outlines DWR data requirements relating to the verification of fuel costs. It assumes DWR will retain legal and financial responsibility for gas and related services while the utility will perform administrative and operational responsibilities as outlined in Exhibit B.</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134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4"/>
                <w:szCs w:val="14"/>
                <w:color w:val="auto"/>
              </w:rPr>
              <w:t>Fuel Costs</w:t>
            </w:r>
          </w:p>
        </w:tc>
        <w:tc>
          <w:tcPr>
            <w:tcW w:w="2900" w:type="dxa"/>
            <w:vAlign w:val="bottom"/>
            <w:tcBorders>
              <w:top w:val="single" w:sz="8" w:color="auto"/>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340" w:type="dxa"/>
            <w:vAlign w:val="bottom"/>
            <w:tcBorders>
              <w:left w:val="single" w:sz="8" w:color="auto"/>
              <w:bottom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34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7"/>
                <w:szCs w:val="17"/>
                <w:b w:val="1"/>
                <w:bCs w:val="1"/>
                <w:color w:val="auto"/>
              </w:rPr>
              <w:t>Requirement</w:t>
            </w:r>
          </w:p>
        </w:tc>
        <w:tc>
          <w:tcPr>
            <w:tcW w:w="2900" w:type="dxa"/>
            <w:vAlign w:val="bottom"/>
            <w:tcBorders>
              <w:right w:val="single" w:sz="8" w:color="auto"/>
            </w:tcBorders>
            <w:vMerge w:val="restart"/>
          </w:tcPr>
          <w:p>
            <w:pPr>
              <w:ind w:left="1020"/>
              <w:spacing w:after="0"/>
              <w:rPr>
                <w:sz w:val="20"/>
                <w:szCs w:val="20"/>
                <w:color w:val="auto"/>
              </w:rPr>
            </w:pPr>
            <w:r>
              <w:rPr>
                <w:rFonts w:ascii="Arial" w:cs="Arial" w:eastAsia="Arial" w:hAnsi="Arial"/>
                <w:sz w:val="17"/>
                <w:szCs w:val="17"/>
                <w:b w:val="1"/>
                <w:bCs w:val="1"/>
                <w:color w:val="auto"/>
              </w:rPr>
              <w:t>Description</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Freq</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7"/>
              </w:rPr>
              <w:t>Effective</w:t>
            </w:r>
          </w:p>
        </w:tc>
        <w:tc>
          <w:tcPr>
            <w:tcW w:w="126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3"/>
                <w:szCs w:val="13"/>
                <w:b w:val="1"/>
                <w:bCs w:val="1"/>
                <w:color w:val="auto"/>
              </w:rPr>
              <w:t>Delivery</w:t>
            </w:r>
          </w:p>
        </w:tc>
        <w:tc>
          <w:tcPr>
            <w:tcW w:w="0" w:type="dxa"/>
            <w:vAlign w:val="bottom"/>
          </w:tcPr>
          <w:p>
            <w:pPr>
              <w:spacing w:after="0"/>
              <w:rPr>
                <w:sz w:val="1"/>
                <w:szCs w:val="1"/>
                <w:color w:val="auto"/>
              </w:rPr>
            </w:pPr>
          </w:p>
        </w:tc>
      </w:tr>
      <w:tr>
        <w:trPr>
          <w:trHeight w:val="120"/>
        </w:trPr>
        <w:tc>
          <w:tcPr>
            <w:tcW w:w="1340" w:type="dxa"/>
            <w:vAlign w:val="bottom"/>
            <w:tcBorders>
              <w:left w:val="single" w:sz="8" w:color="auto"/>
              <w:right w:val="single" w:sz="8" w:color="auto"/>
            </w:tcBorders>
            <w:vMerge w:val="continue"/>
          </w:tcPr>
          <w:p>
            <w:pPr>
              <w:spacing w:after="0"/>
              <w:rPr>
                <w:sz w:val="10"/>
                <w:szCs w:val="10"/>
                <w:color w:val="auto"/>
              </w:rPr>
            </w:pPr>
          </w:p>
        </w:tc>
        <w:tc>
          <w:tcPr>
            <w:tcW w:w="290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Method</w:t>
            </w:r>
          </w:p>
        </w:tc>
        <w:tc>
          <w:tcPr>
            <w:tcW w:w="0" w:type="dxa"/>
            <w:vAlign w:val="bottom"/>
          </w:tcPr>
          <w:p>
            <w:pPr>
              <w:spacing w:after="0"/>
              <w:rPr>
                <w:sz w:val="1"/>
                <w:szCs w:val="1"/>
                <w:color w:val="auto"/>
              </w:rPr>
            </w:pPr>
          </w:p>
        </w:tc>
      </w:tr>
      <w:tr>
        <w:trPr>
          <w:trHeight w:val="86"/>
        </w:trPr>
        <w:tc>
          <w:tcPr>
            <w:tcW w:w="1340" w:type="dxa"/>
            <w:vAlign w:val="bottom"/>
            <w:tcBorders>
              <w:left w:val="single" w:sz="8" w:color="auto"/>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34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Generator fuel</w:t>
            </w:r>
          </w:p>
        </w:tc>
        <w:tc>
          <w:tcPr>
            <w:tcW w:w="290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rPr>
              <w:t>Proposal and supporting analysis on</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6"/>
              </w:rPr>
              <w:t>Based on</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4"/>
              </w:rPr>
              <w:t>Jan-03</w:t>
            </w:r>
          </w:p>
        </w:tc>
        <w:tc>
          <w:tcPr>
            <w:tcW w:w="12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4"/>
              </w:rPr>
              <w:t>E-mail or</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plan proposal</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whether or not to accept or reject of</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5"/>
              </w:rPr>
              <w:t>individual</w:t>
            </w: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0"/>
              </w:rPr>
              <w:t>overnight mail</w:t>
            </w: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generator fuel plan.</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contracts</w:t>
            </w:r>
          </w:p>
        </w:tc>
        <w:tc>
          <w:tcPr>
            <w:tcW w:w="9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4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Utility Fuel</w:t>
            </w:r>
          </w:p>
        </w:tc>
        <w:tc>
          <w:tcPr>
            <w:tcW w:w="290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rPr>
              <w:t>Utility will provide a bi-annual fuel</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4"/>
              </w:rPr>
              <w:t>Bi-Annual</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4"/>
              </w:rPr>
              <w:t>Jan-03</w:t>
            </w:r>
          </w:p>
        </w:tc>
        <w:tc>
          <w:tcPr>
            <w:tcW w:w="12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1"/>
              </w:rPr>
              <w:t>E-mail</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Procurement</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procurement plan for utility supplied</w:t>
            </w:r>
          </w:p>
        </w:tc>
        <w:tc>
          <w:tcPr>
            <w:tcW w:w="9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Plan</w:t>
            </w:r>
          </w:p>
        </w:tc>
        <w:tc>
          <w:tcPr>
            <w:tcW w:w="2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fuel.</w:t>
            </w:r>
          </w:p>
        </w:tc>
        <w:tc>
          <w:tcPr>
            <w:tcW w:w="9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4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Tolling</w:t>
            </w:r>
          </w:p>
        </w:tc>
        <w:tc>
          <w:tcPr>
            <w:tcW w:w="290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rPr>
              <w:t>Monthly report on each DWR tolling</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4"/>
              </w:rPr>
              <w:t>Monthly</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5"/>
              </w:rPr>
              <w:t>Feb-03</w:t>
            </w:r>
          </w:p>
        </w:tc>
        <w:tc>
          <w:tcPr>
            <w:tcW w:w="12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1"/>
              </w:rPr>
              <w:t>Electronic</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agreement</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agreement that includes but is not</w:t>
            </w:r>
          </w:p>
        </w:tc>
        <w:tc>
          <w:tcPr>
            <w:tcW w:w="9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7"/>
              </w:rPr>
              <w:t>Transmission</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Settlement</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limited to: tolling contract identifier,</w:t>
            </w:r>
          </w:p>
        </w:tc>
        <w:tc>
          <w:tcPr>
            <w:tcW w:w="9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Report</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3"/>
              </w:rPr>
              <w:t>who provided the gas (generator/utility)</w:t>
            </w:r>
          </w:p>
        </w:tc>
        <w:tc>
          <w:tcPr>
            <w:tcW w:w="9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and daily quantity of gas supplied.</w:t>
            </w:r>
          </w:p>
        </w:tc>
        <w:tc>
          <w:tcPr>
            <w:tcW w:w="9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4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Reconciled</w:t>
            </w:r>
          </w:p>
        </w:tc>
        <w:tc>
          <w:tcPr>
            <w:tcW w:w="290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rPr>
              <w:t>Suppliers monthly invoice and</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4"/>
              </w:rPr>
              <w:t>Monthly –</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5"/>
              </w:rPr>
              <w:t>Feb-03</w:t>
            </w:r>
          </w:p>
        </w:tc>
        <w:tc>
          <w:tcPr>
            <w:tcW w:w="12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1"/>
              </w:rPr>
              <w:t>Electronic</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Monthly Gas</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supporting documentation for fuel</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5"/>
              </w:rPr>
              <w:t>5-business</w:t>
            </w: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7"/>
              </w:rPr>
              <w:t>Transmission</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Invoice</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procurement relating to DWR tolling</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8"/>
              </w:rPr>
              <w:t>days prior</w:t>
            </w: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2"/>
              </w:rPr>
              <w:t>agreements, reviewed and approved by</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7"/>
              </w:rPr>
              <w:t>to payment</w:t>
            </w: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Utility for payment by DWR to the</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4"/>
              </w:rPr>
              <w:t>due date</w:t>
            </w: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supplier.</w:t>
            </w:r>
          </w:p>
        </w:tc>
        <w:tc>
          <w:tcPr>
            <w:tcW w:w="9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4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Gas</w:t>
            </w:r>
          </w:p>
        </w:tc>
        <w:tc>
          <w:tcPr>
            <w:tcW w:w="290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w w:val="95"/>
              </w:rPr>
              <w:t>Details relating to the Utility negotiated</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9"/>
              </w:rPr>
              <w:t>When</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rPr>
              <w:t>All</w:t>
            </w:r>
          </w:p>
        </w:tc>
        <w:tc>
          <w:tcPr>
            <w:tcW w:w="12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1"/>
              </w:rPr>
              <w:t>E-mail / Fax /</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Transportation</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7"/>
              </w:rPr>
              <w:t>firm and/or interruptible transportation</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4"/>
              </w:rPr>
              <w:t>executed</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6"/>
              </w:rPr>
              <w:t>contracts</w:t>
            </w:r>
          </w:p>
        </w:tc>
        <w:tc>
          <w:tcPr>
            <w:tcW w:w="12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4"/>
              </w:rPr>
              <w:t>Overnight Mail</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Contract</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agreements for DWR review and</w:t>
            </w:r>
          </w:p>
        </w:tc>
        <w:tc>
          <w:tcPr>
            <w:tcW w:w="9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1"/>
              </w:rPr>
              <w:t>effective</w:t>
            </w: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Information</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authorization.</w:t>
            </w:r>
          </w:p>
        </w:tc>
        <w:tc>
          <w:tcPr>
            <w:tcW w:w="9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8"/>
              </w:rPr>
              <w:t>after</w:t>
            </w: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right"/>
              <w:ind w:right="117"/>
              <w:spacing w:after="0"/>
              <w:rPr>
                <w:sz w:val="20"/>
                <w:szCs w:val="20"/>
                <w:color w:val="auto"/>
              </w:rPr>
            </w:pPr>
            <w:r>
              <w:rPr>
                <w:rFonts w:ascii="Arial" w:cs="Arial" w:eastAsia="Arial" w:hAnsi="Arial"/>
                <w:sz w:val="17"/>
                <w:szCs w:val="17"/>
                <w:color w:val="auto"/>
              </w:rPr>
              <w:t>1/1/2003</w:t>
            </w:r>
          </w:p>
        </w:tc>
        <w:tc>
          <w:tcPr>
            <w:tcW w:w="1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4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Gas Storage</w:t>
            </w:r>
          </w:p>
        </w:tc>
        <w:tc>
          <w:tcPr>
            <w:tcW w:w="290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w w:val="95"/>
              </w:rPr>
              <w:t>Details relating to the Utility/negotiated</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9"/>
              </w:rPr>
              <w:t>When</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rPr>
              <w:t>All</w:t>
            </w:r>
          </w:p>
        </w:tc>
        <w:tc>
          <w:tcPr>
            <w:tcW w:w="12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3"/>
              </w:rPr>
              <w:t>E-mail/Fax</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Contract</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firm and/or interruptible storage</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4"/>
              </w:rPr>
              <w:t>executed</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6"/>
              </w:rPr>
              <w:t>contracts</w:t>
            </w: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Information</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agreements for DWR review and</w:t>
            </w:r>
          </w:p>
        </w:tc>
        <w:tc>
          <w:tcPr>
            <w:tcW w:w="9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1"/>
              </w:rPr>
              <w:t>effective</w:t>
            </w: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authorization.</w:t>
            </w:r>
          </w:p>
        </w:tc>
        <w:tc>
          <w:tcPr>
            <w:tcW w:w="9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8"/>
              </w:rPr>
              <w:t>after</w:t>
            </w: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7"/>
                <w:szCs w:val="17"/>
                <w:color w:val="auto"/>
              </w:rPr>
              <w:t>1/1/03</w:t>
            </w:r>
          </w:p>
        </w:tc>
        <w:tc>
          <w:tcPr>
            <w:tcW w:w="1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4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Reconciled</w:t>
            </w:r>
          </w:p>
        </w:tc>
        <w:tc>
          <w:tcPr>
            <w:tcW w:w="290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rPr>
              <w:t>Suppliers monthly invoice and</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4"/>
              </w:rPr>
              <w:t>Monthly –</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5"/>
              </w:rPr>
              <w:t>Feb-03</w:t>
            </w:r>
          </w:p>
        </w:tc>
        <w:tc>
          <w:tcPr>
            <w:tcW w:w="12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1"/>
              </w:rPr>
              <w:t>Electronic</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Monthly gas</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9"/>
              </w:rPr>
              <w:t>supporting documentation for natural</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5"/>
              </w:rPr>
              <w:t>5-business</w:t>
            </w: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7"/>
              </w:rPr>
              <w:t>Transmission</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transportation</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gas transportation costs relating to</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8"/>
              </w:rPr>
              <w:t>days prior</w:t>
            </w: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9"/>
              </w:rPr>
              <w:t>or overnight</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invoices</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3"/>
              </w:rPr>
              <w:t>DWR tolling agreements, reviewed and</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7"/>
              </w:rPr>
              <w:t>to payment</w:t>
            </w: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9"/>
              </w:rPr>
              <w:t>mail</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approved by utility for payment by</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4"/>
              </w:rPr>
              <w:t>due date</w:t>
            </w: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DWR to the supplier.</w:t>
            </w:r>
          </w:p>
        </w:tc>
        <w:tc>
          <w:tcPr>
            <w:tcW w:w="9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4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Reconciled</w:t>
            </w:r>
          </w:p>
        </w:tc>
        <w:tc>
          <w:tcPr>
            <w:tcW w:w="290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rPr>
              <w:t>Supplier’s monthly invoice and</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4"/>
              </w:rPr>
              <w:t>Monthly –</w:t>
            </w:r>
          </w:p>
        </w:tc>
        <w:tc>
          <w:tcPr>
            <w:tcW w:w="9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5"/>
              </w:rPr>
              <w:t>Feb-03</w:t>
            </w:r>
          </w:p>
        </w:tc>
        <w:tc>
          <w:tcPr>
            <w:tcW w:w="12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1"/>
              </w:rPr>
              <w:t>Electronic</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60"/>
              <w:spacing w:after="0" w:line="186" w:lineRule="exact"/>
              <w:rPr>
                <w:sz w:val="20"/>
                <w:szCs w:val="20"/>
                <w:color w:val="auto"/>
              </w:rPr>
            </w:pPr>
            <w:r>
              <w:rPr>
                <w:rFonts w:ascii="Arial" w:cs="Arial" w:eastAsia="Arial" w:hAnsi="Arial"/>
                <w:sz w:val="17"/>
                <w:szCs w:val="17"/>
                <w:color w:val="auto"/>
              </w:rPr>
              <w:t>Monthly gas</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7"/>
              </w:rPr>
              <w:t>supporting documentation for storage</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5"/>
              </w:rPr>
              <w:t>5-business</w:t>
            </w: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7"/>
              </w:rPr>
              <w:t>Transmission</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w w:val="96"/>
              </w:rPr>
              <w:t>storage invoices</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relating to DWR tolling agreements,</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8"/>
              </w:rPr>
              <w:t>days prior</w:t>
            </w: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9"/>
              </w:rPr>
              <w:t>or overnight</w:t>
            </w:r>
          </w:p>
        </w:tc>
        <w:tc>
          <w:tcPr>
            <w:tcW w:w="0" w:type="dxa"/>
            <w:vAlign w:val="bottom"/>
          </w:tcPr>
          <w:p>
            <w:pPr>
              <w:spacing w:after="0"/>
              <w:rPr>
                <w:sz w:val="1"/>
                <w:szCs w:val="1"/>
                <w:color w:val="auto"/>
              </w:rPr>
            </w:pPr>
          </w:p>
        </w:tc>
      </w:tr>
      <w:tr>
        <w:trPr>
          <w:trHeight w:val="186"/>
        </w:trPr>
        <w:tc>
          <w:tcPr>
            <w:tcW w:w="134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reviewed and approved by utility for</w:t>
            </w:r>
          </w:p>
        </w:tc>
        <w:tc>
          <w:tcPr>
            <w:tcW w:w="9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7"/>
              </w:rPr>
              <w:t>to payment</w:t>
            </w:r>
          </w:p>
        </w:tc>
        <w:tc>
          <w:tcPr>
            <w:tcW w:w="9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9"/>
              </w:rPr>
              <w:t>mail</w:t>
            </w: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payment by DWR to the supplier.</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due date</w:t>
            </w:r>
          </w:p>
        </w:tc>
        <w:tc>
          <w:tcPr>
            <w:tcW w:w="96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55"/>
        </w:trPr>
        <w:tc>
          <w:tcPr>
            <w:tcW w:w="1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ind w:left="460"/>
              <w:spacing w:after="0"/>
              <w:rPr>
                <w:sz w:val="20"/>
                <w:szCs w:val="20"/>
                <w:color w:val="auto"/>
              </w:rPr>
            </w:pPr>
            <w:r>
              <w:rPr>
                <w:rFonts w:ascii="Arial" w:cs="Arial" w:eastAsia="Arial" w:hAnsi="Arial"/>
                <w:sz w:val="17"/>
                <w:szCs w:val="17"/>
                <w:color w:val="auto"/>
              </w:rPr>
              <w:t>F-</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20" w:top="681" w:right="599" w:bottom="1440" w:gutter="0" w:footer="0" w:header="0"/>
        </w:sectPr>
      </w:pPr>
    </w:p>
    <w:bookmarkStart w:id="101" w:name="page102"/>
    <w:bookmarkEnd w:id="101"/>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outlines additional DWR data relating to utility revenue remittance:</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260" w:type="dxa"/>
            <w:vAlign w:val="bottom"/>
            <w:tcBorders>
              <w:top w:val="single" w:sz="8" w:color="auto"/>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7"/>
                <w:szCs w:val="17"/>
                <w:b w:val="1"/>
                <w:bCs w:val="1"/>
                <w:color w:val="auto"/>
              </w:rPr>
              <w:t>Utility Revenue Remittance</w:t>
            </w:r>
          </w:p>
        </w:tc>
        <w:tc>
          <w:tcPr>
            <w:tcW w:w="9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360" w:type="dxa"/>
            <w:vAlign w:val="bottom"/>
            <w:tcBorders>
              <w:left w:val="single" w:sz="8" w:color="auto"/>
              <w:right w:val="single" w:sz="8" w:color="auto"/>
            </w:tcBorders>
            <w:vMerge w:val="restart"/>
          </w:tcPr>
          <w:p>
            <w:pPr>
              <w:ind w:left="220"/>
              <w:spacing w:after="0"/>
              <w:rPr>
                <w:sz w:val="20"/>
                <w:szCs w:val="20"/>
                <w:color w:val="auto"/>
              </w:rPr>
            </w:pPr>
            <w:r>
              <w:rPr>
                <w:rFonts w:ascii="Arial" w:cs="Arial" w:eastAsia="Arial" w:hAnsi="Arial"/>
                <w:sz w:val="17"/>
                <w:szCs w:val="17"/>
                <w:b w:val="1"/>
                <w:bCs w:val="1"/>
                <w:color w:val="auto"/>
              </w:rPr>
              <w:t>Requirement</w:t>
            </w:r>
          </w:p>
        </w:tc>
        <w:tc>
          <w:tcPr>
            <w:tcW w:w="2900" w:type="dxa"/>
            <w:vAlign w:val="bottom"/>
            <w:tcBorders>
              <w:right w:val="single" w:sz="8" w:color="auto"/>
            </w:tcBorders>
            <w:vMerge w:val="restart"/>
          </w:tcPr>
          <w:p>
            <w:pPr>
              <w:ind w:left="1020"/>
              <w:spacing w:after="0"/>
              <w:rPr>
                <w:sz w:val="20"/>
                <w:szCs w:val="20"/>
                <w:color w:val="auto"/>
              </w:rPr>
            </w:pPr>
            <w:r>
              <w:rPr>
                <w:rFonts w:ascii="Arial" w:cs="Arial" w:eastAsia="Arial" w:hAnsi="Arial"/>
                <w:sz w:val="17"/>
                <w:szCs w:val="17"/>
                <w:b w:val="1"/>
                <w:bCs w:val="1"/>
                <w:color w:val="auto"/>
              </w:rPr>
              <w:t>Description</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Freq</w:t>
            </w:r>
          </w:p>
        </w:tc>
        <w:tc>
          <w:tcPr>
            <w:tcW w:w="12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6"/>
                <w:szCs w:val="16"/>
                <w:b w:val="1"/>
                <w:bCs w:val="1"/>
                <w:color w:val="auto"/>
                <w:w w:val="93"/>
              </w:rPr>
              <w:t>Report</w:t>
            </w:r>
          </w:p>
        </w:tc>
        <w:tc>
          <w:tcPr>
            <w:tcW w:w="11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6"/>
                <w:szCs w:val="16"/>
                <w:b w:val="1"/>
                <w:bCs w:val="1"/>
                <w:color w:val="auto"/>
                <w:w w:val="96"/>
              </w:rPr>
              <w:t>Delivery</w:t>
            </w:r>
          </w:p>
        </w:tc>
        <w:tc>
          <w:tcPr>
            <w:tcW w:w="0" w:type="dxa"/>
            <w:vAlign w:val="bottom"/>
          </w:tcPr>
          <w:p>
            <w:pPr>
              <w:spacing w:after="0"/>
              <w:rPr>
                <w:sz w:val="1"/>
                <w:szCs w:val="1"/>
                <w:color w:val="auto"/>
              </w:rPr>
            </w:pPr>
          </w:p>
        </w:tc>
      </w:tr>
      <w:tr>
        <w:trPr>
          <w:trHeight w:val="120"/>
        </w:trPr>
        <w:tc>
          <w:tcPr>
            <w:tcW w:w="1360" w:type="dxa"/>
            <w:vAlign w:val="bottom"/>
            <w:tcBorders>
              <w:left w:val="single" w:sz="8" w:color="auto"/>
              <w:right w:val="single" w:sz="8" w:color="auto"/>
            </w:tcBorders>
            <w:vMerge w:val="continue"/>
          </w:tcPr>
          <w:p>
            <w:pPr>
              <w:spacing w:after="0"/>
              <w:rPr>
                <w:sz w:val="10"/>
                <w:szCs w:val="10"/>
                <w:color w:val="auto"/>
              </w:rPr>
            </w:pPr>
          </w:p>
        </w:tc>
        <w:tc>
          <w:tcPr>
            <w:tcW w:w="290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6"/>
              </w:rPr>
              <w:t>Name/Source</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Method</w:t>
            </w:r>
          </w:p>
        </w:tc>
        <w:tc>
          <w:tcPr>
            <w:tcW w:w="0" w:type="dxa"/>
            <w:vAlign w:val="bottom"/>
          </w:tcPr>
          <w:p>
            <w:pPr>
              <w:spacing w:after="0"/>
              <w:rPr>
                <w:sz w:val="1"/>
                <w:szCs w:val="1"/>
                <w:color w:val="auto"/>
              </w:rPr>
            </w:pPr>
          </w:p>
        </w:tc>
      </w:tr>
      <w:tr>
        <w:trPr>
          <w:trHeight w:val="86"/>
        </w:trPr>
        <w:tc>
          <w:tcPr>
            <w:tcW w:w="1360" w:type="dxa"/>
            <w:vAlign w:val="bottom"/>
            <w:tcBorders>
              <w:left w:val="single" w:sz="8" w:color="auto"/>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vMerge w:val="continue"/>
          </w:tcPr>
          <w:p>
            <w:pPr>
              <w:spacing w:after="0"/>
              <w:rPr>
                <w:sz w:val="7"/>
                <w:szCs w:val="7"/>
                <w:color w:val="auto"/>
              </w:rPr>
            </w:pPr>
          </w:p>
        </w:tc>
        <w:tc>
          <w:tcPr>
            <w:tcW w:w="11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360" w:type="dxa"/>
            <w:vAlign w:val="bottom"/>
            <w:tcBorders>
              <w:left w:val="single" w:sz="8" w:color="auto"/>
              <w:right w:val="single" w:sz="8" w:color="auto"/>
            </w:tcBorders>
          </w:tcPr>
          <w:p>
            <w:pPr>
              <w:spacing w:after="0"/>
              <w:rPr>
                <w:sz w:val="13"/>
                <w:szCs w:val="13"/>
                <w:color w:val="auto"/>
              </w:rPr>
            </w:pPr>
          </w:p>
        </w:tc>
        <w:tc>
          <w:tcPr>
            <w:tcW w:w="290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5"/>
              </w:rPr>
              <w:t>Secure</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Utility</w:t>
            </w:r>
          </w:p>
        </w:tc>
        <w:tc>
          <w:tcPr>
            <w:tcW w:w="2900" w:type="dxa"/>
            <w:vAlign w:val="bottom"/>
            <w:tcBorders>
              <w:right w:val="single" w:sz="8" w:color="auto"/>
            </w:tcBorders>
            <w:vMerge w:val="restart"/>
          </w:tcPr>
          <w:p>
            <w:pPr>
              <w:ind w:left="80"/>
              <w:spacing w:after="0"/>
              <w:rPr>
                <w:sz w:val="20"/>
                <w:szCs w:val="20"/>
                <w:color w:val="auto"/>
              </w:rPr>
            </w:pPr>
            <w:r>
              <w:rPr>
                <w:rFonts w:ascii="Arial" w:cs="Arial" w:eastAsia="Arial" w:hAnsi="Arial"/>
                <w:sz w:val="17"/>
                <w:szCs w:val="17"/>
                <w:color w:val="auto"/>
              </w:rPr>
              <w:t>Related to Prior Day Adjustments (or</w:t>
            </w:r>
          </w:p>
        </w:tc>
        <w:tc>
          <w:tcPr>
            <w:tcW w:w="9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1"/>
              </w:rPr>
              <w:t>Electronic -</w:t>
            </w:r>
          </w:p>
        </w:tc>
        <w:tc>
          <w:tcPr>
            <w:tcW w:w="0" w:type="dxa"/>
            <w:vAlign w:val="bottom"/>
          </w:tcPr>
          <w:p>
            <w:pPr>
              <w:spacing w:after="0"/>
              <w:rPr>
                <w:sz w:val="1"/>
                <w:szCs w:val="1"/>
                <w:color w:val="auto"/>
              </w:rPr>
            </w:pPr>
          </w:p>
        </w:tc>
      </w:tr>
      <w:tr>
        <w:trPr>
          <w:trHeight w:val="93"/>
        </w:trPr>
        <w:tc>
          <w:tcPr>
            <w:tcW w:w="1360" w:type="dxa"/>
            <w:vAlign w:val="bottom"/>
            <w:tcBorders>
              <w:left w:val="single" w:sz="8" w:color="auto"/>
              <w:right w:val="single" w:sz="8" w:color="auto"/>
            </w:tcBorders>
            <w:vMerge w:val="restart"/>
          </w:tcPr>
          <w:p>
            <w:pPr>
              <w:ind w:left="120"/>
              <w:spacing w:after="0" w:line="186" w:lineRule="exact"/>
              <w:rPr>
                <w:sz w:val="20"/>
                <w:szCs w:val="20"/>
                <w:color w:val="auto"/>
              </w:rPr>
            </w:pPr>
            <w:r>
              <w:rPr>
                <w:rFonts w:ascii="Arial" w:cs="Arial" w:eastAsia="Arial" w:hAnsi="Arial"/>
                <w:sz w:val="17"/>
                <w:szCs w:val="17"/>
                <w:color w:val="auto"/>
              </w:rPr>
              <w:t>Preliminary ISO</w:t>
            </w:r>
          </w:p>
        </w:tc>
        <w:tc>
          <w:tcPr>
            <w:tcW w:w="290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vMerge w:val="restart"/>
          </w:tcPr>
          <w:p>
            <w:pPr>
              <w:jc w:val="center"/>
              <w:spacing w:after="0" w:line="186" w:lineRule="exact"/>
              <w:rPr>
                <w:sz w:val="20"/>
                <w:szCs w:val="20"/>
                <w:color w:val="auto"/>
              </w:rPr>
            </w:pPr>
            <w:r>
              <w:rPr>
                <w:rFonts w:ascii="Arial" w:cs="Arial" w:eastAsia="Arial" w:hAnsi="Arial"/>
                <w:sz w:val="17"/>
                <w:szCs w:val="17"/>
                <w:color w:val="auto"/>
                <w:w w:val="87"/>
              </w:rPr>
              <w:t>ISO Template</w:t>
            </w:r>
          </w:p>
        </w:tc>
        <w:tc>
          <w:tcPr>
            <w:tcW w:w="0" w:type="dxa"/>
            <w:vAlign w:val="bottom"/>
          </w:tcPr>
          <w:p>
            <w:pPr>
              <w:spacing w:after="0"/>
              <w:rPr>
                <w:sz w:val="1"/>
                <w:szCs w:val="1"/>
                <w:color w:val="auto"/>
              </w:rPr>
            </w:pPr>
          </w:p>
        </w:tc>
      </w:tr>
      <w:tr>
        <w:trPr>
          <w:trHeight w:val="93"/>
        </w:trPr>
        <w:tc>
          <w:tcPr>
            <w:tcW w:w="1360" w:type="dxa"/>
            <w:vAlign w:val="bottom"/>
            <w:tcBorders>
              <w:left w:val="single" w:sz="8" w:color="auto"/>
              <w:right w:val="single" w:sz="8" w:color="auto"/>
            </w:tcBorders>
            <w:vMerge w:val="continue"/>
          </w:tcPr>
          <w:p>
            <w:pPr>
              <w:spacing w:after="0"/>
              <w:rPr>
                <w:sz w:val="8"/>
                <w:szCs w:val="8"/>
                <w:color w:val="auto"/>
              </w:rPr>
            </w:pPr>
          </w:p>
        </w:tc>
        <w:tc>
          <w:tcPr>
            <w:tcW w:w="2900" w:type="dxa"/>
            <w:vAlign w:val="bottom"/>
            <w:tcBorders>
              <w:right w:val="single" w:sz="8" w:color="auto"/>
            </w:tcBorders>
            <w:vMerge w:val="restart"/>
          </w:tcPr>
          <w:p>
            <w:pPr>
              <w:ind w:left="80"/>
              <w:spacing w:after="0" w:line="186" w:lineRule="exact"/>
              <w:rPr>
                <w:sz w:val="20"/>
                <w:szCs w:val="20"/>
                <w:color w:val="auto"/>
              </w:rPr>
            </w:pPr>
            <w:r>
              <w:rPr>
                <w:rFonts w:ascii="Arial" w:cs="Arial" w:eastAsia="Arial" w:hAnsi="Arial"/>
                <w:sz w:val="17"/>
                <w:szCs w:val="17"/>
                <w:color w:val="auto"/>
              </w:rPr>
              <w:t>similar adjustments) for trade hours</w:t>
            </w:r>
          </w:p>
        </w:tc>
        <w:tc>
          <w:tcPr>
            <w:tcW w:w="98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360" w:type="dxa"/>
            <w:vAlign w:val="bottom"/>
            <w:tcBorders>
              <w:left w:val="single" w:sz="8" w:color="auto"/>
              <w:right w:val="single" w:sz="8" w:color="auto"/>
            </w:tcBorders>
            <w:vMerge w:val="restart"/>
          </w:tcPr>
          <w:p>
            <w:pPr>
              <w:ind w:left="120"/>
              <w:spacing w:after="0" w:line="186" w:lineRule="exact"/>
              <w:rPr>
                <w:sz w:val="20"/>
                <w:szCs w:val="20"/>
                <w:color w:val="auto"/>
              </w:rPr>
            </w:pPr>
            <w:r>
              <w:rPr>
                <w:rFonts w:ascii="Arial" w:cs="Arial" w:eastAsia="Arial" w:hAnsi="Arial"/>
                <w:sz w:val="17"/>
                <w:szCs w:val="17"/>
                <w:color w:val="auto"/>
              </w:rPr>
              <w:t>Settlement</w:t>
            </w:r>
          </w:p>
        </w:tc>
        <w:tc>
          <w:tcPr>
            <w:tcW w:w="290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restart"/>
          </w:tcPr>
          <w:p>
            <w:pPr>
              <w:jc w:val="center"/>
              <w:spacing w:after="0" w:line="186" w:lineRule="exact"/>
              <w:rPr>
                <w:sz w:val="20"/>
                <w:szCs w:val="20"/>
                <w:color w:val="auto"/>
              </w:rPr>
            </w:pPr>
            <w:r>
              <w:rPr>
                <w:rFonts w:ascii="Arial" w:cs="Arial" w:eastAsia="Arial" w:hAnsi="Arial"/>
                <w:sz w:val="17"/>
                <w:szCs w:val="17"/>
                <w:color w:val="auto"/>
                <w:w w:val="88"/>
              </w:rPr>
              <w:t>Continuous</w:t>
            </w:r>
          </w:p>
        </w:tc>
        <w:tc>
          <w:tcPr>
            <w:tcW w:w="1200" w:type="dxa"/>
            <w:vAlign w:val="bottom"/>
            <w:tcBorders>
              <w:right w:val="single" w:sz="8" w:color="auto"/>
            </w:tcBorders>
            <w:vMerge w:val="restart"/>
          </w:tcPr>
          <w:p>
            <w:pPr>
              <w:jc w:val="center"/>
              <w:spacing w:after="0" w:line="186" w:lineRule="exact"/>
              <w:rPr>
                <w:sz w:val="20"/>
                <w:szCs w:val="20"/>
                <w:color w:val="auto"/>
              </w:rPr>
            </w:pPr>
            <w:r>
              <w:rPr>
                <w:rFonts w:ascii="Arial" w:cs="Arial" w:eastAsia="Arial" w:hAnsi="Arial"/>
                <w:sz w:val="17"/>
                <w:szCs w:val="17"/>
                <w:color w:val="auto"/>
                <w:w w:val="95"/>
              </w:rPr>
              <w:t>ISO</w:t>
            </w:r>
          </w:p>
        </w:tc>
        <w:tc>
          <w:tcPr>
            <w:tcW w:w="1160" w:type="dxa"/>
            <w:vAlign w:val="bottom"/>
            <w:tcBorders>
              <w:right w:val="single" w:sz="8" w:color="auto"/>
            </w:tcBorders>
            <w:vMerge w:val="restart"/>
          </w:tcPr>
          <w:p>
            <w:pPr>
              <w:jc w:val="center"/>
              <w:spacing w:after="0" w:line="186" w:lineRule="exact"/>
              <w:rPr>
                <w:sz w:val="20"/>
                <w:szCs w:val="20"/>
                <w:color w:val="auto"/>
              </w:rPr>
            </w:pPr>
            <w:r>
              <w:rPr>
                <w:rFonts w:ascii="Arial" w:cs="Arial" w:eastAsia="Arial" w:hAnsi="Arial"/>
                <w:sz w:val="17"/>
                <w:szCs w:val="17"/>
                <w:color w:val="auto"/>
                <w:w w:val="93"/>
              </w:rPr>
              <w:t>Direct from</w:t>
            </w:r>
          </w:p>
        </w:tc>
        <w:tc>
          <w:tcPr>
            <w:tcW w:w="0" w:type="dxa"/>
            <w:vAlign w:val="bottom"/>
          </w:tcPr>
          <w:p>
            <w:pPr>
              <w:spacing w:after="0"/>
              <w:rPr>
                <w:sz w:val="1"/>
                <w:szCs w:val="1"/>
                <w:color w:val="auto"/>
              </w:rPr>
            </w:pPr>
          </w:p>
        </w:tc>
      </w:tr>
      <w:tr>
        <w:trPr>
          <w:trHeight w:val="93"/>
        </w:trPr>
        <w:tc>
          <w:tcPr>
            <w:tcW w:w="1360" w:type="dxa"/>
            <w:vAlign w:val="bottom"/>
            <w:tcBorders>
              <w:left w:val="single" w:sz="8" w:color="auto"/>
              <w:right w:val="single" w:sz="8" w:color="auto"/>
            </w:tcBorders>
            <w:vMerge w:val="continue"/>
          </w:tcPr>
          <w:p>
            <w:pPr>
              <w:spacing w:after="0"/>
              <w:rPr>
                <w:sz w:val="8"/>
                <w:szCs w:val="8"/>
                <w:color w:val="auto"/>
              </w:rPr>
            </w:pPr>
          </w:p>
        </w:tc>
        <w:tc>
          <w:tcPr>
            <w:tcW w:w="2900" w:type="dxa"/>
            <w:vAlign w:val="bottom"/>
            <w:tcBorders>
              <w:right w:val="single" w:sz="8" w:color="auto"/>
            </w:tcBorders>
            <w:vMerge w:val="restart"/>
          </w:tcPr>
          <w:p>
            <w:pPr>
              <w:ind w:left="80"/>
              <w:spacing w:after="0" w:line="186" w:lineRule="exact"/>
              <w:rPr>
                <w:sz w:val="20"/>
                <w:szCs w:val="20"/>
                <w:color w:val="auto"/>
              </w:rPr>
            </w:pPr>
            <w:r>
              <w:rPr>
                <w:rFonts w:ascii="Arial" w:cs="Arial" w:eastAsia="Arial" w:hAnsi="Arial"/>
                <w:sz w:val="17"/>
                <w:szCs w:val="17"/>
                <w:color w:val="auto"/>
              </w:rPr>
              <w:t>between January 17, 2001 through</w:t>
            </w:r>
          </w:p>
        </w:tc>
        <w:tc>
          <w:tcPr>
            <w:tcW w:w="98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360" w:type="dxa"/>
            <w:vAlign w:val="bottom"/>
            <w:tcBorders>
              <w:left w:val="single" w:sz="8" w:color="auto"/>
              <w:right w:val="single" w:sz="8" w:color="auto"/>
            </w:tcBorders>
            <w:vMerge w:val="restart"/>
          </w:tcPr>
          <w:p>
            <w:pPr>
              <w:ind w:left="120"/>
              <w:spacing w:after="0" w:line="186" w:lineRule="exact"/>
              <w:rPr>
                <w:sz w:val="20"/>
                <w:szCs w:val="20"/>
                <w:color w:val="auto"/>
              </w:rPr>
            </w:pPr>
            <w:r>
              <w:rPr>
                <w:rFonts w:ascii="Arial" w:cs="Arial" w:eastAsia="Arial" w:hAnsi="Arial"/>
                <w:sz w:val="17"/>
                <w:szCs w:val="17"/>
                <w:color w:val="auto"/>
              </w:rPr>
              <w:t>Statement and</w:t>
            </w:r>
          </w:p>
        </w:tc>
        <w:tc>
          <w:tcPr>
            <w:tcW w:w="290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vMerge w:val="restart"/>
          </w:tcPr>
          <w:p>
            <w:pPr>
              <w:jc w:val="center"/>
              <w:spacing w:after="0" w:line="186" w:lineRule="exact"/>
              <w:rPr>
                <w:sz w:val="20"/>
                <w:szCs w:val="20"/>
                <w:color w:val="auto"/>
              </w:rPr>
            </w:pPr>
            <w:r>
              <w:rPr>
                <w:rFonts w:ascii="Arial" w:cs="Arial" w:eastAsia="Arial" w:hAnsi="Arial"/>
                <w:sz w:val="17"/>
                <w:szCs w:val="17"/>
                <w:color w:val="auto"/>
                <w:w w:val="88"/>
              </w:rPr>
              <w:t>ISO or other</w:t>
            </w:r>
          </w:p>
        </w:tc>
        <w:tc>
          <w:tcPr>
            <w:tcW w:w="0" w:type="dxa"/>
            <w:vAlign w:val="bottom"/>
          </w:tcPr>
          <w:p>
            <w:pPr>
              <w:spacing w:after="0"/>
              <w:rPr>
                <w:sz w:val="1"/>
                <w:szCs w:val="1"/>
                <w:color w:val="auto"/>
              </w:rPr>
            </w:pPr>
          </w:p>
        </w:tc>
      </w:tr>
      <w:tr>
        <w:trPr>
          <w:trHeight w:val="93"/>
        </w:trPr>
        <w:tc>
          <w:tcPr>
            <w:tcW w:w="1360" w:type="dxa"/>
            <w:vAlign w:val="bottom"/>
            <w:tcBorders>
              <w:left w:val="single" w:sz="8" w:color="auto"/>
              <w:right w:val="single" w:sz="8" w:color="auto"/>
            </w:tcBorders>
            <w:vMerge w:val="continue"/>
          </w:tcPr>
          <w:p>
            <w:pPr>
              <w:spacing w:after="0"/>
              <w:rPr>
                <w:sz w:val="8"/>
                <w:szCs w:val="8"/>
                <w:color w:val="auto"/>
              </w:rPr>
            </w:pPr>
          </w:p>
        </w:tc>
        <w:tc>
          <w:tcPr>
            <w:tcW w:w="2900" w:type="dxa"/>
            <w:vAlign w:val="bottom"/>
            <w:tcBorders>
              <w:right w:val="single" w:sz="8" w:color="auto"/>
            </w:tcBorders>
            <w:vMerge w:val="restart"/>
          </w:tcPr>
          <w:p>
            <w:pPr>
              <w:ind w:left="80"/>
              <w:spacing w:after="0"/>
              <w:rPr>
                <w:sz w:val="20"/>
                <w:szCs w:val="20"/>
                <w:color w:val="auto"/>
              </w:rPr>
            </w:pPr>
            <w:r>
              <w:rPr>
                <w:rFonts w:ascii="Arial" w:cs="Arial" w:eastAsia="Arial" w:hAnsi="Arial"/>
                <w:sz w:val="17"/>
                <w:szCs w:val="17"/>
                <w:color w:val="auto"/>
              </w:rPr>
              <w:t>December 31, 2002</w:t>
            </w:r>
          </w:p>
        </w:tc>
        <w:tc>
          <w:tcPr>
            <w:tcW w:w="98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360" w:type="dxa"/>
            <w:vAlign w:val="bottom"/>
            <w:tcBorders>
              <w:left w:val="single" w:sz="8" w:color="auto"/>
              <w:right w:val="single" w:sz="8" w:color="auto"/>
            </w:tcBorders>
            <w:vMerge w:val="restart"/>
          </w:tcPr>
          <w:p>
            <w:pPr>
              <w:ind w:left="120"/>
              <w:spacing w:after="0" w:line="186" w:lineRule="exact"/>
              <w:rPr>
                <w:sz w:val="20"/>
                <w:szCs w:val="20"/>
                <w:color w:val="auto"/>
              </w:rPr>
            </w:pPr>
            <w:r>
              <w:rPr>
                <w:rFonts w:ascii="Arial" w:cs="Arial" w:eastAsia="Arial" w:hAnsi="Arial"/>
                <w:sz w:val="17"/>
                <w:szCs w:val="17"/>
                <w:color w:val="auto"/>
                <w:w w:val="97"/>
              </w:rPr>
              <w:t>Supporting Files</w:t>
            </w:r>
          </w:p>
        </w:tc>
        <w:tc>
          <w:tcPr>
            <w:tcW w:w="290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vMerge w:val="restart"/>
          </w:tcPr>
          <w:p>
            <w:pPr>
              <w:jc w:val="center"/>
              <w:spacing w:after="0" w:line="186" w:lineRule="exact"/>
              <w:rPr>
                <w:sz w:val="20"/>
                <w:szCs w:val="20"/>
                <w:color w:val="auto"/>
              </w:rPr>
            </w:pPr>
            <w:r>
              <w:rPr>
                <w:rFonts w:ascii="Arial" w:cs="Arial" w:eastAsia="Arial" w:hAnsi="Arial"/>
                <w:sz w:val="17"/>
                <w:szCs w:val="17"/>
                <w:color w:val="auto"/>
                <w:w w:val="82"/>
              </w:rPr>
              <w:t>secure</w:t>
            </w:r>
          </w:p>
        </w:tc>
        <w:tc>
          <w:tcPr>
            <w:tcW w:w="0" w:type="dxa"/>
            <w:vAlign w:val="bottom"/>
          </w:tcPr>
          <w:p>
            <w:pPr>
              <w:spacing w:after="0"/>
              <w:rPr>
                <w:sz w:val="1"/>
                <w:szCs w:val="1"/>
                <w:color w:val="auto"/>
              </w:rPr>
            </w:pPr>
          </w:p>
        </w:tc>
      </w:tr>
      <w:tr>
        <w:trPr>
          <w:trHeight w:val="70"/>
        </w:trPr>
        <w:tc>
          <w:tcPr>
            <w:tcW w:w="1360" w:type="dxa"/>
            <w:vAlign w:val="bottom"/>
            <w:tcBorders>
              <w:left w:val="single" w:sz="8" w:color="auto"/>
              <w:right w:val="single" w:sz="8" w:color="auto"/>
            </w:tcBorders>
            <w:vMerge w:val="continue"/>
          </w:tcPr>
          <w:p>
            <w:pPr>
              <w:spacing w:after="0"/>
              <w:rPr>
                <w:sz w:val="6"/>
                <w:szCs w:val="6"/>
                <w:color w:val="auto"/>
              </w:rPr>
            </w:pPr>
          </w:p>
        </w:tc>
        <w:tc>
          <w:tcPr>
            <w:tcW w:w="2900" w:type="dxa"/>
            <w:vAlign w:val="bottom"/>
            <w:tcBorders>
              <w:right w:val="single" w:sz="8" w:color="auto"/>
            </w:tcBorders>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11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method</w:t>
            </w:r>
          </w:p>
        </w:tc>
        <w:tc>
          <w:tcPr>
            <w:tcW w:w="0" w:type="dxa"/>
            <w:vAlign w:val="bottom"/>
          </w:tcPr>
          <w:p>
            <w:pPr>
              <w:spacing w:after="0"/>
              <w:rPr>
                <w:sz w:val="1"/>
                <w:szCs w:val="1"/>
                <w:color w:val="auto"/>
              </w:rPr>
            </w:pPr>
          </w:p>
        </w:tc>
      </w:tr>
      <w:tr>
        <w:trPr>
          <w:trHeight w:val="160"/>
        </w:trPr>
        <w:tc>
          <w:tcPr>
            <w:tcW w:w="1360" w:type="dxa"/>
            <w:vAlign w:val="bottom"/>
            <w:tcBorders>
              <w:left w:val="single" w:sz="8" w:color="auto"/>
              <w:right w:val="single" w:sz="8" w:color="auto"/>
            </w:tcBorders>
          </w:tcPr>
          <w:p>
            <w:pPr>
              <w:spacing w:after="0"/>
              <w:rPr>
                <w:sz w:val="13"/>
                <w:szCs w:val="13"/>
                <w:color w:val="auto"/>
              </w:rPr>
            </w:pPr>
          </w:p>
        </w:tc>
        <w:tc>
          <w:tcPr>
            <w:tcW w:w="290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5"/>
              </w:rPr>
              <w:t>Secure</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7"/>
                <w:szCs w:val="17"/>
                <w:color w:val="auto"/>
              </w:rPr>
              <w:t>Utility Final ISO</w:t>
            </w:r>
          </w:p>
        </w:tc>
        <w:tc>
          <w:tcPr>
            <w:tcW w:w="2900" w:type="dxa"/>
            <w:vAlign w:val="bottom"/>
            <w:tcBorders>
              <w:right w:val="single" w:sz="8" w:color="auto"/>
            </w:tcBorders>
            <w:vMerge w:val="restart"/>
          </w:tcPr>
          <w:p>
            <w:pPr>
              <w:ind w:left="80"/>
              <w:spacing w:after="0"/>
              <w:rPr>
                <w:sz w:val="20"/>
                <w:szCs w:val="20"/>
                <w:color w:val="auto"/>
              </w:rPr>
            </w:pPr>
            <w:r>
              <w:rPr>
                <w:rFonts w:ascii="Arial" w:cs="Arial" w:eastAsia="Arial" w:hAnsi="Arial"/>
                <w:sz w:val="17"/>
                <w:szCs w:val="17"/>
                <w:color w:val="auto"/>
              </w:rPr>
              <w:t>Related to Prior Day Adjustments (or</w:t>
            </w:r>
          </w:p>
        </w:tc>
        <w:tc>
          <w:tcPr>
            <w:tcW w:w="9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1"/>
              </w:rPr>
              <w:t>Electronic -</w:t>
            </w:r>
          </w:p>
        </w:tc>
        <w:tc>
          <w:tcPr>
            <w:tcW w:w="0" w:type="dxa"/>
            <w:vAlign w:val="bottom"/>
          </w:tcPr>
          <w:p>
            <w:pPr>
              <w:spacing w:after="0"/>
              <w:rPr>
                <w:sz w:val="1"/>
                <w:szCs w:val="1"/>
                <w:color w:val="auto"/>
              </w:rPr>
            </w:pPr>
          </w:p>
        </w:tc>
      </w:tr>
      <w:tr>
        <w:trPr>
          <w:trHeight w:val="93"/>
        </w:trPr>
        <w:tc>
          <w:tcPr>
            <w:tcW w:w="1360" w:type="dxa"/>
            <w:vAlign w:val="bottom"/>
            <w:tcBorders>
              <w:left w:val="single" w:sz="8" w:color="auto"/>
              <w:right w:val="single" w:sz="8" w:color="auto"/>
            </w:tcBorders>
            <w:vMerge w:val="continue"/>
          </w:tcPr>
          <w:p>
            <w:pPr>
              <w:spacing w:after="0"/>
              <w:rPr>
                <w:sz w:val="8"/>
                <w:szCs w:val="8"/>
                <w:color w:val="auto"/>
              </w:rPr>
            </w:pPr>
          </w:p>
        </w:tc>
        <w:tc>
          <w:tcPr>
            <w:tcW w:w="290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vMerge w:val="restart"/>
          </w:tcPr>
          <w:p>
            <w:pPr>
              <w:jc w:val="center"/>
              <w:spacing w:after="0" w:line="186" w:lineRule="exact"/>
              <w:rPr>
                <w:sz w:val="20"/>
                <w:szCs w:val="20"/>
                <w:color w:val="auto"/>
              </w:rPr>
            </w:pPr>
            <w:r>
              <w:rPr>
                <w:rFonts w:ascii="Arial" w:cs="Arial" w:eastAsia="Arial" w:hAnsi="Arial"/>
                <w:sz w:val="17"/>
                <w:szCs w:val="17"/>
                <w:color w:val="auto"/>
                <w:w w:val="87"/>
              </w:rPr>
              <w:t>ISO Template</w:t>
            </w:r>
          </w:p>
        </w:tc>
        <w:tc>
          <w:tcPr>
            <w:tcW w:w="0" w:type="dxa"/>
            <w:vAlign w:val="bottom"/>
          </w:tcPr>
          <w:p>
            <w:pPr>
              <w:spacing w:after="0"/>
              <w:rPr>
                <w:sz w:val="1"/>
                <w:szCs w:val="1"/>
                <w:color w:val="auto"/>
              </w:rPr>
            </w:pPr>
          </w:p>
        </w:tc>
      </w:tr>
      <w:tr>
        <w:trPr>
          <w:trHeight w:val="93"/>
        </w:trPr>
        <w:tc>
          <w:tcPr>
            <w:tcW w:w="1360" w:type="dxa"/>
            <w:vAlign w:val="bottom"/>
            <w:tcBorders>
              <w:left w:val="single" w:sz="8" w:color="auto"/>
              <w:right w:val="single" w:sz="8" w:color="auto"/>
            </w:tcBorders>
            <w:vMerge w:val="restart"/>
          </w:tcPr>
          <w:p>
            <w:pPr>
              <w:ind w:left="120"/>
              <w:spacing w:after="0" w:line="186" w:lineRule="exact"/>
              <w:rPr>
                <w:sz w:val="20"/>
                <w:szCs w:val="20"/>
                <w:color w:val="auto"/>
              </w:rPr>
            </w:pPr>
            <w:r>
              <w:rPr>
                <w:rFonts w:ascii="Arial" w:cs="Arial" w:eastAsia="Arial" w:hAnsi="Arial"/>
                <w:sz w:val="17"/>
                <w:szCs w:val="17"/>
                <w:color w:val="auto"/>
              </w:rPr>
              <w:t>Settlement</w:t>
            </w:r>
          </w:p>
        </w:tc>
        <w:tc>
          <w:tcPr>
            <w:tcW w:w="2900" w:type="dxa"/>
            <w:vAlign w:val="bottom"/>
            <w:tcBorders>
              <w:right w:val="single" w:sz="8" w:color="auto"/>
            </w:tcBorders>
            <w:vMerge w:val="restart"/>
          </w:tcPr>
          <w:p>
            <w:pPr>
              <w:ind w:left="80"/>
              <w:spacing w:after="0" w:line="186" w:lineRule="exact"/>
              <w:rPr>
                <w:sz w:val="20"/>
                <w:szCs w:val="20"/>
                <w:color w:val="auto"/>
              </w:rPr>
            </w:pPr>
            <w:r>
              <w:rPr>
                <w:rFonts w:ascii="Arial" w:cs="Arial" w:eastAsia="Arial" w:hAnsi="Arial"/>
                <w:sz w:val="17"/>
                <w:szCs w:val="17"/>
                <w:color w:val="auto"/>
              </w:rPr>
              <w:t>similar adjustments) for trade hours</w:t>
            </w:r>
          </w:p>
        </w:tc>
        <w:tc>
          <w:tcPr>
            <w:tcW w:w="98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360" w:type="dxa"/>
            <w:vAlign w:val="bottom"/>
            <w:tcBorders>
              <w:left w:val="single" w:sz="8" w:color="auto"/>
              <w:right w:val="single" w:sz="8" w:color="auto"/>
            </w:tcBorders>
            <w:vMerge w:val="continue"/>
          </w:tcPr>
          <w:p>
            <w:pPr>
              <w:spacing w:after="0"/>
              <w:rPr>
                <w:sz w:val="8"/>
                <w:szCs w:val="8"/>
                <w:color w:val="auto"/>
              </w:rPr>
            </w:pPr>
          </w:p>
        </w:tc>
        <w:tc>
          <w:tcPr>
            <w:tcW w:w="290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restart"/>
          </w:tcPr>
          <w:p>
            <w:pPr>
              <w:jc w:val="center"/>
              <w:spacing w:after="0" w:line="186" w:lineRule="exact"/>
              <w:rPr>
                <w:sz w:val="20"/>
                <w:szCs w:val="20"/>
                <w:color w:val="auto"/>
              </w:rPr>
            </w:pPr>
            <w:r>
              <w:rPr>
                <w:rFonts w:ascii="Arial" w:cs="Arial" w:eastAsia="Arial" w:hAnsi="Arial"/>
                <w:sz w:val="17"/>
                <w:szCs w:val="17"/>
                <w:color w:val="auto"/>
                <w:w w:val="88"/>
              </w:rPr>
              <w:t>Continuous</w:t>
            </w:r>
          </w:p>
        </w:tc>
        <w:tc>
          <w:tcPr>
            <w:tcW w:w="1200" w:type="dxa"/>
            <w:vAlign w:val="bottom"/>
            <w:tcBorders>
              <w:right w:val="single" w:sz="8" w:color="auto"/>
            </w:tcBorders>
            <w:vMerge w:val="restart"/>
          </w:tcPr>
          <w:p>
            <w:pPr>
              <w:jc w:val="center"/>
              <w:spacing w:after="0" w:line="186" w:lineRule="exact"/>
              <w:rPr>
                <w:sz w:val="20"/>
                <w:szCs w:val="20"/>
                <w:color w:val="auto"/>
              </w:rPr>
            </w:pPr>
            <w:r>
              <w:rPr>
                <w:rFonts w:ascii="Arial" w:cs="Arial" w:eastAsia="Arial" w:hAnsi="Arial"/>
                <w:sz w:val="17"/>
                <w:szCs w:val="17"/>
                <w:color w:val="auto"/>
                <w:w w:val="95"/>
              </w:rPr>
              <w:t>ISO</w:t>
            </w:r>
          </w:p>
        </w:tc>
        <w:tc>
          <w:tcPr>
            <w:tcW w:w="1160" w:type="dxa"/>
            <w:vAlign w:val="bottom"/>
            <w:tcBorders>
              <w:right w:val="single" w:sz="8" w:color="auto"/>
            </w:tcBorders>
            <w:vMerge w:val="restart"/>
          </w:tcPr>
          <w:p>
            <w:pPr>
              <w:jc w:val="center"/>
              <w:spacing w:after="0" w:line="186" w:lineRule="exact"/>
              <w:rPr>
                <w:sz w:val="20"/>
                <w:szCs w:val="20"/>
                <w:color w:val="auto"/>
              </w:rPr>
            </w:pPr>
            <w:r>
              <w:rPr>
                <w:rFonts w:ascii="Arial" w:cs="Arial" w:eastAsia="Arial" w:hAnsi="Arial"/>
                <w:sz w:val="17"/>
                <w:szCs w:val="17"/>
                <w:color w:val="auto"/>
                <w:w w:val="93"/>
              </w:rPr>
              <w:t>Direct from</w:t>
            </w:r>
          </w:p>
        </w:tc>
        <w:tc>
          <w:tcPr>
            <w:tcW w:w="0" w:type="dxa"/>
            <w:vAlign w:val="bottom"/>
          </w:tcPr>
          <w:p>
            <w:pPr>
              <w:spacing w:after="0"/>
              <w:rPr>
                <w:sz w:val="1"/>
                <w:szCs w:val="1"/>
                <w:color w:val="auto"/>
              </w:rPr>
            </w:pPr>
          </w:p>
        </w:tc>
      </w:tr>
      <w:tr>
        <w:trPr>
          <w:trHeight w:val="93"/>
        </w:trPr>
        <w:tc>
          <w:tcPr>
            <w:tcW w:w="1360" w:type="dxa"/>
            <w:vAlign w:val="bottom"/>
            <w:tcBorders>
              <w:left w:val="single" w:sz="8" w:color="auto"/>
              <w:right w:val="single" w:sz="8" w:color="auto"/>
            </w:tcBorders>
            <w:vMerge w:val="restart"/>
          </w:tcPr>
          <w:p>
            <w:pPr>
              <w:ind w:left="120"/>
              <w:spacing w:after="0" w:line="186" w:lineRule="exact"/>
              <w:rPr>
                <w:sz w:val="20"/>
                <w:szCs w:val="20"/>
                <w:color w:val="auto"/>
              </w:rPr>
            </w:pPr>
            <w:r>
              <w:rPr>
                <w:rFonts w:ascii="Arial" w:cs="Arial" w:eastAsia="Arial" w:hAnsi="Arial"/>
                <w:sz w:val="17"/>
                <w:szCs w:val="17"/>
                <w:color w:val="auto"/>
              </w:rPr>
              <w:t>Statement and</w:t>
            </w:r>
          </w:p>
        </w:tc>
        <w:tc>
          <w:tcPr>
            <w:tcW w:w="2900" w:type="dxa"/>
            <w:vAlign w:val="bottom"/>
            <w:tcBorders>
              <w:right w:val="single" w:sz="8" w:color="auto"/>
            </w:tcBorders>
            <w:vMerge w:val="restart"/>
          </w:tcPr>
          <w:p>
            <w:pPr>
              <w:ind w:left="80"/>
              <w:spacing w:after="0" w:line="186" w:lineRule="exact"/>
              <w:rPr>
                <w:sz w:val="20"/>
                <w:szCs w:val="20"/>
                <w:color w:val="auto"/>
              </w:rPr>
            </w:pPr>
            <w:r>
              <w:rPr>
                <w:rFonts w:ascii="Arial" w:cs="Arial" w:eastAsia="Arial" w:hAnsi="Arial"/>
                <w:sz w:val="17"/>
                <w:szCs w:val="17"/>
                <w:color w:val="auto"/>
              </w:rPr>
              <w:t>between January 17, 2001 through</w:t>
            </w:r>
          </w:p>
        </w:tc>
        <w:tc>
          <w:tcPr>
            <w:tcW w:w="98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360" w:type="dxa"/>
            <w:vAlign w:val="bottom"/>
            <w:tcBorders>
              <w:left w:val="single" w:sz="8" w:color="auto"/>
              <w:right w:val="single" w:sz="8" w:color="auto"/>
            </w:tcBorders>
            <w:vMerge w:val="continue"/>
          </w:tcPr>
          <w:p>
            <w:pPr>
              <w:spacing w:after="0"/>
              <w:rPr>
                <w:sz w:val="8"/>
                <w:szCs w:val="8"/>
                <w:color w:val="auto"/>
              </w:rPr>
            </w:pPr>
          </w:p>
        </w:tc>
        <w:tc>
          <w:tcPr>
            <w:tcW w:w="290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vMerge w:val="restart"/>
          </w:tcPr>
          <w:p>
            <w:pPr>
              <w:jc w:val="center"/>
              <w:spacing w:after="0" w:line="186" w:lineRule="exact"/>
              <w:rPr>
                <w:sz w:val="20"/>
                <w:szCs w:val="20"/>
                <w:color w:val="auto"/>
              </w:rPr>
            </w:pPr>
            <w:r>
              <w:rPr>
                <w:rFonts w:ascii="Arial" w:cs="Arial" w:eastAsia="Arial" w:hAnsi="Arial"/>
                <w:sz w:val="17"/>
                <w:szCs w:val="17"/>
                <w:color w:val="auto"/>
                <w:w w:val="88"/>
              </w:rPr>
              <w:t>ISO or other</w:t>
            </w:r>
          </w:p>
        </w:tc>
        <w:tc>
          <w:tcPr>
            <w:tcW w:w="0" w:type="dxa"/>
            <w:vAlign w:val="bottom"/>
          </w:tcPr>
          <w:p>
            <w:pPr>
              <w:spacing w:after="0"/>
              <w:rPr>
                <w:sz w:val="1"/>
                <w:szCs w:val="1"/>
                <w:color w:val="auto"/>
              </w:rPr>
            </w:pPr>
          </w:p>
        </w:tc>
      </w:tr>
      <w:tr>
        <w:trPr>
          <w:trHeight w:val="93"/>
        </w:trPr>
        <w:tc>
          <w:tcPr>
            <w:tcW w:w="13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7"/>
                <w:szCs w:val="17"/>
                <w:color w:val="auto"/>
                <w:w w:val="97"/>
              </w:rPr>
              <w:t>Supporting Files</w:t>
            </w:r>
          </w:p>
        </w:tc>
        <w:tc>
          <w:tcPr>
            <w:tcW w:w="2900" w:type="dxa"/>
            <w:vAlign w:val="bottom"/>
            <w:tcBorders>
              <w:right w:val="single" w:sz="8" w:color="auto"/>
            </w:tcBorders>
            <w:vMerge w:val="restart"/>
          </w:tcPr>
          <w:p>
            <w:pPr>
              <w:ind w:left="80"/>
              <w:spacing w:after="0"/>
              <w:rPr>
                <w:sz w:val="20"/>
                <w:szCs w:val="20"/>
                <w:color w:val="auto"/>
              </w:rPr>
            </w:pPr>
            <w:r>
              <w:rPr>
                <w:rFonts w:ascii="Arial" w:cs="Arial" w:eastAsia="Arial" w:hAnsi="Arial"/>
                <w:sz w:val="17"/>
                <w:szCs w:val="17"/>
                <w:color w:val="auto"/>
              </w:rPr>
              <w:t>December 31, 2002</w:t>
            </w:r>
          </w:p>
        </w:tc>
        <w:tc>
          <w:tcPr>
            <w:tcW w:w="98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360" w:type="dxa"/>
            <w:vAlign w:val="bottom"/>
            <w:tcBorders>
              <w:left w:val="single" w:sz="8" w:color="auto"/>
              <w:right w:val="single" w:sz="8" w:color="auto"/>
            </w:tcBorders>
            <w:vMerge w:val="continue"/>
          </w:tcPr>
          <w:p>
            <w:pPr>
              <w:spacing w:after="0"/>
              <w:rPr>
                <w:sz w:val="10"/>
                <w:szCs w:val="10"/>
                <w:color w:val="auto"/>
              </w:rPr>
            </w:pPr>
          </w:p>
        </w:tc>
        <w:tc>
          <w:tcPr>
            <w:tcW w:w="290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vMerge w:val="restart"/>
          </w:tcPr>
          <w:p>
            <w:pPr>
              <w:jc w:val="center"/>
              <w:spacing w:after="0" w:line="186" w:lineRule="exact"/>
              <w:rPr>
                <w:sz w:val="20"/>
                <w:szCs w:val="20"/>
                <w:color w:val="auto"/>
              </w:rPr>
            </w:pPr>
            <w:r>
              <w:rPr>
                <w:rFonts w:ascii="Arial" w:cs="Arial" w:eastAsia="Arial" w:hAnsi="Arial"/>
                <w:sz w:val="17"/>
                <w:szCs w:val="17"/>
                <w:color w:val="auto"/>
                <w:w w:val="82"/>
              </w:rPr>
              <w:t>secure</w:t>
            </w:r>
          </w:p>
        </w:tc>
        <w:tc>
          <w:tcPr>
            <w:tcW w:w="0" w:type="dxa"/>
            <w:vAlign w:val="bottom"/>
          </w:tcPr>
          <w:p>
            <w:pPr>
              <w:spacing w:after="0"/>
              <w:rPr>
                <w:sz w:val="1"/>
                <w:szCs w:val="1"/>
                <w:color w:val="auto"/>
              </w:rPr>
            </w:pPr>
          </w:p>
        </w:tc>
      </w:tr>
      <w:tr>
        <w:trPr>
          <w:trHeight w:val="70"/>
        </w:trPr>
        <w:tc>
          <w:tcPr>
            <w:tcW w:w="1360" w:type="dxa"/>
            <w:vAlign w:val="bottom"/>
            <w:tcBorders>
              <w:left w:val="single" w:sz="8" w:color="auto"/>
              <w:right w:val="single" w:sz="8" w:color="auto"/>
            </w:tcBorders>
          </w:tcPr>
          <w:p>
            <w:pPr>
              <w:spacing w:after="0"/>
              <w:rPr>
                <w:sz w:val="6"/>
                <w:szCs w:val="6"/>
                <w:color w:val="auto"/>
              </w:rPr>
            </w:pPr>
          </w:p>
        </w:tc>
        <w:tc>
          <w:tcPr>
            <w:tcW w:w="2900" w:type="dxa"/>
            <w:vAlign w:val="bottom"/>
            <w:tcBorders>
              <w:right w:val="single" w:sz="8" w:color="auto"/>
            </w:tcBorders>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11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method</w:t>
            </w:r>
          </w:p>
        </w:tc>
        <w:tc>
          <w:tcPr>
            <w:tcW w:w="0" w:type="dxa"/>
            <w:vAlign w:val="bottom"/>
          </w:tcPr>
          <w:p>
            <w:pPr>
              <w:spacing w:after="0"/>
              <w:rPr>
                <w:sz w:val="1"/>
                <w:szCs w:val="1"/>
                <w:color w:val="auto"/>
              </w:rPr>
            </w:pPr>
          </w:p>
        </w:tc>
      </w:tr>
      <w:tr>
        <w:trPr>
          <w:trHeight w:val="160"/>
        </w:trPr>
        <w:tc>
          <w:tcPr>
            <w:tcW w:w="136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ISO Digital</w:t>
            </w:r>
          </w:p>
        </w:tc>
        <w:tc>
          <w:tcPr>
            <w:tcW w:w="290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7"/>
                <w:szCs w:val="17"/>
                <w:color w:val="auto"/>
                <w:w w:val="94"/>
              </w:rPr>
              <w:t>ISO electronic certificate to access ISO</w:t>
            </w:r>
          </w:p>
        </w:tc>
        <w:tc>
          <w:tcPr>
            <w:tcW w:w="98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8"/>
              </w:rPr>
              <w:t>Continuous</w:t>
            </w:r>
          </w:p>
        </w:tc>
        <w:tc>
          <w:tcPr>
            <w:tcW w:w="12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5"/>
              </w:rPr>
              <w:t>ISO</w:t>
            </w:r>
          </w:p>
        </w:tc>
        <w:tc>
          <w:tcPr>
            <w:tcW w:w="11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5"/>
              </w:rPr>
              <w:t>Secure</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Certificate for</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rPr>
              <w:t>OMAR system to retrieve the Utility’s</w:t>
            </w:r>
          </w:p>
        </w:tc>
        <w:tc>
          <w:tcPr>
            <w:tcW w:w="9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2"/>
              </w:rPr>
              <w:t>Electronic-</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OMAR</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rPr>
              <w:t>load meter information.</w:t>
            </w:r>
          </w:p>
        </w:tc>
        <w:tc>
          <w:tcPr>
            <w:tcW w:w="9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7"/>
              </w:rPr>
              <w:t>ISO Template</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3"/>
              </w:rPr>
              <w:t>Direct from</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ISO</w:t>
            </w:r>
          </w:p>
        </w:tc>
        <w:tc>
          <w:tcPr>
            <w:tcW w:w="0" w:type="dxa"/>
            <w:vAlign w:val="bottom"/>
          </w:tcPr>
          <w:p>
            <w:pPr>
              <w:spacing w:after="0"/>
              <w:rPr>
                <w:sz w:val="1"/>
                <w:szCs w:val="1"/>
                <w:color w:val="auto"/>
              </w:rPr>
            </w:pPr>
          </w:p>
        </w:tc>
      </w:tr>
      <w:tr>
        <w:trPr>
          <w:trHeight w:val="160"/>
        </w:trPr>
        <w:tc>
          <w:tcPr>
            <w:tcW w:w="136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ISO SIBR - IST</w:t>
            </w:r>
          </w:p>
        </w:tc>
        <w:tc>
          <w:tcPr>
            <w:tcW w:w="290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7"/>
                <w:szCs w:val="17"/>
                <w:color w:val="auto"/>
              </w:rPr>
              <w:t>Access ISO SIBR data to access</w:t>
            </w:r>
          </w:p>
        </w:tc>
        <w:tc>
          <w:tcPr>
            <w:tcW w:w="98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3"/>
              </w:rPr>
              <w:t>Ad Hoc</w:t>
            </w:r>
          </w:p>
        </w:tc>
        <w:tc>
          <w:tcPr>
            <w:tcW w:w="12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5"/>
              </w:rPr>
              <w:t>ISO</w:t>
            </w:r>
          </w:p>
        </w:tc>
        <w:tc>
          <w:tcPr>
            <w:tcW w:w="11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1"/>
              </w:rPr>
              <w:t>On-site Audit</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rPr>
              <w:t>Utility’s transaction information for</w:t>
            </w:r>
          </w:p>
        </w:tc>
        <w:tc>
          <w:tcPr>
            <w:tcW w:w="9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4"/>
              </w:rPr>
              <w:t>by DWR</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DWR Contracts.</w:t>
            </w:r>
          </w:p>
        </w:tc>
        <w:tc>
          <w:tcPr>
            <w:tcW w:w="98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6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DWR</w:t>
            </w:r>
          </w:p>
        </w:tc>
        <w:tc>
          <w:tcPr>
            <w:tcW w:w="290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7"/>
                <w:szCs w:val="17"/>
                <w:color w:val="auto"/>
              </w:rPr>
              <w:t>Agreed upon method for determining</w:t>
            </w:r>
          </w:p>
        </w:tc>
        <w:tc>
          <w:tcPr>
            <w:tcW w:w="98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7"/>
              </w:rPr>
              <w:t>Monthly</w:t>
            </w:r>
          </w:p>
        </w:tc>
        <w:tc>
          <w:tcPr>
            <w:tcW w:w="12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8"/>
              </w:rPr>
              <w:t>DWR</w:t>
            </w:r>
          </w:p>
        </w:tc>
        <w:tc>
          <w:tcPr>
            <w:tcW w:w="11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4"/>
              </w:rPr>
              <w:t>Standard</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Remittance</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w w:val="93"/>
              </w:rPr>
              <w:t>volume of energy from DWR Contracts.</w:t>
            </w:r>
          </w:p>
        </w:tc>
        <w:tc>
          <w:tcPr>
            <w:tcW w:w="9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8"/>
              </w:rPr>
              <w:t>Remittance</w:t>
            </w:r>
          </w:p>
        </w:tc>
        <w:tc>
          <w:tcPr>
            <w:tcW w:w="11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3"/>
              </w:rPr>
              <w:t>DWR</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Basis</w:t>
            </w:r>
          </w:p>
        </w:tc>
        <w:tc>
          <w:tcPr>
            <w:tcW w:w="2900" w:type="dxa"/>
            <w:vAlign w:val="bottom"/>
            <w:tcBorders>
              <w:right w:val="single" w:sz="8" w:color="auto"/>
            </w:tcBorders>
          </w:tcPr>
          <w:p>
            <w:pPr>
              <w:ind w:left="120"/>
              <w:spacing w:after="0" w:line="186" w:lineRule="exact"/>
              <w:rPr>
                <w:sz w:val="20"/>
                <w:szCs w:val="20"/>
                <w:color w:val="auto"/>
              </w:rPr>
            </w:pPr>
            <w:r>
              <w:rPr>
                <w:rFonts w:ascii="Arial" w:cs="Arial" w:eastAsia="Arial" w:hAnsi="Arial"/>
                <w:sz w:val="17"/>
                <w:szCs w:val="17"/>
                <w:color w:val="auto"/>
                <w:w w:val="97"/>
              </w:rPr>
              <w:t>This is an aggregate total for the day,</w:t>
            </w:r>
          </w:p>
        </w:tc>
        <w:tc>
          <w:tcPr>
            <w:tcW w:w="9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6"/>
              </w:rPr>
              <w:t>Basis Report</w:t>
            </w:r>
          </w:p>
        </w:tc>
        <w:tc>
          <w:tcPr>
            <w:tcW w:w="11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1"/>
              </w:rPr>
              <w:t>Form/File</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w w:val="92"/>
              </w:rPr>
              <w:t>by hour and represents the total volume</w:t>
            </w:r>
          </w:p>
        </w:tc>
        <w:tc>
          <w:tcPr>
            <w:tcW w:w="9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0"/>
              </w:rPr>
              <w:t>and Monthly</w:t>
            </w:r>
          </w:p>
        </w:tc>
        <w:tc>
          <w:tcPr>
            <w:tcW w:w="1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rPr>
              <w:t>of energy supplied to the utility from</w:t>
            </w:r>
          </w:p>
        </w:tc>
        <w:tc>
          <w:tcPr>
            <w:tcW w:w="9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9"/>
              </w:rPr>
              <w:t>Intertie and</w:t>
            </w:r>
          </w:p>
        </w:tc>
        <w:tc>
          <w:tcPr>
            <w:tcW w:w="1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DWR Contracts.</w:t>
            </w:r>
          </w:p>
        </w:tc>
        <w:tc>
          <w:tcPr>
            <w:tcW w:w="98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IST Reports</w:t>
            </w:r>
          </w:p>
        </w:tc>
        <w:tc>
          <w:tcPr>
            <w:tcW w:w="11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6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Estimated</w:t>
            </w:r>
          </w:p>
        </w:tc>
        <w:tc>
          <w:tcPr>
            <w:tcW w:w="290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7"/>
                <w:szCs w:val="17"/>
                <w:color w:val="auto"/>
                <w:w w:val="96"/>
              </w:rPr>
              <w:t>Utility estimated retail load information</w:t>
            </w:r>
          </w:p>
        </w:tc>
        <w:tc>
          <w:tcPr>
            <w:tcW w:w="98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7"/>
              </w:rPr>
              <w:t>Monthly</w:t>
            </w:r>
          </w:p>
        </w:tc>
        <w:tc>
          <w:tcPr>
            <w:tcW w:w="12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8"/>
              </w:rPr>
              <w:t>DWR</w:t>
            </w:r>
          </w:p>
        </w:tc>
        <w:tc>
          <w:tcPr>
            <w:tcW w:w="11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4"/>
              </w:rPr>
              <w:t>Standard</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Bundled</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rPr>
              <w:t>by hour, by day used for the DWR</w:t>
            </w:r>
          </w:p>
        </w:tc>
        <w:tc>
          <w:tcPr>
            <w:tcW w:w="9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8"/>
              </w:rPr>
              <w:t>Remittance</w:t>
            </w:r>
          </w:p>
        </w:tc>
        <w:tc>
          <w:tcPr>
            <w:tcW w:w="11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3"/>
              </w:rPr>
              <w:t>DWR</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Customer Load</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w w:val="93"/>
              </w:rPr>
              <w:t>Percentage Calculation, including other</w:t>
            </w:r>
          </w:p>
        </w:tc>
        <w:tc>
          <w:tcPr>
            <w:tcW w:w="9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6"/>
              </w:rPr>
              <w:t>Basis Report</w:t>
            </w:r>
          </w:p>
        </w:tc>
        <w:tc>
          <w:tcPr>
            <w:tcW w:w="11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1"/>
              </w:rPr>
              <w:t>Form/File</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rPr>
              <w:t>detailed components as provided in</w:t>
            </w:r>
          </w:p>
        </w:tc>
        <w:tc>
          <w:tcPr>
            <w:tcW w:w="9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DWR Remittance Basis Report.</w:t>
            </w:r>
          </w:p>
        </w:tc>
        <w:tc>
          <w:tcPr>
            <w:tcW w:w="98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6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Estimated</w:t>
            </w:r>
          </w:p>
        </w:tc>
        <w:tc>
          <w:tcPr>
            <w:tcW w:w="290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7"/>
                <w:szCs w:val="17"/>
                <w:color w:val="auto"/>
                <w:w w:val="94"/>
              </w:rPr>
              <w:t>Utility calculated deviation of Estimated</w:t>
            </w:r>
          </w:p>
        </w:tc>
        <w:tc>
          <w:tcPr>
            <w:tcW w:w="98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7"/>
              </w:rPr>
              <w:t>Monthly</w:t>
            </w:r>
          </w:p>
        </w:tc>
        <w:tc>
          <w:tcPr>
            <w:tcW w:w="12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4"/>
              </w:rPr>
              <w:t>EBCL</w:t>
            </w:r>
          </w:p>
        </w:tc>
        <w:tc>
          <w:tcPr>
            <w:tcW w:w="11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4"/>
              </w:rPr>
              <w:t>Standard</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Bundled</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rPr>
              <w:t>Bundled Customer Load to Actual</w:t>
            </w:r>
          </w:p>
        </w:tc>
        <w:tc>
          <w:tcPr>
            <w:tcW w:w="9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0"/>
              </w:rPr>
              <w:t>Deviation</w:t>
            </w:r>
          </w:p>
        </w:tc>
        <w:tc>
          <w:tcPr>
            <w:tcW w:w="11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3"/>
              </w:rPr>
              <w:t>DWR</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Customer Load</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rPr>
              <w:t>reported load for the same period.</w:t>
            </w:r>
          </w:p>
        </w:tc>
        <w:tc>
          <w:tcPr>
            <w:tcW w:w="9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6"/>
              </w:rPr>
              <w:t>Report</w:t>
            </w:r>
          </w:p>
        </w:tc>
        <w:tc>
          <w:tcPr>
            <w:tcW w:w="11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1"/>
              </w:rPr>
              <w:t>Form/File</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Deviation</w:t>
            </w:r>
          </w:p>
        </w:tc>
        <w:tc>
          <w:tcPr>
            <w:tcW w:w="290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6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Hourly</w:t>
            </w:r>
          </w:p>
        </w:tc>
        <w:tc>
          <w:tcPr>
            <w:tcW w:w="290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7"/>
                <w:szCs w:val="17"/>
                <w:color w:val="auto"/>
              </w:rPr>
              <w:t>Utility DLF % by hour</w:t>
            </w:r>
          </w:p>
        </w:tc>
        <w:tc>
          <w:tcPr>
            <w:tcW w:w="98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9"/>
              </w:rPr>
              <w:t>When</w:t>
            </w:r>
          </w:p>
        </w:tc>
        <w:tc>
          <w:tcPr>
            <w:tcW w:w="1200" w:type="dxa"/>
            <w:vAlign w:val="bottom"/>
            <w:tcBorders>
              <w:right w:val="single" w:sz="8" w:color="auto"/>
            </w:tcBorders>
          </w:tcPr>
          <w:p>
            <w:pPr>
              <w:ind w:left="400"/>
              <w:spacing w:after="0" w:line="160" w:lineRule="exact"/>
              <w:rPr>
                <w:sz w:val="20"/>
                <w:szCs w:val="20"/>
                <w:color w:val="auto"/>
              </w:rPr>
            </w:pPr>
            <w:r>
              <w:rPr>
                <w:rFonts w:ascii="Arial" w:cs="Arial" w:eastAsia="Arial" w:hAnsi="Arial"/>
                <w:sz w:val="17"/>
                <w:szCs w:val="17"/>
                <w:color w:val="auto"/>
              </w:rPr>
              <w:t>IOU</w:t>
            </w:r>
          </w:p>
        </w:tc>
        <w:tc>
          <w:tcPr>
            <w:tcW w:w="11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8"/>
              </w:rPr>
              <w:t>Standard IOU</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Distribution</w:t>
            </w:r>
          </w:p>
        </w:tc>
        <w:tc>
          <w:tcPr>
            <w:tcW w:w="29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3"/>
              </w:rPr>
              <w:t>changes</w:t>
            </w:r>
          </w:p>
        </w:tc>
        <w:tc>
          <w:tcPr>
            <w:tcW w:w="12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1"/>
              </w:rPr>
              <w:t>Form/File</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Loss Factor</w:t>
            </w:r>
          </w:p>
        </w:tc>
        <w:tc>
          <w:tcPr>
            <w:tcW w:w="290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required</w:t>
            </w:r>
          </w:p>
        </w:tc>
        <w:tc>
          <w:tcPr>
            <w:tcW w:w="12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6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DWR</w:t>
            </w:r>
          </w:p>
        </w:tc>
        <w:tc>
          <w:tcPr>
            <w:tcW w:w="290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7"/>
                <w:szCs w:val="17"/>
                <w:color w:val="auto"/>
              </w:rPr>
              <w:t>Utility calculated DWR Percentage</w:t>
            </w:r>
          </w:p>
        </w:tc>
        <w:tc>
          <w:tcPr>
            <w:tcW w:w="98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7"/>
              </w:rPr>
              <w:t>Monthly</w:t>
            </w:r>
          </w:p>
        </w:tc>
        <w:tc>
          <w:tcPr>
            <w:tcW w:w="12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8"/>
              </w:rPr>
              <w:t>DWR</w:t>
            </w:r>
          </w:p>
        </w:tc>
        <w:tc>
          <w:tcPr>
            <w:tcW w:w="11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4"/>
              </w:rPr>
              <w:t>Standard</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Percentage</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rPr>
              <w:t>Factor (or DWR Percentage</w:t>
            </w:r>
          </w:p>
        </w:tc>
        <w:tc>
          <w:tcPr>
            <w:tcW w:w="9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2"/>
              </w:rPr>
              <w:t>Percentage</w:t>
            </w:r>
          </w:p>
        </w:tc>
        <w:tc>
          <w:tcPr>
            <w:tcW w:w="11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3"/>
              </w:rPr>
              <w:t>DWR</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Factor</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w w:val="96"/>
              </w:rPr>
              <w:t>Calculation) and applied to customers’</w:t>
            </w:r>
          </w:p>
        </w:tc>
        <w:tc>
          <w:tcPr>
            <w:tcW w:w="9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0"/>
              </w:rPr>
              <w:t>Calculation</w:t>
            </w:r>
          </w:p>
        </w:tc>
        <w:tc>
          <w:tcPr>
            <w:tcW w:w="11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1"/>
              </w:rPr>
              <w:t>Form/File</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bills to determine DWR Remittances.</w:t>
            </w:r>
          </w:p>
        </w:tc>
        <w:tc>
          <w:tcPr>
            <w:tcW w:w="98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6"/>
              </w:rPr>
              <w:t>Report</w:t>
            </w:r>
          </w:p>
        </w:tc>
        <w:tc>
          <w:tcPr>
            <w:tcW w:w="11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6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Energy Sales</w:t>
            </w:r>
          </w:p>
        </w:tc>
        <w:tc>
          <w:tcPr>
            <w:tcW w:w="290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7"/>
                <w:szCs w:val="17"/>
                <w:color w:val="auto"/>
              </w:rPr>
              <w:t>Monthly kWh billed by Utility to end</w:t>
            </w:r>
          </w:p>
        </w:tc>
        <w:tc>
          <w:tcPr>
            <w:tcW w:w="98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7"/>
              </w:rPr>
              <w:t>Monthly</w:t>
            </w:r>
          </w:p>
        </w:tc>
        <w:tc>
          <w:tcPr>
            <w:tcW w:w="12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4"/>
              </w:rPr>
              <w:t>Monthly</w:t>
            </w:r>
          </w:p>
        </w:tc>
        <w:tc>
          <w:tcPr>
            <w:tcW w:w="11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4"/>
              </w:rPr>
              <w:t>Standard</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billed (kWh)</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rPr>
              <w:t>users</w:t>
            </w:r>
          </w:p>
        </w:tc>
        <w:tc>
          <w:tcPr>
            <w:tcW w:w="9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4"/>
              </w:rPr>
              <w:t>Billing Report</w:t>
            </w:r>
          </w:p>
        </w:tc>
        <w:tc>
          <w:tcPr>
            <w:tcW w:w="11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3"/>
              </w:rPr>
              <w:t>DWR</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Form/File</w:t>
            </w:r>
          </w:p>
        </w:tc>
        <w:tc>
          <w:tcPr>
            <w:tcW w:w="0" w:type="dxa"/>
            <w:vAlign w:val="bottom"/>
          </w:tcPr>
          <w:p>
            <w:pPr>
              <w:spacing w:after="0"/>
              <w:rPr>
                <w:sz w:val="1"/>
                <w:szCs w:val="1"/>
                <w:color w:val="auto"/>
              </w:rPr>
            </w:pPr>
          </w:p>
        </w:tc>
      </w:tr>
      <w:tr>
        <w:trPr>
          <w:trHeight w:val="160"/>
        </w:trPr>
        <w:tc>
          <w:tcPr>
            <w:tcW w:w="136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DWR Power</w:t>
            </w:r>
          </w:p>
        </w:tc>
        <w:tc>
          <w:tcPr>
            <w:tcW w:w="290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7"/>
                <w:szCs w:val="17"/>
                <w:color w:val="auto"/>
              </w:rPr>
              <w:t>Monthly kWh billed by Utility to end</w:t>
            </w:r>
          </w:p>
        </w:tc>
        <w:tc>
          <w:tcPr>
            <w:tcW w:w="98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7"/>
              </w:rPr>
              <w:t>Monthly</w:t>
            </w:r>
          </w:p>
        </w:tc>
        <w:tc>
          <w:tcPr>
            <w:tcW w:w="12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4"/>
              </w:rPr>
              <w:t>Monthly</w:t>
            </w:r>
          </w:p>
        </w:tc>
        <w:tc>
          <w:tcPr>
            <w:tcW w:w="11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4"/>
              </w:rPr>
              <w:t>Standard</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w w:val="96"/>
              </w:rPr>
              <w:t>Charge volumes</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rPr>
              <w:t>users</w:t>
            </w:r>
          </w:p>
        </w:tc>
        <w:tc>
          <w:tcPr>
            <w:tcW w:w="9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4"/>
              </w:rPr>
              <w:t>Billing Report</w:t>
            </w:r>
          </w:p>
        </w:tc>
        <w:tc>
          <w:tcPr>
            <w:tcW w:w="11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3"/>
              </w:rPr>
              <w:t>DWR</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Form/File</w:t>
            </w:r>
          </w:p>
        </w:tc>
        <w:tc>
          <w:tcPr>
            <w:tcW w:w="0" w:type="dxa"/>
            <w:vAlign w:val="bottom"/>
          </w:tcPr>
          <w:p>
            <w:pPr>
              <w:spacing w:after="0"/>
              <w:rPr>
                <w:sz w:val="1"/>
                <w:szCs w:val="1"/>
                <w:color w:val="auto"/>
              </w:rPr>
            </w:pPr>
          </w:p>
        </w:tc>
      </w:tr>
      <w:tr>
        <w:trPr>
          <w:trHeight w:val="160"/>
        </w:trPr>
        <w:tc>
          <w:tcPr>
            <w:tcW w:w="136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DWR Power</w:t>
            </w:r>
          </w:p>
        </w:tc>
        <w:tc>
          <w:tcPr>
            <w:tcW w:w="290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7"/>
                <w:szCs w:val="17"/>
                <w:color w:val="auto"/>
                <w:w w:val="97"/>
              </w:rPr>
              <w:t>Monthly dollar amount of DWR Power</w:t>
            </w:r>
          </w:p>
        </w:tc>
        <w:tc>
          <w:tcPr>
            <w:tcW w:w="98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7"/>
              </w:rPr>
              <w:t>Monthly</w:t>
            </w:r>
          </w:p>
        </w:tc>
        <w:tc>
          <w:tcPr>
            <w:tcW w:w="12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4"/>
              </w:rPr>
              <w:t>Monthly</w:t>
            </w:r>
          </w:p>
        </w:tc>
        <w:tc>
          <w:tcPr>
            <w:tcW w:w="11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4"/>
              </w:rPr>
              <w:t>Standard</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Charge billed to</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rPr>
              <w:t>Charge being billed to customer</w:t>
            </w:r>
          </w:p>
        </w:tc>
        <w:tc>
          <w:tcPr>
            <w:tcW w:w="9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4"/>
              </w:rPr>
              <w:t>Billing Report</w:t>
            </w:r>
          </w:p>
        </w:tc>
        <w:tc>
          <w:tcPr>
            <w:tcW w:w="11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3"/>
              </w:rPr>
              <w:t>DWR</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Customer</w:t>
            </w:r>
          </w:p>
        </w:tc>
        <w:tc>
          <w:tcPr>
            <w:tcW w:w="2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w w:val="99"/>
              </w:rPr>
              <w:t>including identification of dates billed.</w:t>
            </w:r>
          </w:p>
        </w:tc>
        <w:tc>
          <w:tcPr>
            <w:tcW w:w="98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Form/File</w:t>
            </w:r>
          </w:p>
        </w:tc>
        <w:tc>
          <w:tcPr>
            <w:tcW w:w="0" w:type="dxa"/>
            <w:vAlign w:val="bottom"/>
          </w:tcPr>
          <w:p>
            <w:pPr>
              <w:spacing w:after="0"/>
              <w:rPr>
                <w:sz w:val="1"/>
                <w:szCs w:val="1"/>
                <w:color w:val="auto"/>
              </w:rPr>
            </w:pPr>
          </w:p>
        </w:tc>
      </w:tr>
      <w:tr>
        <w:trPr>
          <w:trHeight w:val="160"/>
        </w:trPr>
        <w:tc>
          <w:tcPr>
            <w:tcW w:w="136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DWR Power</w:t>
            </w:r>
          </w:p>
        </w:tc>
        <w:tc>
          <w:tcPr>
            <w:tcW w:w="290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7"/>
                <w:szCs w:val="17"/>
                <w:color w:val="auto"/>
                <w:w w:val="99"/>
              </w:rPr>
              <w:t>Daily dollar amount being remitted by</w:t>
            </w:r>
          </w:p>
        </w:tc>
        <w:tc>
          <w:tcPr>
            <w:tcW w:w="98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rPr>
              <w:t>Daily</w:t>
            </w:r>
          </w:p>
        </w:tc>
        <w:tc>
          <w:tcPr>
            <w:tcW w:w="12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5"/>
              </w:rPr>
              <w:t>Daily</w:t>
            </w:r>
          </w:p>
        </w:tc>
        <w:tc>
          <w:tcPr>
            <w:tcW w:w="116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4"/>
              </w:rPr>
              <w:t>Standard</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w w:val="93"/>
              </w:rPr>
              <w:t>Charge Remitted</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rPr>
              <w:t>Utility to DWR for the DWR Power</w:t>
            </w:r>
          </w:p>
        </w:tc>
        <w:tc>
          <w:tcPr>
            <w:tcW w:w="9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8"/>
              </w:rPr>
              <w:t>Remittance</w:t>
            </w:r>
          </w:p>
        </w:tc>
        <w:tc>
          <w:tcPr>
            <w:tcW w:w="11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3"/>
              </w:rPr>
              <w:t>DWR</w:t>
            </w: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to DWR</w:t>
            </w:r>
          </w:p>
        </w:tc>
        <w:tc>
          <w:tcPr>
            <w:tcW w:w="290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rPr>
              <w:t>Charge collected from customers</w:t>
            </w:r>
          </w:p>
        </w:tc>
        <w:tc>
          <w:tcPr>
            <w:tcW w:w="9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6"/>
              </w:rPr>
              <w:t>Report</w:t>
            </w:r>
          </w:p>
        </w:tc>
        <w:tc>
          <w:tcPr>
            <w:tcW w:w="116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1"/>
              </w:rPr>
              <w:t>Form/File</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w w:val="99"/>
              </w:rPr>
              <w:t>including identification of dates billed.</w:t>
            </w:r>
          </w:p>
        </w:tc>
        <w:tc>
          <w:tcPr>
            <w:tcW w:w="98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Some of this information is provided pursuant to the Servicing Arrangement, and supports the daily remittance calculation for each month and subsequent true-ups. The Servicing Arrangement will be modified as necessary to conform to this Operating Agreement.</w:t>
      </w:r>
    </w:p>
    <w:p>
      <w:pPr>
        <w:spacing w:after="0" w:line="56"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As various Commission proceedings are finalized DWR will also require specific data related to Power and Bond Charge remittances and to Direct Access Departing Load exit fees. The specific nature and format of this data will be agreed with between the utilities and DWR.</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outlines DWR data requirements relating to resource information:</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134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4"/>
                <w:szCs w:val="14"/>
                <w:color w:val="auto"/>
                <w:w w:val="88"/>
              </w:rPr>
              <w:t>Resource Information</w:t>
            </w:r>
          </w:p>
        </w:tc>
        <w:tc>
          <w:tcPr>
            <w:tcW w:w="2920" w:type="dxa"/>
            <w:vAlign w:val="bottom"/>
            <w:tcBorders>
              <w:top w:val="single" w:sz="8" w:color="auto"/>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7"/>
        </w:trPr>
        <w:tc>
          <w:tcPr>
            <w:tcW w:w="1340" w:type="dxa"/>
            <w:vAlign w:val="bottom"/>
            <w:tcBorders>
              <w:left w:val="single" w:sz="8" w:color="auto"/>
              <w:bottom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141"/>
        </w:trPr>
        <w:tc>
          <w:tcPr>
            <w:tcW w:w="1340" w:type="dxa"/>
            <w:vAlign w:val="bottom"/>
            <w:tcBorders>
              <w:left w:val="single" w:sz="8" w:color="auto"/>
              <w:bottom w:val="single" w:sz="8" w:color="auto"/>
              <w:right w:val="single" w:sz="8" w:color="auto"/>
            </w:tcBorders>
          </w:tcPr>
          <w:p>
            <w:pPr>
              <w:ind w:left="200"/>
              <w:spacing w:after="0" w:line="142" w:lineRule="exact"/>
              <w:rPr>
                <w:sz w:val="20"/>
                <w:szCs w:val="20"/>
                <w:color w:val="auto"/>
              </w:rPr>
            </w:pPr>
            <w:r>
              <w:rPr>
                <w:rFonts w:ascii="Arial" w:cs="Arial" w:eastAsia="Arial" w:hAnsi="Arial"/>
                <w:sz w:val="16"/>
                <w:szCs w:val="16"/>
                <w:b w:val="1"/>
                <w:bCs w:val="1"/>
                <w:color w:val="auto"/>
              </w:rPr>
              <w:t>Requirement</w:t>
            </w:r>
          </w:p>
        </w:tc>
        <w:tc>
          <w:tcPr>
            <w:tcW w:w="2920" w:type="dxa"/>
            <w:vAlign w:val="bottom"/>
            <w:tcBorders>
              <w:bottom w:val="single" w:sz="8" w:color="auto"/>
              <w:right w:val="single" w:sz="8" w:color="auto"/>
            </w:tcBorders>
          </w:tcPr>
          <w:p>
            <w:pPr>
              <w:ind w:left="1020"/>
              <w:spacing w:after="0" w:line="142" w:lineRule="exact"/>
              <w:rPr>
                <w:sz w:val="20"/>
                <w:szCs w:val="20"/>
                <w:color w:val="auto"/>
              </w:rPr>
            </w:pPr>
            <w:r>
              <w:rPr>
                <w:rFonts w:ascii="Arial" w:cs="Arial" w:eastAsia="Arial" w:hAnsi="Arial"/>
                <w:sz w:val="16"/>
                <w:szCs w:val="16"/>
                <w:b w:val="1"/>
                <w:bCs w:val="1"/>
                <w:color w:val="auto"/>
              </w:rPr>
              <w:t>Description</w:t>
            </w:r>
          </w:p>
        </w:tc>
        <w:tc>
          <w:tcPr>
            <w:tcW w:w="9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w w:val="97"/>
              </w:rPr>
              <w:t>Freq</w:t>
            </w:r>
          </w:p>
        </w:tc>
        <w:tc>
          <w:tcPr>
            <w:tcW w:w="9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w w:val="92"/>
              </w:rPr>
              <w:t>Effective</w:t>
            </w:r>
          </w:p>
        </w:tc>
        <w:tc>
          <w:tcPr>
            <w:tcW w:w="14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w w:val="97"/>
              </w:rPr>
              <w:t>Delivery Method</w:t>
            </w:r>
          </w:p>
        </w:tc>
      </w:tr>
      <w:tr>
        <w:trPr>
          <w:trHeight w:val="160"/>
        </w:trPr>
        <w:tc>
          <w:tcPr>
            <w:tcW w:w="134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Load and</w:t>
            </w:r>
          </w:p>
        </w:tc>
        <w:tc>
          <w:tcPr>
            <w:tcW w:w="292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w w:val="99"/>
              </w:rPr>
              <w:t>Copies of Utilities annual and quarter</w:t>
            </w:r>
          </w:p>
        </w:tc>
        <w:tc>
          <w:tcPr>
            <w:tcW w:w="98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5"/>
              </w:rPr>
              <w:t>Annually</w:t>
            </w:r>
          </w:p>
        </w:tc>
        <w:tc>
          <w:tcPr>
            <w:tcW w:w="98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4"/>
              </w:rPr>
              <w:t>Jan-03</w:t>
            </w:r>
          </w:p>
        </w:tc>
        <w:tc>
          <w:tcPr>
            <w:tcW w:w="144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9"/>
              </w:rPr>
              <w:t>E-mail or other</w:t>
            </w: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Resource</w:t>
            </w:r>
          </w:p>
        </w:tc>
        <w:tc>
          <w:tcPr>
            <w:tcW w:w="292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88"/>
              </w:rPr>
              <w:t>load and resource assessment studies as</w:t>
            </w:r>
          </w:p>
        </w:tc>
        <w:tc>
          <w:tcPr>
            <w:tcW w:w="98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4"/>
              </w:rPr>
              <w:t>and</w:t>
            </w:r>
          </w:p>
        </w:tc>
        <w:tc>
          <w:tcPr>
            <w:tcW w:w="9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7"/>
              </w:rPr>
              <w:t>transmission</w:t>
            </w: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Assessment</w:t>
            </w:r>
          </w:p>
        </w:tc>
        <w:tc>
          <w:tcPr>
            <w:tcW w:w="292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provided to the PUC.</w:t>
            </w:r>
          </w:p>
        </w:tc>
        <w:tc>
          <w:tcPr>
            <w:tcW w:w="98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0"/>
              </w:rPr>
              <w:t>quarterly</w:t>
            </w:r>
          </w:p>
        </w:tc>
        <w:tc>
          <w:tcPr>
            <w:tcW w:w="9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r>
      <w:tr>
        <w:trPr>
          <w:trHeight w:val="209"/>
        </w:trPr>
        <w:tc>
          <w:tcPr>
            <w:tcW w:w="13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Studies</w:t>
            </w:r>
          </w:p>
        </w:tc>
        <w:tc>
          <w:tcPr>
            <w:tcW w:w="29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r>
      <w:tr>
        <w:trPr>
          <w:trHeight w:val="345"/>
        </w:trPr>
        <w:tc>
          <w:tcPr>
            <w:tcW w:w="1340" w:type="dxa"/>
            <w:vAlign w:val="bottom"/>
            <w:tcBorders>
              <w:left w:val="single" w:sz="8" w:color="auto"/>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r>
      <w:tr>
        <w:trPr>
          <w:trHeight w:val="160"/>
        </w:trPr>
        <w:tc>
          <w:tcPr>
            <w:tcW w:w="134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Update</w:t>
            </w:r>
          </w:p>
        </w:tc>
        <w:tc>
          <w:tcPr>
            <w:tcW w:w="292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w w:val="93"/>
              </w:rPr>
              <w:t>Updated description of URG resources.</w:t>
            </w:r>
          </w:p>
        </w:tc>
        <w:tc>
          <w:tcPr>
            <w:tcW w:w="98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5"/>
              </w:rPr>
              <w:t>Annually</w:t>
            </w:r>
          </w:p>
        </w:tc>
        <w:tc>
          <w:tcPr>
            <w:tcW w:w="98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2"/>
              </w:rPr>
              <w:t>Jan 1, 04</w:t>
            </w:r>
          </w:p>
        </w:tc>
        <w:tc>
          <w:tcPr>
            <w:tcW w:w="144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9"/>
              </w:rPr>
              <w:t>E-mail or other</w:t>
            </w: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Description of</w:t>
            </w:r>
          </w:p>
        </w:tc>
        <w:tc>
          <w:tcPr>
            <w:tcW w:w="292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9"/>
              </w:rPr>
              <w:t>or when</w:t>
            </w:r>
          </w:p>
        </w:tc>
        <w:tc>
          <w:tcPr>
            <w:tcW w:w="9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7"/>
              </w:rPr>
              <w:t>transmission</w:t>
            </w: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Resources</w:t>
            </w:r>
          </w:p>
        </w:tc>
        <w:tc>
          <w:tcPr>
            <w:tcW w:w="292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92"/>
              </w:rPr>
              <w:t>significant</w:t>
            </w:r>
          </w:p>
        </w:tc>
        <w:tc>
          <w:tcPr>
            <w:tcW w:w="9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r>
      <w:tr>
        <w:trPr>
          <w:trHeight w:val="203"/>
        </w:trPr>
        <w:tc>
          <w:tcPr>
            <w:tcW w:w="1340" w:type="dxa"/>
            <w:vAlign w:val="bottom"/>
            <w:tcBorders>
              <w:left w:val="single" w:sz="8" w:color="auto"/>
              <w:bottom w:val="single" w:sz="8" w:color="auto"/>
              <w:right w:val="single" w:sz="8" w:color="auto"/>
            </w:tcBorders>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3"/>
              </w:rPr>
              <w:t>changes</w:t>
            </w:r>
          </w:p>
        </w:tc>
        <w:tc>
          <w:tcPr>
            <w:tcW w:w="9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r>
      <w:tr>
        <w:trPr>
          <w:trHeight w:val="126"/>
        </w:trPr>
        <w:tc>
          <w:tcPr>
            <w:tcW w:w="1340" w:type="dxa"/>
            <w:vAlign w:val="bottom"/>
            <w:tcBorders>
              <w:left w:val="single" w:sz="8" w:color="auto"/>
              <w:right w:val="single" w:sz="8" w:color="auto"/>
            </w:tcBorders>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r>
    </w:tbl>
    <w:p>
      <w:pPr>
        <w:sectPr>
          <w:pgSz w:w="11900" w:h="16900" w:orient="portrait"/>
          <w:cols w:equalWidth="0" w:num="1">
            <w:col w:w="11340"/>
          </w:cols>
          <w:pgMar w:left="220" w:top="681" w:right="339" w:bottom="0" w:gutter="0" w:footer="0" w:header="0"/>
        </w:sectPr>
      </w:pPr>
    </w:p>
    <w:bookmarkStart w:id="102" w:name="page103"/>
    <w:bookmarkEnd w:id="10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13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Unit</w:t>
            </w:r>
          </w:p>
        </w:tc>
        <w:tc>
          <w:tcPr>
            <w:tcW w:w="2900" w:type="dxa"/>
            <w:vAlign w:val="bottom"/>
            <w:tcBorders>
              <w:right w:val="single" w:sz="8" w:color="auto"/>
            </w:tcBorders>
          </w:tcPr>
          <w:p>
            <w:pPr>
              <w:ind w:left="120"/>
              <w:spacing w:after="0"/>
              <w:rPr>
                <w:sz w:val="20"/>
                <w:szCs w:val="20"/>
                <w:color w:val="auto"/>
              </w:rPr>
            </w:pPr>
            <w:r>
              <w:rPr>
                <w:rFonts w:ascii="Arial" w:cs="Arial" w:eastAsia="Arial" w:hAnsi="Arial"/>
                <w:sz w:val="17"/>
                <w:szCs w:val="17"/>
                <w:color w:val="auto"/>
              </w:rPr>
              <w:t>As provided to the PUC.</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Weekly</w:t>
            </w:r>
          </w:p>
        </w:tc>
        <w:tc>
          <w:tcPr>
            <w:tcW w:w="980" w:type="dxa"/>
            <w:vAlign w:val="bottom"/>
            <w:tcBorders>
              <w:right w:val="single" w:sz="8" w:color="auto"/>
            </w:tcBorders>
          </w:tcPr>
          <w:p>
            <w:pPr>
              <w:ind w:left="260"/>
              <w:spacing w:after="0"/>
              <w:rPr>
                <w:sz w:val="20"/>
                <w:szCs w:val="20"/>
                <w:color w:val="auto"/>
              </w:rPr>
            </w:pPr>
            <w:r>
              <w:rPr>
                <w:rFonts w:ascii="Arial" w:cs="Arial" w:eastAsia="Arial" w:hAnsi="Arial"/>
                <w:sz w:val="17"/>
                <w:szCs w:val="17"/>
                <w:color w:val="auto"/>
              </w:rPr>
              <w:t>Jan-03</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E-mail or other</w:t>
            </w: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Commitment</w:t>
            </w:r>
          </w:p>
        </w:tc>
        <w:tc>
          <w:tcPr>
            <w:tcW w:w="29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7"/>
              </w:rPr>
              <w:t>transmission</w:t>
            </w:r>
          </w:p>
        </w:tc>
      </w:tr>
      <w:tr>
        <w:trPr>
          <w:trHeight w:val="209"/>
        </w:trPr>
        <w:tc>
          <w:tcPr>
            <w:tcW w:w="13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Studies</w:t>
            </w:r>
          </w:p>
        </w:tc>
        <w:tc>
          <w:tcPr>
            <w:tcW w:w="2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r>
      <w:tr>
        <w:trPr>
          <w:trHeight w:val="159"/>
        </w:trPr>
        <w:tc>
          <w:tcPr>
            <w:tcW w:w="1340" w:type="dxa"/>
            <w:vAlign w:val="bottom"/>
            <w:tcBorders>
              <w:left w:val="single" w:sz="8" w:color="auto"/>
              <w:bottom w:val="single" w:sz="8" w:color="auto"/>
              <w:right w:val="single" w:sz="8" w:color="auto"/>
            </w:tcBorders>
          </w:tcPr>
          <w:p>
            <w:pPr>
              <w:spacing w:after="0"/>
              <w:rPr>
                <w:sz w:val="13"/>
                <w:szCs w:val="13"/>
                <w:color w:val="auto"/>
              </w:rPr>
            </w:pPr>
          </w:p>
        </w:tc>
        <w:tc>
          <w:tcPr>
            <w:tcW w:w="290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r>
      <w:tr>
        <w:trPr>
          <w:trHeight w:val="160"/>
        </w:trPr>
        <w:tc>
          <w:tcPr>
            <w:tcW w:w="134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DWR Non-</w:t>
            </w:r>
          </w:p>
        </w:tc>
        <w:tc>
          <w:tcPr>
            <w:tcW w:w="290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rPr>
              <w:t>Report of Resources that were</w:t>
            </w:r>
          </w:p>
        </w:tc>
        <w:tc>
          <w:tcPr>
            <w:tcW w:w="10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0"/>
              </w:rPr>
              <w:t>Ad hoc</w:t>
            </w:r>
          </w:p>
        </w:tc>
        <w:tc>
          <w:tcPr>
            <w:tcW w:w="980" w:type="dxa"/>
            <w:vAlign w:val="bottom"/>
            <w:tcBorders>
              <w:right w:val="single" w:sz="8" w:color="auto"/>
            </w:tcBorders>
          </w:tcPr>
          <w:p>
            <w:pPr>
              <w:jc w:val="right"/>
              <w:ind w:right="217"/>
              <w:spacing w:after="0" w:line="160" w:lineRule="exact"/>
              <w:rPr>
                <w:sz w:val="20"/>
                <w:szCs w:val="20"/>
                <w:color w:val="auto"/>
              </w:rPr>
            </w:pPr>
            <w:r>
              <w:rPr>
                <w:rFonts w:ascii="Arial" w:cs="Arial" w:eastAsia="Arial" w:hAnsi="Arial"/>
                <w:sz w:val="17"/>
                <w:szCs w:val="17"/>
                <w:color w:val="auto"/>
              </w:rPr>
              <w:t>1/1/03</w:t>
            </w:r>
          </w:p>
        </w:tc>
        <w:tc>
          <w:tcPr>
            <w:tcW w:w="144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9"/>
              </w:rPr>
              <w:t>E-mail or other</w:t>
            </w: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Dispatched</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economic to run, but were not</w:t>
            </w:r>
          </w:p>
        </w:tc>
        <w:tc>
          <w:tcPr>
            <w:tcW w:w="10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7"/>
              </w:rPr>
              <w:t>transmission</w:t>
            </w: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Resources</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3"/>
              </w:rPr>
              <w:t>dispatched. Applicable as to PG&amp;E and</w:t>
            </w:r>
          </w:p>
        </w:tc>
        <w:tc>
          <w:tcPr>
            <w:tcW w:w="10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r>
      <w:tr>
        <w:trPr>
          <w:trHeight w:val="203"/>
        </w:trPr>
        <w:tc>
          <w:tcPr>
            <w:tcW w:w="1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Report</w:t>
            </w:r>
          </w:p>
        </w:tc>
        <w:tc>
          <w:tcPr>
            <w:tcW w:w="2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SDG&amp;E only.</w:t>
            </w:r>
          </w:p>
        </w:tc>
        <w:tc>
          <w:tcPr>
            <w:tcW w:w="100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r>
      <w:tr>
        <w:trPr>
          <w:trHeight w:val="160"/>
        </w:trPr>
        <w:tc>
          <w:tcPr>
            <w:tcW w:w="134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w w:val="99"/>
              </w:rPr>
              <w:t>DWR Resource</w:t>
            </w:r>
          </w:p>
        </w:tc>
        <w:tc>
          <w:tcPr>
            <w:tcW w:w="2900" w:type="dxa"/>
            <w:vAlign w:val="bottom"/>
            <w:tcBorders>
              <w:right w:val="single" w:sz="8" w:color="auto"/>
            </w:tcBorders>
          </w:tcPr>
          <w:p>
            <w:pPr>
              <w:ind w:left="100"/>
              <w:spacing w:after="0" w:line="160" w:lineRule="exact"/>
              <w:rPr>
                <w:sz w:val="20"/>
                <w:szCs w:val="20"/>
                <w:color w:val="auto"/>
              </w:rPr>
            </w:pPr>
            <w:r>
              <w:rPr>
                <w:rFonts w:ascii="Arial" w:cs="Arial" w:eastAsia="Arial" w:hAnsi="Arial"/>
                <w:sz w:val="17"/>
                <w:szCs w:val="17"/>
                <w:color w:val="auto"/>
              </w:rPr>
              <w:t>Utility notification to DWR for</w:t>
            </w:r>
          </w:p>
        </w:tc>
        <w:tc>
          <w:tcPr>
            <w:tcW w:w="100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90"/>
              </w:rPr>
              <w:t>As outlined</w:t>
            </w:r>
          </w:p>
        </w:tc>
        <w:tc>
          <w:tcPr>
            <w:tcW w:w="980" w:type="dxa"/>
            <w:vAlign w:val="bottom"/>
            <w:tcBorders>
              <w:right w:val="single" w:sz="8" w:color="auto"/>
            </w:tcBorders>
          </w:tcPr>
          <w:p>
            <w:pPr>
              <w:jc w:val="right"/>
              <w:ind w:right="137"/>
              <w:spacing w:after="0" w:line="160" w:lineRule="exact"/>
              <w:rPr>
                <w:sz w:val="20"/>
                <w:szCs w:val="20"/>
                <w:color w:val="auto"/>
              </w:rPr>
            </w:pPr>
            <w:r>
              <w:rPr>
                <w:rFonts w:ascii="Arial" w:cs="Arial" w:eastAsia="Arial" w:hAnsi="Arial"/>
                <w:sz w:val="17"/>
                <w:szCs w:val="17"/>
                <w:color w:val="auto"/>
              </w:rPr>
              <w:t>1/1/2003</w:t>
            </w:r>
          </w:p>
        </w:tc>
        <w:tc>
          <w:tcPr>
            <w:tcW w:w="144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7"/>
                <w:szCs w:val="17"/>
                <w:color w:val="auto"/>
                <w:w w:val="89"/>
              </w:rPr>
              <w:t>Standard DWR</w:t>
            </w: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Unavailability</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4"/>
              </w:rPr>
              <w:t>resources within an allocated contracts</w:t>
            </w:r>
          </w:p>
        </w:tc>
        <w:tc>
          <w:tcPr>
            <w:tcW w:w="10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rPr>
              <w:t>in</w:t>
            </w:r>
          </w:p>
        </w:tc>
        <w:tc>
          <w:tcPr>
            <w:tcW w:w="9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9"/>
              </w:rPr>
              <w:t>Form – Email/Fax</w:t>
            </w:r>
          </w:p>
        </w:tc>
      </w:tr>
      <w:tr>
        <w:trPr>
          <w:trHeight w:val="186"/>
        </w:trPr>
        <w:tc>
          <w:tcPr>
            <w:tcW w:w="1340" w:type="dxa"/>
            <w:vAlign w:val="bottom"/>
            <w:tcBorders>
              <w:left w:val="single" w:sz="8" w:color="auto"/>
              <w:right w:val="single" w:sz="8" w:color="auto"/>
            </w:tcBorders>
          </w:tcPr>
          <w:p>
            <w:pPr>
              <w:ind w:left="120"/>
              <w:spacing w:after="0" w:line="186" w:lineRule="exact"/>
              <w:rPr>
                <w:sz w:val="20"/>
                <w:szCs w:val="20"/>
                <w:color w:val="auto"/>
              </w:rPr>
            </w:pPr>
            <w:r>
              <w:rPr>
                <w:rFonts w:ascii="Arial" w:cs="Arial" w:eastAsia="Arial" w:hAnsi="Arial"/>
                <w:sz w:val="17"/>
                <w:szCs w:val="17"/>
                <w:color w:val="auto"/>
              </w:rPr>
              <w:t>Form</w:t>
            </w: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5"/>
              </w:rPr>
              <w:t>becoming unavailable, or scheduled to</w:t>
            </w:r>
          </w:p>
        </w:tc>
        <w:tc>
          <w:tcPr>
            <w:tcW w:w="10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7"/>
                <w:szCs w:val="17"/>
                <w:color w:val="auto"/>
                <w:w w:val="87"/>
              </w:rPr>
              <w:t>operating</w:t>
            </w:r>
          </w:p>
        </w:tc>
        <w:tc>
          <w:tcPr>
            <w:tcW w:w="9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r>
      <w:tr>
        <w:trPr>
          <w:trHeight w:val="209"/>
        </w:trPr>
        <w:tc>
          <w:tcPr>
            <w:tcW w:w="1340" w:type="dxa"/>
            <w:vAlign w:val="bottom"/>
            <w:tcBorders>
              <w:left w:val="single" w:sz="8" w:color="auto"/>
              <w:right w:val="single" w:sz="8" w:color="auto"/>
            </w:tcBorders>
          </w:tcPr>
          <w:p>
            <w:pPr>
              <w:spacing w:after="0"/>
              <w:rPr>
                <w:sz w:val="18"/>
                <w:szCs w:val="18"/>
                <w:color w:val="auto"/>
              </w:rPr>
            </w:pPr>
          </w:p>
        </w:tc>
        <w:tc>
          <w:tcPr>
            <w:tcW w:w="29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become unavailable.</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6"/>
              </w:rPr>
              <w:t>agreement</w:t>
            </w:r>
          </w:p>
        </w:tc>
        <w:tc>
          <w:tcPr>
            <w:tcW w:w="9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r>
      <w:tr>
        <w:trPr>
          <w:trHeight w:val="607"/>
        </w:trPr>
        <w:tc>
          <w:tcPr>
            <w:tcW w:w="1340" w:type="dxa"/>
            <w:vAlign w:val="bottom"/>
            <w:tcBorders>
              <w:left w:val="single" w:sz="8" w:color="auto"/>
              <w:right w:val="single" w:sz="8" w:color="auto"/>
            </w:tcBorders>
          </w:tcPr>
          <w:p>
            <w:pPr>
              <w:spacing w:after="0"/>
              <w:rPr>
                <w:sz w:val="24"/>
                <w:szCs w:val="24"/>
                <w:color w:val="auto"/>
              </w:rPr>
            </w:pPr>
          </w:p>
        </w:tc>
        <w:tc>
          <w:tcPr>
            <w:tcW w:w="29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Note: This information could be</w:t>
            </w:r>
          </w:p>
        </w:tc>
        <w:tc>
          <w:tcPr>
            <w:tcW w:w="10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r>
      <w:tr>
        <w:trPr>
          <w:trHeight w:val="186"/>
        </w:trPr>
        <w:tc>
          <w:tcPr>
            <w:tcW w:w="134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w w:val="96"/>
              </w:rPr>
              <w:t>provided directly from the generator to</w:t>
            </w:r>
          </w:p>
        </w:tc>
        <w:tc>
          <w:tcPr>
            <w:tcW w:w="10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r>
      <w:tr>
        <w:trPr>
          <w:trHeight w:val="186"/>
        </w:trPr>
        <w:tc>
          <w:tcPr>
            <w:tcW w:w="1340" w:type="dxa"/>
            <w:vAlign w:val="bottom"/>
            <w:tcBorders>
              <w:left w:val="single" w:sz="8" w:color="auto"/>
              <w:right w:val="single" w:sz="8" w:color="auto"/>
            </w:tcBorders>
          </w:tcPr>
          <w:p>
            <w:pPr>
              <w:spacing w:after="0"/>
              <w:rPr>
                <w:sz w:val="16"/>
                <w:szCs w:val="16"/>
                <w:color w:val="auto"/>
              </w:rPr>
            </w:pPr>
          </w:p>
        </w:tc>
        <w:tc>
          <w:tcPr>
            <w:tcW w:w="29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7"/>
                <w:szCs w:val="17"/>
                <w:color w:val="auto"/>
              </w:rPr>
              <w:t>DWR and would therefore not be</w:t>
            </w:r>
          </w:p>
        </w:tc>
        <w:tc>
          <w:tcPr>
            <w:tcW w:w="10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r>
      <w:tr>
        <w:trPr>
          <w:trHeight w:val="209"/>
        </w:trPr>
        <w:tc>
          <w:tcPr>
            <w:tcW w:w="1340" w:type="dxa"/>
            <w:vAlign w:val="bottom"/>
            <w:tcBorders>
              <w:left w:val="single" w:sz="8" w:color="auto"/>
              <w:right w:val="single" w:sz="8" w:color="auto"/>
            </w:tcBorders>
          </w:tcPr>
          <w:p>
            <w:pPr>
              <w:spacing w:after="0"/>
              <w:rPr>
                <w:sz w:val="18"/>
                <w:szCs w:val="18"/>
                <w:color w:val="auto"/>
              </w:rPr>
            </w:pPr>
          </w:p>
        </w:tc>
        <w:tc>
          <w:tcPr>
            <w:tcW w:w="290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required from Utility.</w:t>
            </w: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r>
      <w:tr>
        <w:trPr>
          <w:trHeight w:val="107"/>
        </w:trPr>
        <w:tc>
          <w:tcPr>
            <w:tcW w:w="1340" w:type="dxa"/>
            <w:vAlign w:val="bottom"/>
            <w:tcBorders>
              <w:left w:val="single" w:sz="8" w:color="auto"/>
              <w:bottom w:val="single" w:sz="8" w:color="auto"/>
              <w:right w:val="single" w:sz="8" w:color="auto"/>
            </w:tcBorders>
          </w:tcPr>
          <w:p>
            <w:pPr>
              <w:spacing w:after="0"/>
              <w:rPr>
                <w:sz w:val="9"/>
                <w:szCs w:val="9"/>
                <w:color w:val="auto"/>
              </w:rPr>
            </w:pPr>
          </w:p>
        </w:tc>
        <w:tc>
          <w:tcPr>
            <w:tcW w:w="290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r>
    </w:tbl>
    <w:p>
      <w:pPr>
        <w:spacing w:after="0" w:line="320" w:lineRule="exact"/>
        <w:rPr>
          <w:sz w:val="20"/>
          <w:szCs w:val="20"/>
          <w:color w:val="auto"/>
        </w:rPr>
      </w:pPr>
    </w:p>
    <w:p>
      <w:pPr>
        <w:ind w:left="500" w:hanging="497"/>
        <w:spacing w:after="0"/>
        <w:tabs>
          <w:tab w:leader="none" w:pos="50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Additional Provisions</w:t>
      </w:r>
    </w:p>
    <w:p>
      <w:pPr>
        <w:spacing w:after="0" w:line="160" w:lineRule="exact"/>
        <w:rPr>
          <w:sz w:val="20"/>
          <w:szCs w:val="20"/>
          <w:color w:val="auto"/>
        </w:rPr>
      </w:pPr>
    </w:p>
    <w:p>
      <w:pPr>
        <w:ind w:right="60"/>
        <w:spacing w:after="0" w:line="301" w:lineRule="auto"/>
        <w:rPr>
          <w:sz w:val="20"/>
          <w:szCs w:val="20"/>
          <w:color w:val="auto"/>
        </w:rPr>
      </w:pPr>
      <w:r>
        <w:rPr>
          <w:rFonts w:ascii="Arial" w:cs="Arial" w:eastAsia="Arial" w:hAnsi="Arial"/>
          <w:sz w:val="14"/>
          <w:szCs w:val="14"/>
          <w:color w:val="auto"/>
        </w:rPr>
        <w:t>Upon the reasonable request of DWR, Utility will provide to DWR any information in respect of Utility that is applicable to the rights and obligations of the Parties under the Operating Order or any material information that is reasonably necessary for DWR to monitor and manage their risks and perform their fiduciary responsibilities. Upon the reasonable request of Utility, DWR will provide to Utility any information in respect of DWR that is applicable to the rights and obligations of the Parties under the Operating Order or any material information that is reasonably necessary for Utility to operationally administer Contracts under the Operating Order.</w:t>
      </w:r>
    </w:p>
    <w:p>
      <w:pPr>
        <w:spacing w:after="0" w:line="102" w:lineRule="exact"/>
        <w:rPr>
          <w:sz w:val="20"/>
          <w:szCs w:val="20"/>
          <w:color w:val="auto"/>
        </w:rPr>
      </w:pPr>
    </w:p>
    <w:p>
      <w:pPr>
        <w:ind w:right="100"/>
        <w:spacing w:after="0" w:line="301" w:lineRule="auto"/>
        <w:rPr>
          <w:sz w:val="20"/>
          <w:szCs w:val="20"/>
          <w:color w:val="auto"/>
        </w:rPr>
      </w:pPr>
      <w:r>
        <w:rPr>
          <w:rFonts w:ascii="Arial" w:cs="Arial" w:eastAsia="Arial" w:hAnsi="Arial"/>
          <w:sz w:val="14"/>
          <w:szCs w:val="14"/>
          <w:color w:val="auto"/>
        </w:rPr>
        <w:t>For the information identified above, or any additional information identified through the Term of the Operating Order, standard submission formats will be used or be developed by DWR for use by each of the investor-owned utilities, including Utility. In the cases where the information requirements result in a large volume of data (e.g., schedule information), DWR will use or develop standard detailed file definitions for use by all of the investor-owned utilities, including Utility. At all times, data will be submitted to DWR by Utility through a secure electronic communication medium, unless other medium is reasonably requested by DWR.</w:t>
      </w:r>
    </w:p>
    <w:p>
      <w:pPr>
        <w:spacing w:after="0" w:line="102"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As a result of the relative short implementation timeframes at the time of implementing the requirements under the Existing Operating Arrangement, interim delivery protocols (e.g., comma delimited file via email, compact diskettes) were utilized until the final data transmission media were in place. DWR worked jointly with Utility to ensure the required data was available by January 1, 2003.</w:t>
      </w:r>
    </w:p>
    <w:p>
      <w:pPr>
        <w:spacing w:after="0" w:line="144"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On and after the MRTU Effective Date, interim delivery protocols and templates were utilized. On and after the Effective Date of this 2010 Operating Order, the Utility and DWR will work to ensure that the required data described in Part II of this Exhibit F will be available to DWR.</w:t>
      </w:r>
    </w:p>
    <w:p>
      <w:pPr>
        <w:spacing w:after="0" w:line="13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 the event that DWR incurs additional costs, including but not limited to penalties, interest or other such costs, due to Utility’s failure to timely provide the data set forth in this Exhibit F, any such direct cost increase invoiced or assessed to DWR shall be borne by Utility.</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provisions of this Exhibit are subject to annual review by DWR and Utility to ensure that data reporting remains relevant and useful.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w:t>
      </w:r>
    </w:p>
    <w:p>
      <w:pPr>
        <w:spacing w:after="0" w:line="388" w:lineRule="exact"/>
        <w:rPr>
          <w:sz w:val="20"/>
          <w:szCs w:val="20"/>
          <w:color w:val="auto"/>
        </w:rPr>
      </w:pPr>
    </w:p>
    <w:p>
      <w:pPr>
        <w:spacing w:after="0"/>
        <w:rPr>
          <w:sz w:val="20"/>
          <w:szCs w:val="20"/>
          <w:color w:val="auto"/>
        </w:rPr>
      </w:pPr>
      <w:r>
        <w:rPr>
          <w:rFonts w:ascii="Arial" w:cs="Arial" w:eastAsia="Arial" w:hAnsi="Arial"/>
          <w:sz w:val="33"/>
          <w:szCs w:val="33"/>
          <w:b w:val="1"/>
          <w:bCs w:val="1"/>
          <w:color w:val="auto"/>
        </w:rPr>
        <w:t>Footnotes</w:t>
      </w:r>
    </w:p>
    <w:p>
      <w:pPr>
        <w:spacing w:after="0" w:line="144" w:lineRule="exact"/>
        <w:rPr>
          <w:sz w:val="20"/>
          <w:szCs w:val="20"/>
          <w:color w:val="auto"/>
        </w:rPr>
      </w:pPr>
    </w:p>
    <w:p>
      <w:pPr>
        <w:ind w:left="260" w:hanging="257"/>
        <w:spacing w:after="0"/>
        <w:tabs>
          <w:tab w:leader="none" w:pos="260" w:val="left"/>
        </w:tabs>
        <w:numPr>
          <w:ilvl w:val="0"/>
          <w:numId w:val="121"/>
        </w:numPr>
        <w:rPr>
          <w:rFonts w:ascii="Arial" w:cs="Arial" w:eastAsia="Arial" w:hAnsi="Arial"/>
          <w:sz w:val="28"/>
          <w:szCs w:val="28"/>
          <w:color w:val="auto"/>
          <w:vertAlign w:val="superscript"/>
        </w:rPr>
      </w:pPr>
      <w:r>
        <w:rPr>
          <w:rFonts w:ascii="Arial" w:cs="Arial" w:eastAsia="Arial" w:hAnsi="Arial"/>
          <w:sz w:val="17"/>
          <w:szCs w:val="17"/>
          <w:color w:val="auto"/>
        </w:rPr>
        <w:t>Contract Allocation Order is CPUC Decision (D.) 02-09-053.</w:t>
      </w:r>
    </w:p>
    <w:p>
      <w:pPr>
        <w:ind w:left="260" w:hanging="257"/>
        <w:spacing w:after="0" w:line="238" w:lineRule="auto"/>
        <w:tabs>
          <w:tab w:leader="none" w:pos="260" w:val="left"/>
        </w:tabs>
        <w:numPr>
          <w:ilvl w:val="0"/>
          <w:numId w:val="122"/>
        </w:numPr>
        <w:rPr>
          <w:rFonts w:ascii="Arial" w:cs="Arial" w:eastAsia="Arial" w:hAnsi="Arial"/>
          <w:sz w:val="28"/>
          <w:szCs w:val="28"/>
          <w:color w:val="auto"/>
          <w:vertAlign w:val="superscript"/>
        </w:rPr>
      </w:pPr>
      <w:r>
        <w:rPr>
          <w:rFonts w:ascii="Arial" w:cs="Arial" w:eastAsia="Arial" w:hAnsi="Arial"/>
          <w:sz w:val="17"/>
          <w:szCs w:val="17"/>
          <w:color w:val="auto"/>
        </w:rPr>
        <w:t>Net positive and negative deviations of all supply resources.</w:t>
      </w:r>
    </w:p>
    <w:p>
      <w:pPr>
        <w:sectPr>
          <w:pgSz w:w="11900" w:h="16838" w:orient="portrait"/>
          <w:cols w:equalWidth="0" w:num="1">
            <w:col w:w="11440"/>
          </w:cols>
          <w:pgMar w:left="220" w:top="113"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7"/>
          <w:szCs w:val="17"/>
          <w:color w:val="auto"/>
        </w:rPr>
        <w:t>8/23/2010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2010 SERVICING ORDER</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CONCERNING</w:t>
      </w:r>
    </w:p>
    <w:p>
      <w:pPr>
        <w:spacing w:after="0" w:line="200" w:lineRule="exact"/>
        <w:rPr>
          <w:sz w:val="20"/>
          <w:szCs w:val="20"/>
          <w:color w:val="auto"/>
        </w:rPr>
      </w:pPr>
    </w:p>
    <w:p>
      <w:pPr>
        <w:spacing w:after="0" w:line="31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STATE OF CALIFORNI</w:t>
      </w:r>
      <w:r>
        <w:rPr>
          <w:rFonts w:ascii="Arial" w:cs="Arial" w:eastAsia="Arial" w:hAnsi="Arial"/>
          <w:sz w:val="17"/>
          <w:szCs w:val="17"/>
          <w:color w:val="auto"/>
        </w:rPr>
        <w:t>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DEPARTMENT OF WATER RESOURCE</w:t>
      </w:r>
      <w:r>
        <w:rPr>
          <w:rFonts w:ascii="Arial" w:cs="Arial" w:eastAsia="Arial" w:hAnsi="Arial"/>
          <w:sz w:val="17"/>
          <w:szCs w:val="17"/>
          <w:color w:val="auto"/>
        </w:rPr>
        <w: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SAN DIEGO GAS &amp; ELECTRIC COMPANY</w:t>
      </w:r>
    </w:p>
    <w:p>
      <w:pPr>
        <w:spacing w:after="0" w:line="294"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THIS ORDER HAS BEEN ISSUED BY THE CALIFORNIA PUBLIC UTILITIES COMMISSION (“COMMISSION”) FOR USE BETWEEN THE STATE OF CALIFORNIA DEPARTMENT OF WATER RESOURCES (“DWR”) AND SAN DIEGO GAS &amp; ELECTRIC COMPANY (“UTILITY”).</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Date of Commission Approval: March 10, 2011</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Effective Date: March 10, 2011</w:t>
      </w:r>
    </w:p>
    <w:p>
      <w:pPr>
        <w:sectPr>
          <w:pgSz w:w="11900" w:h="16838" w:orient="portrait"/>
          <w:cols w:equalWidth="0" w:num="1">
            <w:col w:w="11460"/>
          </w:cols>
          <w:pgMar w:left="220" w:top="124" w:right="2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95"/>
        </w:trPr>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20" w:type="dxa"/>
            <w:vAlign w:val="bottom"/>
            <w:gridSpan w:val="2"/>
          </w:tcPr>
          <w:p>
            <w:pPr>
              <w:jc w:val="center"/>
              <w:ind w:left="2759"/>
              <w:spacing w:after="0"/>
              <w:rPr>
                <w:sz w:val="20"/>
                <w:szCs w:val="20"/>
                <w:color w:val="auto"/>
              </w:rPr>
            </w:pPr>
            <w:r>
              <w:rPr>
                <w:rFonts w:ascii="Arial" w:cs="Arial" w:eastAsia="Arial" w:hAnsi="Arial"/>
                <w:sz w:val="17"/>
                <w:szCs w:val="17"/>
                <w:b w:val="1"/>
                <w:bCs w:val="1"/>
                <w:color w:val="auto"/>
                <w:w w:val="95"/>
              </w:rPr>
              <w:t>2010 SERVICING ORDER</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20" w:type="dxa"/>
            <w:vAlign w:val="bottom"/>
            <w:gridSpan w:val="2"/>
          </w:tcPr>
          <w:p>
            <w:pPr>
              <w:jc w:val="center"/>
              <w:ind w:left="2759"/>
              <w:spacing w:after="0"/>
              <w:rPr>
                <w:sz w:val="20"/>
                <w:szCs w:val="20"/>
                <w:color w:val="auto"/>
              </w:rPr>
            </w:pPr>
            <w:r>
              <w:rPr>
                <w:rFonts w:ascii="Arial" w:cs="Arial" w:eastAsia="Arial" w:hAnsi="Arial"/>
                <w:sz w:val="17"/>
                <w:szCs w:val="17"/>
                <w:b w:val="1"/>
                <w:bCs w:val="1"/>
                <w:color w:val="auto"/>
                <w:w w:val="97"/>
              </w:rPr>
              <w:t>TABLE OF CONTENTS</w:t>
            </w:r>
          </w:p>
        </w:tc>
        <w:tc>
          <w:tcPr>
            <w:tcW w:w="0" w:type="dxa"/>
            <w:vAlign w:val="bottom"/>
          </w:tcPr>
          <w:p>
            <w:pPr>
              <w:spacing w:after="0"/>
              <w:rPr>
                <w:sz w:val="1"/>
                <w:szCs w:val="1"/>
                <w:color w:val="auto"/>
              </w:rPr>
            </w:pPr>
          </w:p>
        </w:tc>
      </w:tr>
      <w:tr>
        <w:trPr>
          <w:trHeight w:val="283"/>
        </w:trPr>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w w:val="96"/>
              </w:rPr>
              <w:t>Section Numbers</w:t>
            </w:r>
          </w:p>
        </w:tc>
        <w:tc>
          <w:tcPr>
            <w:tcW w:w="4440" w:type="dxa"/>
            <w:vAlign w:val="bottom"/>
            <w:tcBorders>
              <w:bottom w:val="single" w:sz="8" w:color="auto"/>
            </w:tcBorders>
          </w:tcPr>
          <w:p>
            <w:pPr>
              <w:ind w:left="2060"/>
              <w:spacing w:after="0"/>
              <w:rPr>
                <w:sz w:val="20"/>
                <w:szCs w:val="20"/>
                <w:color w:val="auto"/>
              </w:rPr>
            </w:pPr>
            <w:r>
              <w:rPr>
                <w:rFonts w:ascii="Arial" w:cs="Arial" w:eastAsia="Arial" w:hAnsi="Arial"/>
                <w:sz w:val="17"/>
                <w:szCs w:val="17"/>
                <w:color w:val="auto"/>
              </w:rPr>
              <w:t>Title</w:t>
            </w:r>
          </w:p>
        </w:tc>
        <w:tc>
          <w:tcPr>
            <w:tcW w:w="138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325"/>
        </w:trPr>
        <w:tc>
          <w:tcPr>
            <w:tcW w:w="960" w:type="dxa"/>
            <w:vAlign w:val="bottom"/>
          </w:tcPr>
          <w:p>
            <w:pPr>
              <w:spacing w:after="0"/>
              <w:rPr>
                <w:sz w:val="20"/>
                <w:szCs w:val="20"/>
                <w:color w:val="auto"/>
              </w:rPr>
            </w:pPr>
            <w:r>
              <w:rPr>
                <w:rFonts w:ascii="Arial" w:cs="Arial" w:eastAsia="Arial" w:hAnsi="Arial"/>
                <w:sz w:val="17"/>
                <w:szCs w:val="17"/>
                <w:color w:val="auto"/>
              </w:rPr>
              <w:t>Section 1.</w:t>
            </w:r>
          </w:p>
        </w:tc>
        <w:tc>
          <w:tcPr>
            <w:tcW w:w="4860" w:type="dxa"/>
            <w:vAlign w:val="bottom"/>
            <w:gridSpan w:val="2"/>
          </w:tcPr>
          <w:p>
            <w:pPr>
              <w:ind w:left="40"/>
              <w:spacing w:after="0"/>
              <w:rPr>
                <w:sz w:val="20"/>
                <w:szCs w:val="20"/>
                <w:color w:val="auto"/>
              </w:rPr>
            </w:pPr>
            <w:r>
              <w:rPr>
                <w:rFonts w:ascii="Arial" w:cs="Arial" w:eastAsia="Arial" w:hAnsi="Arial"/>
                <w:sz w:val="17"/>
                <w:szCs w:val="17"/>
                <w:color w:val="auto"/>
              </w:rPr>
              <w:t>Definitions.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960" w:type="dxa"/>
            <w:vAlign w:val="bottom"/>
          </w:tcPr>
          <w:p>
            <w:pPr>
              <w:spacing w:after="0" w:line="186" w:lineRule="exact"/>
              <w:rPr>
                <w:sz w:val="20"/>
                <w:szCs w:val="20"/>
                <w:color w:val="auto"/>
              </w:rPr>
            </w:pPr>
            <w:r>
              <w:rPr>
                <w:rFonts w:ascii="Arial" w:cs="Arial" w:eastAsia="Arial" w:hAnsi="Arial"/>
                <w:sz w:val="17"/>
                <w:szCs w:val="17"/>
                <w:color w:val="auto"/>
              </w:rPr>
              <w:t>Section 2.</w:t>
            </w:r>
          </w:p>
        </w:tc>
        <w:tc>
          <w:tcPr>
            <w:tcW w:w="4860" w:type="dxa"/>
            <w:vAlign w:val="bottom"/>
            <w:gridSpan w:val="2"/>
          </w:tcPr>
          <w:p>
            <w:pPr>
              <w:ind w:left="40"/>
              <w:spacing w:after="0" w:line="186" w:lineRule="exact"/>
              <w:rPr>
                <w:sz w:val="20"/>
                <w:szCs w:val="20"/>
                <w:color w:val="auto"/>
              </w:rPr>
            </w:pPr>
            <w:r>
              <w:rPr>
                <w:rFonts w:ascii="Arial" w:cs="Arial" w:eastAsia="Arial" w:hAnsi="Arial"/>
                <w:sz w:val="17"/>
                <w:szCs w:val="17"/>
                <w:color w:val="auto"/>
              </w:rPr>
              <w:t>Energy Delivery, Surplus Energy Sales and Ownership.</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line="176" w:lineRule="exact"/>
              <w:rPr>
                <w:sz w:val="20"/>
                <w:szCs w:val="20"/>
                <w:color w:val="auto"/>
              </w:rPr>
            </w:pPr>
            <w:r>
              <w:rPr>
                <w:rFonts w:ascii="Arial" w:cs="Arial" w:eastAsia="Arial" w:hAnsi="Arial"/>
                <w:sz w:val="17"/>
                <w:szCs w:val="17"/>
                <w:color w:val="auto"/>
              </w:rPr>
              <w:t>Section 3.</w:t>
            </w:r>
          </w:p>
        </w:tc>
        <w:tc>
          <w:tcPr>
            <w:tcW w:w="4860" w:type="dxa"/>
            <w:vAlign w:val="bottom"/>
            <w:gridSpan w:val="2"/>
          </w:tcPr>
          <w:p>
            <w:pPr>
              <w:ind w:left="40"/>
              <w:spacing w:after="0" w:line="176" w:lineRule="exact"/>
              <w:rPr>
                <w:sz w:val="20"/>
                <w:szCs w:val="20"/>
                <w:color w:val="auto"/>
              </w:rPr>
            </w:pPr>
            <w:r>
              <w:rPr>
                <w:rFonts w:ascii="Arial" w:cs="Arial" w:eastAsia="Arial" w:hAnsi="Arial"/>
                <w:sz w:val="17"/>
                <w:szCs w:val="17"/>
                <w:color w:val="auto"/>
              </w:rPr>
              <w:t>Billing Services.</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line="176" w:lineRule="exact"/>
              <w:rPr>
                <w:sz w:val="20"/>
                <w:szCs w:val="20"/>
                <w:color w:val="auto"/>
              </w:rPr>
            </w:pPr>
            <w:r>
              <w:rPr>
                <w:rFonts w:ascii="Arial" w:cs="Arial" w:eastAsia="Arial" w:hAnsi="Arial"/>
                <w:sz w:val="17"/>
                <w:szCs w:val="17"/>
                <w:color w:val="auto"/>
              </w:rPr>
              <w:t>Section 4.</w:t>
            </w:r>
          </w:p>
        </w:tc>
        <w:tc>
          <w:tcPr>
            <w:tcW w:w="4860" w:type="dxa"/>
            <w:vAlign w:val="bottom"/>
            <w:gridSpan w:val="2"/>
          </w:tcPr>
          <w:p>
            <w:pPr>
              <w:ind w:left="40"/>
              <w:spacing w:after="0" w:line="176" w:lineRule="exact"/>
              <w:rPr>
                <w:sz w:val="20"/>
                <w:szCs w:val="20"/>
                <w:color w:val="auto"/>
              </w:rPr>
            </w:pPr>
            <w:r>
              <w:rPr>
                <w:rFonts w:ascii="Arial" w:cs="Arial" w:eastAsia="Arial" w:hAnsi="Arial"/>
                <w:sz w:val="17"/>
                <w:szCs w:val="17"/>
                <w:color w:val="auto"/>
              </w:rPr>
              <w:t>DWR Revenues; Remittance of DWR Revenues.</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960" w:type="dxa"/>
            <w:vAlign w:val="bottom"/>
          </w:tcPr>
          <w:p>
            <w:pPr>
              <w:spacing w:after="0" w:line="186" w:lineRule="exact"/>
              <w:rPr>
                <w:sz w:val="20"/>
                <w:szCs w:val="20"/>
                <w:color w:val="auto"/>
              </w:rPr>
            </w:pPr>
            <w:r>
              <w:rPr>
                <w:rFonts w:ascii="Arial" w:cs="Arial" w:eastAsia="Arial" w:hAnsi="Arial"/>
                <w:sz w:val="17"/>
                <w:szCs w:val="17"/>
                <w:color w:val="auto"/>
              </w:rPr>
              <w:t>Section 5.</w:t>
            </w:r>
          </w:p>
        </w:tc>
        <w:tc>
          <w:tcPr>
            <w:tcW w:w="4860" w:type="dxa"/>
            <w:vAlign w:val="bottom"/>
            <w:gridSpan w:val="2"/>
          </w:tcPr>
          <w:p>
            <w:pPr>
              <w:ind w:left="40"/>
              <w:spacing w:after="0" w:line="186" w:lineRule="exact"/>
              <w:rPr>
                <w:sz w:val="20"/>
                <w:szCs w:val="20"/>
                <w:color w:val="auto"/>
              </w:rPr>
            </w:pPr>
            <w:r>
              <w:rPr>
                <w:rFonts w:ascii="Arial" w:cs="Arial" w:eastAsia="Arial" w:hAnsi="Arial"/>
                <w:sz w:val="17"/>
                <w:szCs w:val="17"/>
                <w:color w:val="auto"/>
              </w:rPr>
              <w:t>Term and Termination; Events of Default.</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line="176" w:lineRule="exact"/>
              <w:rPr>
                <w:sz w:val="20"/>
                <w:szCs w:val="20"/>
                <w:color w:val="auto"/>
              </w:rPr>
            </w:pPr>
            <w:r>
              <w:rPr>
                <w:rFonts w:ascii="Arial" w:cs="Arial" w:eastAsia="Arial" w:hAnsi="Arial"/>
                <w:sz w:val="17"/>
                <w:szCs w:val="17"/>
                <w:color w:val="auto"/>
              </w:rPr>
              <w:t>Section 6.</w:t>
            </w:r>
          </w:p>
        </w:tc>
        <w:tc>
          <w:tcPr>
            <w:tcW w:w="4860" w:type="dxa"/>
            <w:vAlign w:val="bottom"/>
            <w:gridSpan w:val="2"/>
          </w:tcPr>
          <w:p>
            <w:pPr>
              <w:ind w:left="40"/>
              <w:spacing w:after="0" w:line="176" w:lineRule="exact"/>
              <w:rPr>
                <w:sz w:val="20"/>
                <w:szCs w:val="20"/>
                <w:color w:val="auto"/>
              </w:rPr>
            </w:pPr>
            <w:r>
              <w:rPr>
                <w:rFonts w:ascii="Arial" w:cs="Arial" w:eastAsia="Arial" w:hAnsi="Arial"/>
                <w:sz w:val="17"/>
                <w:szCs w:val="17"/>
                <w:color w:val="auto"/>
              </w:rPr>
              <w:t>Confidentiality.</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line="176" w:lineRule="exact"/>
              <w:rPr>
                <w:sz w:val="20"/>
                <w:szCs w:val="20"/>
                <w:color w:val="auto"/>
              </w:rPr>
            </w:pPr>
            <w:r>
              <w:rPr>
                <w:rFonts w:ascii="Arial" w:cs="Arial" w:eastAsia="Arial" w:hAnsi="Arial"/>
                <w:sz w:val="17"/>
                <w:szCs w:val="17"/>
                <w:color w:val="auto"/>
              </w:rPr>
              <w:t>Section 7.</w:t>
            </w:r>
          </w:p>
        </w:tc>
        <w:tc>
          <w:tcPr>
            <w:tcW w:w="4860" w:type="dxa"/>
            <w:vAlign w:val="bottom"/>
            <w:gridSpan w:val="2"/>
          </w:tcPr>
          <w:p>
            <w:pPr>
              <w:ind w:left="40"/>
              <w:spacing w:after="0" w:line="176" w:lineRule="exact"/>
              <w:rPr>
                <w:sz w:val="20"/>
                <w:szCs w:val="20"/>
                <w:color w:val="auto"/>
              </w:rPr>
            </w:pPr>
            <w:r>
              <w:rPr>
                <w:rFonts w:ascii="Arial" w:cs="Arial" w:eastAsia="Arial" w:hAnsi="Arial"/>
                <w:sz w:val="17"/>
                <w:szCs w:val="17"/>
                <w:color w:val="auto"/>
              </w:rPr>
              <w:t>Payment of Fees and Charges.</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960" w:type="dxa"/>
            <w:vAlign w:val="bottom"/>
          </w:tcPr>
          <w:p>
            <w:pPr>
              <w:spacing w:after="0" w:line="186" w:lineRule="exact"/>
              <w:rPr>
                <w:sz w:val="20"/>
                <w:szCs w:val="20"/>
                <w:color w:val="auto"/>
              </w:rPr>
            </w:pPr>
            <w:r>
              <w:rPr>
                <w:rFonts w:ascii="Arial" w:cs="Arial" w:eastAsia="Arial" w:hAnsi="Arial"/>
                <w:sz w:val="17"/>
                <w:szCs w:val="17"/>
                <w:color w:val="auto"/>
              </w:rPr>
              <w:t>Section 8.</w:t>
            </w:r>
          </w:p>
        </w:tc>
        <w:tc>
          <w:tcPr>
            <w:tcW w:w="4860" w:type="dxa"/>
            <w:vAlign w:val="bottom"/>
            <w:gridSpan w:val="2"/>
          </w:tcPr>
          <w:p>
            <w:pPr>
              <w:ind w:left="40"/>
              <w:spacing w:after="0" w:line="186" w:lineRule="exact"/>
              <w:rPr>
                <w:sz w:val="20"/>
                <w:szCs w:val="20"/>
                <w:color w:val="auto"/>
              </w:rPr>
            </w:pPr>
            <w:r>
              <w:rPr>
                <w:rFonts w:ascii="Arial" w:cs="Arial" w:eastAsia="Arial" w:hAnsi="Arial"/>
                <w:sz w:val="17"/>
                <w:szCs w:val="17"/>
                <w:color w:val="auto"/>
              </w:rPr>
              <w:t>Records; Audit Rights; Annual Certification.</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line="176" w:lineRule="exact"/>
              <w:rPr>
                <w:sz w:val="20"/>
                <w:szCs w:val="20"/>
                <w:color w:val="auto"/>
              </w:rPr>
            </w:pPr>
            <w:r>
              <w:rPr>
                <w:rFonts w:ascii="Arial" w:cs="Arial" w:eastAsia="Arial" w:hAnsi="Arial"/>
                <w:sz w:val="17"/>
                <w:szCs w:val="17"/>
                <w:color w:val="auto"/>
              </w:rPr>
              <w:t>Section 9.</w:t>
            </w:r>
          </w:p>
        </w:tc>
        <w:tc>
          <w:tcPr>
            <w:tcW w:w="4860" w:type="dxa"/>
            <w:vAlign w:val="bottom"/>
            <w:gridSpan w:val="2"/>
          </w:tcPr>
          <w:p>
            <w:pPr>
              <w:ind w:left="40"/>
              <w:spacing w:after="0" w:line="176" w:lineRule="exact"/>
              <w:rPr>
                <w:sz w:val="20"/>
                <w:szCs w:val="20"/>
                <w:color w:val="auto"/>
              </w:rPr>
            </w:pPr>
            <w:r>
              <w:rPr>
                <w:rFonts w:ascii="Arial" w:cs="Arial" w:eastAsia="Arial" w:hAnsi="Arial"/>
                <w:sz w:val="17"/>
                <w:szCs w:val="17"/>
                <w:color w:val="auto"/>
              </w:rPr>
              <w:t>Reserved.</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line="176" w:lineRule="exact"/>
              <w:rPr>
                <w:sz w:val="20"/>
                <w:szCs w:val="20"/>
                <w:color w:val="auto"/>
              </w:rPr>
            </w:pPr>
            <w:r>
              <w:rPr>
                <w:rFonts w:ascii="Arial" w:cs="Arial" w:eastAsia="Arial" w:hAnsi="Arial"/>
                <w:sz w:val="17"/>
                <w:szCs w:val="17"/>
                <w:color w:val="auto"/>
              </w:rPr>
              <w:t>Section 10.</w:t>
            </w:r>
          </w:p>
        </w:tc>
        <w:tc>
          <w:tcPr>
            <w:tcW w:w="4860" w:type="dxa"/>
            <w:vAlign w:val="bottom"/>
            <w:gridSpan w:val="2"/>
          </w:tcPr>
          <w:p>
            <w:pPr>
              <w:ind w:left="40"/>
              <w:spacing w:after="0" w:line="176" w:lineRule="exact"/>
              <w:rPr>
                <w:sz w:val="20"/>
                <w:szCs w:val="20"/>
                <w:color w:val="auto"/>
              </w:rPr>
            </w:pPr>
            <w:r>
              <w:rPr>
                <w:rFonts w:ascii="Arial" w:cs="Arial" w:eastAsia="Arial" w:hAnsi="Arial"/>
                <w:sz w:val="17"/>
                <w:szCs w:val="17"/>
                <w:color w:val="auto"/>
              </w:rPr>
              <w:t>Amendment Upon Changed Circumstances.</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960" w:type="dxa"/>
            <w:vAlign w:val="bottom"/>
          </w:tcPr>
          <w:p>
            <w:pPr>
              <w:spacing w:after="0" w:line="186" w:lineRule="exact"/>
              <w:rPr>
                <w:sz w:val="20"/>
                <w:szCs w:val="20"/>
                <w:color w:val="auto"/>
              </w:rPr>
            </w:pPr>
            <w:r>
              <w:rPr>
                <w:rFonts w:ascii="Arial" w:cs="Arial" w:eastAsia="Arial" w:hAnsi="Arial"/>
                <w:sz w:val="17"/>
                <w:szCs w:val="17"/>
                <w:color w:val="auto"/>
              </w:rPr>
              <w:t>Section 11.</w:t>
            </w:r>
          </w:p>
        </w:tc>
        <w:tc>
          <w:tcPr>
            <w:tcW w:w="4860" w:type="dxa"/>
            <w:vAlign w:val="bottom"/>
            <w:gridSpan w:val="2"/>
          </w:tcPr>
          <w:p>
            <w:pPr>
              <w:ind w:left="40"/>
              <w:spacing w:after="0" w:line="186" w:lineRule="exact"/>
              <w:rPr>
                <w:sz w:val="20"/>
                <w:szCs w:val="20"/>
                <w:color w:val="auto"/>
              </w:rPr>
            </w:pPr>
            <w:r>
              <w:rPr>
                <w:rFonts w:ascii="Arial" w:cs="Arial" w:eastAsia="Arial" w:hAnsi="Arial"/>
                <w:sz w:val="17"/>
                <w:szCs w:val="17"/>
                <w:color w:val="auto"/>
              </w:rPr>
              <w:t>Data Retention.</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line="176" w:lineRule="exact"/>
              <w:rPr>
                <w:sz w:val="20"/>
                <w:szCs w:val="20"/>
                <w:color w:val="auto"/>
              </w:rPr>
            </w:pPr>
            <w:r>
              <w:rPr>
                <w:rFonts w:ascii="Arial" w:cs="Arial" w:eastAsia="Arial" w:hAnsi="Arial"/>
                <w:sz w:val="17"/>
                <w:szCs w:val="17"/>
                <w:color w:val="auto"/>
              </w:rPr>
              <w:t>Section 12.</w:t>
            </w:r>
          </w:p>
        </w:tc>
        <w:tc>
          <w:tcPr>
            <w:tcW w:w="4860" w:type="dxa"/>
            <w:vAlign w:val="bottom"/>
            <w:gridSpan w:val="2"/>
          </w:tcPr>
          <w:p>
            <w:pPr>
              <w:ind w:left="40"/>
              <w:spacing w:after="0" w:line="176" w:lineRule="exact"/>
              <w:rPr>
                <w:sz w:val="20"/>
                <w:szCs w:val="20"/>
                <w:color w:val="auto"/>
              </w:rPr>
            </w:pPr>
            <w:r>
              <w:rPr>
                <w:rFonts w:ascii="Arial" w:cs="Arial" w:eastAsia="Arial" w:hAnsi="Arial"/>
                <w:sz w:val="17"/>
                <w:szCs w:val="17"/>
                <w:color w:val="auto"/>
              </w:rPr>
              <w:t>Indemnity.</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line="176" w:lineRule="exact"/>
              <w:rPr>
                <w:sz w:val="20"/>
                <w:szCs w:val="20"/>
                <w:color w:val="auto"/>
              </w:rPr>
            </w:pPr>
            <w:r>
              <w:rPr>
                <w:rFonts w:ascii="Arial" w:cs="Arial" w:eastAsia="Arial" w:hAnsi="Arial"/>
                <w:sz w:val="17"/>
                <w:szCs w:val="17"/>
                <w:color w:val="auto"/>
              </w:rPr>
              <w:t>Section 13.</w:t>
            </w:r>
          </w:p>
        </w:tc>
        <w:tc>
          <w:tcPr>
            <w:tcW w:w="4860" w:type="dxa"/>
            <w:vAlign w:val="bottom"/>
            <w:gridSpan w:val="2"/>
          </w:tcPr>
          <w:p>
            <w:pPr>
              <w:ind w:left="40"/>
              <w:spacing w:after="0" w:line="176" w:lineRule="exact"/>
              <w:rPr>
                <w:sz w:val="20"/>
                <w:szCs w:val="20"/>
                <w:color w:val="auto"/>
              </w:rPr>
            </w:pPr>
            <w:r>
              <w:rPr>
                <w:rFonts w:ascii="Arial" w:cs="Arial" w:eastAsia="Arial" w:hAnsi="Arial"/>
                <w:sz w:val="17"/>
                <w:szCs w:val="17"/>
                <w:color w:val="auto"/>
              </w:rPr>
              <w:t>Limitations on Liability.</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960" w:type="dxa"/>
            <w:vAlign w:val="bottom"/>
          </w:tcPr>
          <w:p>
            <w:pPr>
              <w:spacing w:after="0"/>
              <w:rPr>
                <w:sz w:val="20"/>
                <w:szCs w:val="20"/>
                <w:color w:val="auto"/>
              </w:rPr>
            </w:pPr>
            <w:r>
              <w:rPr>
                <w:rFonts w:ascii="Arial" w:cs="Arial" w:eastAsia="Arial" w:hAnsi="Arial"/>
                <w:sz w:val="17"/>
                <w:szCs w:val="17"/>
                <w:color w:val="auto"/>
              </w:rPr>
              <w:t>Section 14.</w:t>
            </w:r>
          </w:p>
        </w:tc>
        <w:tc>
          <w:tcPr>
            <w:tcW w:w="4860" w:type="dxa"/>
            <w:vAlign w:val="bottom"/>
            <w:gridSpan w:val="2"/>
          </w:tcPr>
          <w:p>
            <w:pPr>
              <w:ind w:left="40"/>
              <w:spacing w:after="0"/>
              <w:rPr>
                <w:sz w:val="20"/>
                <w:szCs w:val="20"/>
                <w:color w:val="auto"/>
              </w:rPr>
            </w:pPr>
            <w:r>
              <w:rPr>
                <w:rFonts w:ascii="Arial" w:cs="Arial" w:eastAsia="Arial" w:hAnsi="Arial"/>
                <w:sz w:val="17"/>
                <w:szCs w:val="17"/>
                <w:color w:val="auto"/>
              </w:rPr>
              <w:t>Miscellaneous.</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2"/>
        </w:trPr>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20" w:type="dxa"/>
            <w:vAlign w:val="bottom"/>
            <w:gridSpan w:val="2"/>
          </w:tcPr>
          <w:p>
            <w:pPr>
              <w:jc w:val="center"/>
              <w:ind w:left="2799"/>
              <w:spacing w:after="0"/>
              <w:rPr>
                <w:sz w:val="20"/>
                <w:szCs w:val="20"/>
                <w:color w:val="auto"/>
              </w:rPr>
            </w:pPr>
            <w:r>
              <w:rPr>
                <w:rFonts w:ascii="Arial" w:cs="Arial" w:eastAsia="Arial" w:hAnsi="Arial"/>
                <w:sz w:val="17"/>
                <w:szCs w:val="17"/>
                <w:b w:val="1"/>
                <w:bCs w:val="1"/>
                <w:color w:val="auto"/>
                <w:w w:val="85"/>
              </w:rPr>
              <w:t>Attachments, Appendices and Annexes</w:t>
            </w:r>
          </w:p>
        </w:tc>
        <w:tc>
          <w:tcPr>
            <w:tcW w:w="0" w:type="dxa"/>
            <w:vAlign w:val="bottom"/>
          </w:tcPr>
          <w:p>
            <w:pPr>
              <w:spacing w:after="0"/>
              <w:rPr>
                <w:sz w:val="1"/>
                <w:szCs w:val="1"/>
                <w:color w:val="auto"/>
              </w:rPr>
            </w:pPr>
          </w:p>
        </w:tc>
      </w:tr>
      <w:tr>
        <w:trPr>
          <w:trHeight w:val="334"/>
        </w:trPr>
        <w:tc>
          <w:tcPr>
            <w:tcW w:w="5820" w:type="dxa"/>
            <w:vAlign w:val="bottom"/>
            <w:gridSpan w:val="3"/>
          </w:tcPr>
          <w:p>
            <w:pPr>
              <w:spacing w:after="0"/>
              <w:rPr>
                <w:sz w:val="20"/>
                <w:szCs w:val="20"/>
                <w:color w:val="auto"/>
              </w:rPr>
            </w:pPr>
            <w:r>
              <w:rPr>
                <w:rFonts w:ascii="Arial" w:cs="Arial" w:eastAsia="Arial" w:hAnsi="Arial"/>
                <w:sz w:val="16"/>
                <w:szCs w:val="16"/>
                <w:color w:val="auto"/>
              </w:rPr>
              <w:t>Service Attachment 1 - Utility Billing Services</w:t>
            </w:r>
          </w:p>
        </w:tc>
        <w:tc>
          <w:tcPr>
            <w:tcW w:w="1380" w:type="dxa"/>
            <w:vAlign w:val="bottom"/>
          </w:tcPr>
          <w:p>
            <w:pPr>
              <w:jc w:val="right"/>
              <w:ind w:right="658"/>
              <w:spacing w:after="0"/>
              <w:rPr>
                <w:sz w:val="20"/>
                <w:szCs w:val="20"/>
                <w:color w:val="auto"/>
              </w:rPr>
            </w:pPr>
            <w:r>
              <w:rPr>
                <w:rFonts w:ascii="Arial" w:cs="Arial" w:eastAsia="Arial" w:hAnsi="Arial"/>
                <w:sz w:val="16"/>
                <w:szCs w:val="16"/>
                <w:color w:val="auto"/>
              </w:rPr>
              <w:t>SA1-1</w:t>
            </w:r>
          </w:p>
        </w:tc>
        <w:tc>
          <w:tcPr>
            <w:tcW w:w="0" w:type="dxa"/>
            <w:vAlign w:val="bottom"/>
          </w:tcPr>
          <w:p>
            <w:pPr>
              <w:spacing w:after="0"/>
              <w:rPr>
                <w:sz w:val="1"/>
                <w:szCs w:val="1"/>
                <w:color w:val="auto"/>
              </w:rPr>
            </w:pPr>
          </w:p>
        </w:tc>
      </w:tr>
      <w:tr>
        <w:trPr>
          <w:trHeight w:val="224"/>
        </w:trPr>
        <w:tc>
          <w:tcPr>
            <w:tcW w:w="5820" w:type="dxa"/>
            <w:vAlign w:val="bottom"/>
            <w:gridSpan w:val="3"/>
          </w:tcPr>
          <w:p>
            <w:pPr>
              <w:spacing w:after="0"/>
              <w:rPr>
                <w:sz w:val="20"/>
                <w:szCs w:val="20"/>
                <w:color w:val="auto"/>
              </w:rPr>
            </w:pPr>
            <w:r>
              <w:rPr>
                <w:rFonts w:ascii="Arial" w:cs="Arial" w:eastAsia="Arial" w:hAnsi="Arial"/>
                <w:sz w:val="16"/>
                <w:szCs w:val="16"/>
                <w:color w:val="auto"/>
              </w:rPr>
              <w:t>Service Attachment 2 - DWR Surplus Energy Sales Revenues Remittance</w:t>
            </w:r>
          </w:p>
        </w:tc>
        <w:tc>
          <w:tcPr>
            <w:tcW w:w="1380" w:type="dxa"/>
            <w:vAlign w:val="bottom"/>
          </w:tcPr>
          <w:p>
            <w:pPr>
              <w:jc w:val="right"/>
              <w:ind w:right="658"/>
              <w:spacing w:after="0"/>
              <w:rPr>
                <w:sz w:val="20"/>
                <w:szCs w:val="20"/>
                <w:color w:val="auto"/>
              </w:rPr>
            </w:pPr>
            <w:r>
              <w:rPr>
                <w:rFonts w:ascii="Arial" w:cs="Arial" w:eastAsia="Arial" w:hAnsi="Arial"/>
                <w:sz w:val="16"/>
                <w:szCs w:val="16"/>
                <w:color w:val="auto"/>
              </w:rPr>
              <w:t>SA2-1</w:t>
            </w:r>
          </w:p>
        </w:tc>
        <w:tc>
          <w:tcPr>
            <w:tcW w:w="0" w:type="dxa"/>
            <w:vAlign w:val="bottom"/>
          </w:tcPr>
          <w:p>
            <w:pPr>
              <w:spacing w:after="0"/>
              <w:rPr>
                <w:sz w:val="1"/>
                <w:szCs w:val="1"/>
                <w:color w:val="auto"/>
              </w:rPr>
            </w:pPr>
          </w:p>
        </w:tc>
      </w:tr>
      <w:tr>
        <w:trPr>
          <w:trHeight w:val="283"/>
        </w:trPr>
        <w:tc>
          <w:tcPr>
            <w:tcW w:w="960" w:type="dxa"/>
            <w:vAlign w:val="bottom"/>
          </w:tcPr>
          <w:p>
            <w:pPr>
              <w:spacing w:after="0"/>
              <w:rPr>
                <w:sz w:val="20"/>
                <w:szCs w:val="20"/>
                <w:color w:val="auto"/>
              </w:rPr>
            </w:pPr>
            <w:r>
              <w:rPr>
                <w:rFonts w:ascii="Arial" w:cs="Arial" w:eastAsia="Arial" w:hAnsi="Arial"/>
                <w:sz w:val="17"/>
                <w:szCs w:val="17"/>
                <w:color w:val="auto"/>
                <w:w w:val="92"/>
              </w:rPr>
              <w:t>Attachment A</w:t>
            </w:r>
          </w:p>
        </w:tc>
        <w:tc>
          <w:tcPr>
            <w:tcW w:w="420" w:type="dxa"/>
            <w:vAlign w:val="bottom"/>
          </w:tcPr>
          <w:p>
            <w:pPr>
              <w:ind w:left="160"/>
              <w:spacing w:after="0"/>
              <w:rPr>
                <w:sz w:val="20"/>
                <w:szCs w:val="20"/>
                <w:color w:val="auto"/>
              </w:rPr>
            </w:pPr>
            <w:r>
              <w:rPr>
                <w:rFonts w:ascii="Arial" w:cs="Arial" w:eastAsia="Arial" w:hAnsi="Arial"/>
                <w:sz w:val="17"/>
                <w:szCs w:val="17"/>
                <w:color w:val="auto"/>
              </w:rPr>
              <w:t>-</w:t>
            </w:r>
          </w:p>
        </w:tc>
        <w:tc>
          <w:tcPr>
            <w:tcW w:w="4440" w:type="dxa"/>
            <w:vAlign w:val="bottom"/>
          </w:tcPr>
          <w:p>
            <w:pPr>
              <w:ind w:left="160"/>
              <w:spacing w:after="0"/>
              <w:rPr>
                <w:sz w:val="20"/>
                <w:szCs w:val="20"/>
                <w:color w:val="auto"/>
              </w:rPr>
            </w:pPr>
            <w:r>
              <w:rPr>
                <w:rFonts w:ascii="Arial" w:cs="Arial" w:eastAsia="Arial" w:hAnsi="Arial"/>
                <w:sz w:val="17"/>
                <w:szCs w:val="17"/>
                <w:color w:val="auto"/>
              </w:rPr>
              <w:t>Representatives and Contacts</w:t>
            </w:r>
          </w:p>
        </w:tc>
        <w:tc>
          <w:tcPr>
            <w:tcW w:w="1380" w:type="dxa"/>
            <w:vAlign w:val="bottom"/>
          </w:tcPr>
          <w:p>
            <w:pPr>
              <w:jc w:val="right"/>
              <w:ind w:right="658"/>
              <w:spacing w:after="0"/>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165"/>
        </w:trPr>
        <w:tc>
          <w:tcPr>
            <w:tcW w:w="960" w:type="dxa"/>
            <w:vAlign w:val="bottom"/>
          </w:tcPr>
          <w:p>
            <w:pPr>
              <w:spacing w:after="0" w:line="166" w:lineRule="exact"/>
              <w:rPr>
                <w:sz w:val="20"/>
                <w:szCs w:val="20"/>
                <w:color w:val="auto"/>
              </w:rPr>
            </w:pPr>
            <w:r>
              <w:rPr>
                <w:rFonts w:ascii="Arial" w:cs="Arial" w:eastAsia="Arial" w:hAnsi="Arial"/>
                <w:sz w:val="17"/>
                <w:szCs w:val="17"/>
                <w:color w:val="auto"/>
                <w:w w:val="92"/>
              </w:rPr>
              <w:t>Attachment B</w:t>
            </w:r>
          </w:p>
        </w:tc>
        <w:tc>
          <w:tcPr>
            <w:tcW w:w="420" w:type="dxa"/>
            <w:vAlign w:val="bottom"/>
          </w:tcPr>
          <w:p>
            <w:pPr>
              <w:ind w:left="160"/>
              <w:spacing w:after="0" w:line="166" w:lineRule="exact"/>
              <w:rPr>
                <w:sz w:val="20"/>
                <w:szCs w:val="20"/>
                <w:color w:val="auto"/>
              </w:rPr>
            </w:pPr>
            <w:r>
              <w:rPr>
                <w:rFonts w:ascii="Arial" w:cs="Arial" w:eastAsia="Arial" w:hAnsi="Arial"/>
                <w:sz w:val="17"/>
                <w:szCs w:val="17"/>
                <w:color w:val="auto"/>
              </w:rPr>
              <w:t>-</w:t>
            </w:r>
          </w:p>
        </w:tc>
        <w:tc>
          <w:tcPr>
            <w:tcW w:w="4440" w:type="dxa"/>
            <w:vAlign w:val="bottom"/>
          </w:tcPr>
          <w:p>
            <w:pPr>
              <w:ind w:left="160"/>
              <w:spacing w:after="0" w:line="166" w:lineRule="exact"/>
              <w:rPr>
                <w:sz w:val="20"/>
                <w:szCs w:val="20"/>
                <w:color w:val="auto"/>
              </w:rPr>
            </w:pPr>
            <w:r>
              <w:rPr>
                <w:rFonts w:ascii="Arial" w:cs="Arial" w:eastAsia="Arial" w:hAnsi="Arial"/>
                <w:sz w:val="17"/>
                <w:szCs w:val="17"/>
                <w:color w:val="auto"/>
              </w:rPr>
              <w:t>Remittances of DWR Charges</w:t>
            </w:r>
          </w:p>
        </w:tc>
        <w:tc>
          <w:tcPr>
            <w:tcW w:w="1380" w:type="dxa"/>
            <w:vAlign w:val="bottom"/>
          </w:tcPr>
          <w:p>
            <w:pPr>
              <w:jc w:val="right"/>
              <w:ind w:right="658"/>
              <w:spacing w:after="0" w:line="166" w:lineRule="exact"/>
              <w:rPr>
                <w:sz w:val="20"/>
                <w:szCs w:val="20"/>
                <w:color w:val="auto"/>
              </w:rPr>
            </w:pPr>
            <w:r>
              <w:rPr>
                <w:rFonts w:ascii="Arial" w:cs="Arial" w:eastAsia="Arial" w:hAnsi="Arial"/>
                <w:sz w:val="17"/>
                <w:szCs w:val="17"/>
                <w:color w:val="auto"/>
              </w:rPr>
              <w:t>B-1</w:t>
            </w:r>
          </w:p>
        </w:tc>
        <w:tc>
          <w:tcPr>
            <w:tcW w:w="0" w:type="dxa"/>
            <w:vAlign w:val="bottom"/>
          </w:tcPr>
          <w:p>
            <w:pPr>
              <w:spacing w:after="0"/>
              <w:rPr>
                <w:sz w:val="1"/>
                <w:szCs w:val="1"/>
                <w:color w:val="auto"/>
              </w:rPr>
            </w:pPr>
          </w:p>
        </w:tc>
      </w:tr>
      <w:tr>
        <w:trPr>
          <w:trHeight w:val="165"/>
        </w:trPr>
        <w:tc>
          <w:tcPr>
            <w:tcW w:w="1380" w:type="dxa"/>
            <w:vAlign w:val="bottom"/>
            <w:gridSpan w:val="2"/>
          </w:tcPr>
          <w:p>
            <w:pPr>
              <w:ind w:left="220"/>
              <w:spacing w:after="0" w:line="166" w:lineRule="exact"/>
              <w:rPr>
                <w:sz w:val="20"/>
                <w:szCs w:val="20"/>
                <w:color w:val="auto"/>
              </w:rPr>
            </w:pPr>
            <w:r>
              <w:rPr>
                <w:rFonts w:ascii="Arial" w:cs="Arial" w:eastAsia="Arial" w:hAnsi="Arial"/>
                <w:sz w:val="17"/>
                <w:szCs w:val="17"/>
                <w:color w:val="auto"/>
              </w:rPr>
              <w:t>Appendix A-1:</w:t>
            </w:r>
          </w:p>
        </w:tc>
        <w:tc>
          <w:tcPr>
            <w:tcW w:w="4440" w:type="dxa"/>
            <w:vAlign w:val="bottom"/>
          </w:tcPr>
          <w:p>
            <w:pPr>
              <w:ind w:left="160"/>
              <w:spacing w:after="0" w:line="165" w:lineRule="exact"/>
              <w:rPr>
                <w:sz w:val="20"/>
                <w:szCs w:val="20"/>
                <w:color w:val="auto"/>
              </w:rPr>
            </w:pPr>
            <w:r>
              <w:rPr>
                <w:rFonts w:ascii="Arial" w:cs="Arial" w:eastAsia="Arial" w:hAnsi="Arial"/>
                <w:sz w:val="16"/>
                <w:szCs w:val="16"/>
                <w:color w:val="auto"/>
              </w:rPr>
              <w:t>Bill Determination - Bundled Customers Bond Charge</w:t>
            </w:r>
          </w:p>
        </w:tc>
        <w:tc>
          <w:tcPr>
            <w:tcW w:w="1380" w:type="dxa"/>
            <w:vAlign w:val="bottom"/>
          </w:tcPr>
          <w:p>
            <w:pPr>
              <w:jc w:val="right"/>
              <w:ind w:right="658"/>
              <w:spacing w:after="0" w:line="166" w:lineRule="exact"/>
              <w:rPr>
                <w:sz w:val="20"/>
                <w:szCs w:val="20"/>
                <w:color w:val="auto"/>
              </w:rPr>
            </w:pPr>
            <w:r>
              <w:rPr>
                <w:rFonts w:ascii="Arial" w:cs="Arial" w:eastAsia="Arial" w:hAnsi="Arial"/>
                <w:sz w:val="17"/>
                <w:szCs w:val="17"/>
                <w:color w:val="auto"/>
              </w:rPr>
              <w:t>A-1-1</w:t>
            </w:r>
          </w:p>
        </w:tc>
        <w:tc>
          <w:tcPr>
            <w:tcW w:w="0" w:type="dxa"/>
            <w:vAlign w:val="bottom"/>
          </w:tcPr>
          <w:p>
            <w:pPr>
              <w:spacing w:after="0"/>
              <w:rPr>
                <w:sz w:val="1"/>
                <w:szCs w:val="1"/>
                <w:color w:val="auto"/>
              </w:rPr>
            </w:pPr>
          </w:p>
        </w:tc>
      </w:tr>
      <w:tr>
        <w:trPr>
          <w:trHeight w:val="165"/>
        </w:trPr>
        <w:tc>
          <w:tcPr>
            <w:tcW w:w="1380" w:type="dxa"/>
            <w:vAlign w:val="bottom"/>
            <w:gridSpan w:val="2"/>
          </w:tcPr>
          <w:p>
            <w:pPr>
              <w:ind w:left="220"/>
              <w:spacing w:after="0" w:line="166" w:lineRule="exact"/>
              <w:rPr>
                <w:sz w:val="20"/>
                <w:szCs w:val="20"/>
                <w:color w:val="auto"/>
              </w:rPr>
            </w:pPr>
            <w:r>
              <w:rPr>
                <w:rFonts w:ascii="Arial" w:cs="Arial" w:eastAsia="Arial" w:hAnsi="Arial"/>
                <w:sz w:val="17"/>
                <w:szCs w:val="17"/>
                <w:color w:val="auto"/>
              </w:rPr>
              <w:t>Appendix A-2:</w:t>
            </w:r>
          </w:p>
        </w:tc>
        <w:tc>
          <w:tcPr>
            <w:tcW w:w="4440" w:type="dxa"/>
            <w:vAlign w:val="bottom"/>
          </w:tcPr>
          <w:p>
            <w:pPr>
              <w:ind w:left="160"/>
              <w:spacing w:after="0" w:line="165" w:lineRule="exact"/>
              <w:rPr>
                <w:sz w:val="20"/>
                <w:szCs w:val="20"/>
                <w:color w:val="auto"/>
              </w:rPr>
            </w:pPr>
            <w:r>
              <w:rPr>
                <w:rFonts w:ascii="Arial" w:cs="Arial" w:eastAsia="Arial" w:hAnsi="Arial"/>
                <w:sz w:val="16"/>
                <w:szCs w:val="16"/>
                <w:color w:val="auto"/>
              </w:rPr>
              <w:t>Bill Determination - Bundled Customers Power Charge</w:t>
            </w:r>
          </w:p>
        </w:tc>
        <w:tc>
          <w:tcPr>
            <w:tcW w:w="1380" w:type="dxa"/>
            <w:vAlign w:val="bottom"/>
          </w:tcPr>
          <w:p>
            <w:pPr>
              <w:jc w:val="right"/>
              <w:ind w:right="658"/>
              <w:spacing w:after="0" w:line="166" w:lineRule="exact"/>
              <w:rPr>
                <w:sz w:val="20"/>
                <w:szCs w:val="20"/>
                <w:color w:val="auto"/>
              </w:rPr>
            </w:pPr>
            <w:r>
              <w:rPr>
                <w:rFonts w:ascii="Arial" w:cs="Arial" w:eastAsia="Arial" w:hAnsi="Arial"/>
                <w:sz w:val="17"/>
                <w:szCs w:val="17"/>
                <w:color w:val="auto"/>
              </w:rPr>
              <w:t>A-2-1</w:t>
            </w:r>
          </w:p>
        </w:tc>
        <w:tc>
          <w:tcPr>
            <w:tcW w:w="0" w:type="dxa"/>
            <w:vAlign w:val="bottom"/>
          </w:tcPr>
          <w:p>
            <w:pPr>
              <w:spacing w:after="0"/>
              <w:rPr>
                <w:sz w:val="1"/>
                <w:szCs w:val="1"/>
                <w:color w:val="auto"/>
              </w:rPr>
            </w:pPr>
          </w:p>
        </w:tc>
      </w:tr>
      <w:tr>
        <w:trPr>
          <w:trHeight w:val="165"/>
        </w:trPr>
        <w:tc>
          <w:tcPr>
            <w:tcW w:w="1380" w:type="dxa"/>
            <w:vAlign w:val="bottom"/>
            <w:gridSpan w:val="2"/>
          </w:tcPr>
          <w:p>
            <w:pPr>
              <w:ind w:left="220"/>
              <w:spacing w:after="0" w:line="166" w:lineRule="exact"/>
              <w:rPr>
                <w:sz w:val="20"/>
                <w:szCs w:val="20"/>
                <w:color w:val="auto"/>
              </w:rPr>
            </w:pPr>
            <w:r>
              <w:rPr>
                <w:rFonts w:ascii="Arial" w:cs="Arial" w:eastAsia="Arial" w:hAnsi="Arial"/>
                <w:sz w:val="17"/>
                <w:szCs w:val="17"/>
                <w:color w:val="auto"/>
              </w:rPr>
              <w:t>Appendix B-1:</w:t>
            </w:r>
          </w:p>
        </w:tc>
        <w:tc>
          <w:tcPr>
            <w:tcW w:w="4440" w:type="dxa"/>
            <w:vAlign w:val="bottom"/>
          </w:tcPr>
          <w:p>
            <w:pPr>
              <w:ind w:left="160"/>
              <w:spacing w:after="0" w:line="165" w:lineRule="exact"/>
              <w:rPr>
                <w:sz w:val="20"/>
                <w:szCs w:val="20"/>
                <w:color w:val="auto"/>
              </w:rPr>
            </w:pPr>
            <w:r>
              <w:rPr>
                <w:rFonts w:ascii="Arial" w:cs="Arial" w:eastAsia="Arial" w:hAnsi="Arial"/>
                <w:sz w:val="16"/>
                <w:szCs w:val="16"/>
                <w:color w:val="auto"/>
              </w:rPr>
              <w:t>Bill Determination - Direct Access Customers Bond Charge</w:t>
            </w:r>
          </w:p>
        </w:tc>
        <w:tc>
          <w:tcPr>
            <w:tcW w:w="1380" w:type="dxa"/>
            <w:vAlign w:val="bottom"/>
          </w:tcPr>
          <w:p>
            <w:pPr>
              <w:jc w:val="right"/>
              <w:ind w:right="658"/>
              <w:spacing w:after="0" w:line="166" w:lineRule="exact"/>
              <w:rPr>
                <w:sz w:val="20"/>
                <w:szCs w:val="20"/>
                <w:color w:val="auto"/>
              </w:rPr>
            </w:pPr>
            <w:r>
              <w:rPr>
                <w:rFonts w:ascii="Arial" w:cs="Arial" w:eastAsia="Arial" w:hAnsi="Arial"/>
                <w:sz w:val="17"/>
                <w:szCs w:val="17"/>
                <w:color w:val="auto"/>
              </w:rPr>
              <w:t>B-1-1</w:t>
            </w:r>
          </w:p>
        </w:tc>
        <w:tc>
          <w:tcPr>
            <w:tcW w:w="0" w:type="dxa"/>
            <w:vAlign w:val="bottom"/>
          </w:tcPr>
          <w:p>
            <w:pPr>
              <w:spacing w:after="0"/>
              <w:rPr>
                <w:sz w:val="1"/>
                <w:szCs w:val="1"/>
                <w:color w:val="auto"/>
              </w:rPr>
            </w:pPr>
          </w:p>
        </w:tc>
      </w:tr>
      <w:tr>
        <w:trPr>
          <w:trHeight w:val="176"/>
        </w:trPr>
        <w:tc>
          <w:tcPr>
            <w:tcW w:w="1380" w:type="dxa"/>
            <w:vAlign w:val="bottom"/>
            <w:gridSpan w:val="2"/>
          </w:tcPr>
          <w:p>
            <w:pPr>
              <w:ind w:left="220"/>
              <w:spacing w:after="0" w:line="176" w:lineRule="exact"/>
              <w:rPr>
                <w:sz w:val="20"/>
                <w:szCs w:val="20"/>
                <w:color w:val="auto"/>
              </w:rPr>
            </w:pPr>
            <w:r>
              <w:rPr>
                <w:rFonts w:ascii="Arial" w:cs="Arial" w:eastAsia="Arial" w:hAnsi="Arial"/>
                <w:sz w:val="17"/>
                <w:szCs w:val="17"/>
                <w:color w:val="auto"/>
              </w:rPr>
              <w:t>Appendix B-2:</w:t>
            </w:r>
          </w:p>
        </w:tc>
        <w:tc>
          <w:tcPr>
            <w:tcW w:w="4440" w:type="dxa"/>
            <w:vAlign w:val="bottom"/>
          </w:tcPr>
          <w:p>
            <w:pPr>
              <w:ind w:left="160"/>
              <w:spacing w:after="0" w:line="176" w:lineRule="exact"/>
              <w:rPr>
                <w:sz w:val="20"/>
                <w:szCs w:val="20"/>
                <w:color w:val="auto"/>
              </w:rPr>
            </w:pPr>
            <w:r>
              <w:rPr>
                <w:rFonts w:ascii="Arial" w:cs="Arial" w:eastAsia="Arial" w:hAnsi="Arial"/>
                <w:sz w:val="16"/>
                <w:szCs w:val="16"/>
                <w:color w:val="auto"/>
              </w:rPr>
              <w:t>Bill Determination - Direct Access Customers Power Charge</w:t>
            </w:r>
          </w:p>
        </w:tc>
        <w:tc>
          <w:tcPr>
            <w:tcW w:w="1380" w:type="dxa"/>
            <w:vAlign w:val="bottom"/>
          </w:tcPr>
          <w:p>
            <w:pPr>
              <w:jc w:val="right"/>
              <w:ind w:right="658"/>
              <w:spacing w:after="0" w:line="176" w:lineRule="exact"/>
              <w:rPr>
                <w:sz w:val="20"/>
                <w:szCs w:val="20"/>
                <w:color w:val="auto"/>
              </w:rPr>
            </w:pPr>
            <w:r>
              <w:rPr>
                <w:rFonts w:ascii="Arial" w:cs="Arial" w:eastAsia="Arial" w:hAnsi="Arial"/>
                <w:sz w:val="17"/>
                <w:szCs w:val="17"/>
                <w:color w:val="auto"/>
              </w:rPr>
              <w:t>B-2-1</w:t>
            </w:r>
          </w:p>
        </w:tc>
        <w:tc>
          <w:tcPr>
            <w:tcW w:w="0" w:type="dxa"/>
            <w:vAlign w:val="bottom"/>
          </w:tcPr>
          <w:p>
            <w:pPr>
              <w:spacing w:after="0"/>
              <w:rPr>
                <w:sz w:val="1"/>
                <w:szCs w:val="1"/>
                <w:color w:val="auto"/>
              </w:rPr>
            </w:pPr>
          </w:p>
        </w:tc>
      </w:tr>
      <w:tr>
        <w:trPr>
          <w:trHeight w:val="200"/>
        </w:trPr>
        <w:tc>
          <w:tcPr>
            <w:tcW w:w="1380" w:type="dxa"/>
            <w:vAlign w:val="bottom"/>
            <w:gridSpan w:val="2"/>
          </w:tcPr>
          <w:p>
            <w:pPr>
              <w:ind w:left="220"/>
              <w:spacing w:after="0"/>
              <w:rPr>
                <w:sz w:val="20"/>
                <w:szCs w:val="20"/>
                <w:color w:val="auto"/>
              </w:rPr>
            </w:pPr>
            <w:r>
              <w:rPr>
                <w:rFonts w:ascii="Arial" w:cs="Arial" w:eastAsia="Arial" w:hAnsi="Arial"/>
                <w:sz w:val="17"/>
                <w:szCs w:val="17"/>
                <w:color w:val="auto"/>
              </w:rPr>
              <w:t>Appendix C-1:</w:t>
            </w:r>
          </w:p>
        </w:tc>
        <w:tc>
          <w:tcPr>
            <w:tcW w:w="4440" w:type="dxa"/>
            <w:vAlign w:val="bottom"/>
          </w:tcPr>
          <w:p>
            <w:pPr>
              <w:ind w:left="160"/>
              <w:spacing w:after="0"/>
              <w:rPr>
                <w:sz w:val="20"/>
                <w:szCs w:val="20"/>
                <w:color w:val="auto"/>
              </w:rPr>
            </w:pPr>
            <w:r>
              <w:rPr>
                <w:rFonts w:ascii="Arial" w:cs="Arial" w:eastAsia="Arial" w:hAnsi="Arial"/>
                <w:sz w:val="16"/>
                <w:szCs w:val="16"/>
                <w:color w:val="auto"/>
              </w:rPr>
              <w:t>Bill Determination - Customer Generation Departing Load</w:t>
            </w:r>
          </w:p>
        </w:tc>
        <w:tc>
          <w:tcPr>
            <w:tcW w:w="1380" w:type="dxa"/>
            <w:vAlign w:val="bottom"/>
            <w:vMerge w:val="restart"/>
          </w:tcPr>
          <w:p>
            <w:pPr>
              <w:jc w:val="right"/>
              <w:ind w:right="658"/>
              <w:spacing w:after="0"/>
              <w:rPr>
                <w:sz w:val="20"/>
                <w:szCs w:val="20"/>
                <w:color w:val="auto"/>
              </w:rPr>
            </w:pPr>
            <w:r>
              <w:rPr>
                <w:rFonts w:ascii="Arial" w:cs="Arial" w:eastAsia="Arial" w:hAnsi="Arial"/>
                <w:sz w:val="17"/>
                <w:szCs w:val="17"/>
                <w:color w:val="auto"/>
              </w:rPr>
              <w:t>C-1-1</w:t>
            </w:r>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40" w:type="dxa"/>
            <w:vAlign w:val="bottom"/>
          </w:tcPr>
          <w:p>
            <w:pPr>
              <w:ind w:left="160"/>
              <w:spacing w:after="0" w:line="176" w:lineRule="exact"/>
              <w:rPr>
                <w:sz w:val="20"/>
                <w:szCs w:val="20"/>
                <w:color w:val="auto"/>
              </w:rPr>
            </w:pPr>
            <w:r>
              <w:rPr>
                <w:rFonts w:ascii="Arial" w:cs="Arial" w:eastAsia="Arial" w:hAnsi="Arial"/>
                <w:sz w:val="17"/>
                <w:szCs w:val="17"/>
                <w:color w:val="auto"/>
              </w:rPr>
              <w:t>Bond Charge</w:t>
            </w: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380" w:type="dxa"/>
            <w:vAlign w:val="bottom"/>
            <w:gridSpan w:val="2"/>
          </w:tcPr>
          <w:p>
            <w:pPr>
              <w:ind w:left="220"/>
              <w:spacing w:after="0"/>
              <w:rPr>
                <w:sz w:val="20"/>
                <w:szCs w:val="20"/>
                <w:color w:val="auto"/>
              </w:rPr>
            </w:pPr>
            <w:r>
              <w:rPr>
                <w:rFonts w:ascii="Arial" w:cs="Arial" w:eastAsia="Arial" w:hAnsi="Arial"/>
                <w:sz w:val="17"/>
                <w:szCs w:val="17"/>
                <w:color w:val="auto"/>
              </w:rPr>
              <w:t>Appendix C-2:</w:t>
            </w:r>
          </w:p>
        </w:tc>
        <w:tc>
          <w:tcPr>
            <w:tcW w:w="4440" w:type="dxa"/>
            <w:vAlign w:val="bottom"/>
          </w:tcPr>
          <w:p>
            <w:pPr>
              <w:ind w:left="160"/>
              <w:spacing w:after="0"/>
              <w:rPr>
                <w:sz w:val="20"/>
                <w:szCs w:val="20"/>
                <w:color w:val="auto"/>
              </w:rPr>
            </w:pPr>
            <w:r>
              <w:rPr>
                <w:rFonts w:ascii="Arial" w:cs="Arial" w:eastAsia="Arial" w:hAnsi="Arial"/>
                <w:sz w:val="16"/>
                <w:szCs w:val="16"/>
                <w:color w:val="auto"/>
              </w:rPr>
              <w:t>Bill Determination - Customer Generation Departing Load</w:t>
            </w:r>
          </w:p>
        </w:tc>
        <w:tc>
          <w:tcPr>
            <w:tcW w:w="1380" w:type="dxa"/>
            <w:vAlign w:val="bottom"/>
            <w:vMerge w:val="restart"/>
          </w:tcPr>
          <w:p>
            <w:pPr>
              <w:jc w:val="right"/>
              <w:ind w:right="658"/>
              <w:spacing w:after="0"/>
              <w:rPr>
                <w:sz w:val="20"/>
                <w:szCs w:val="20"/>
                <w:color w:val="auto"/>
              </w:rPr>
            </w:pPr>
            <w:r>
              <w:rPr>
                <w:rFonts w:ascii="Arial" w:cs="Arial" w:eastAsia="Arial" w:hAnsi="Arial"/>
                <w:sz w:val="17"/>
                <w:szCs w:val="17"/>
                <w:color w:val="auto"/>
              </w:rPr>
              <w:t>C-2-1</w:t>
            </w:r>
          </w:p>
        </w:tc>
        <w:tc>
          <w:tcPr>
            <w:tcW w:w="0" w:type="dxa"/>
            <w:vAlign w:val="bottom"/>
          </w:tcPr>
          <w:p>
            <w:pPr>
              <w:spacing w:after="0"/>
              <w:rPr>
                <w:sz w:val="1"/>
                <w:szCs w:val="1"/>
                <w:color w:val="auto"/>
              </w:rPr>
            </w:pPr>
          </w:p>
        </w:tc>
      </w:tr>
      <w:tr>
        <w:trPr>
          <w:trHeight w:val="161"/>
        </w:trPr>
        <w:tc>
          <w:tcPr>
            <w:tcW w:w="1380" w:type="dxa"/>
            <w:vAlign w:val="bottom"/>
            <w:gridSpan w:val="2"/>
            <w:vMerge w:val="restart"/>
          </w:tcPr>
          <w:p>
            <w:pPr>
              <w:ind w:left="220"/>
              <w:spacing w:after="0"/>
              <w:rPr>
                <w:sz w:val="20"/>
                <w:szCs w:val="20"/>
                <w:color w:val="auto"/>
              </w:rPr>
            </w:pPr>
            <w:r>
              <w:rPr>
                <w:rFonts w:ascii="Arial" w:cs="Arial" w:eastAsia="Arial" w:hAnsi="Arial"/>
                <w:sz w:val="17"/>
                <w:szCs w:val="17"/>
                <w:color w:val="auto"/>
              </w:rPr>
              <w:t>Appendix D-1:</w:t>
            </w:r>
          </w:p>
        </w:tc>
        <w:tc>
          <w:tcPr>
            <w:tcW w:w="4440" w:type="dxa"/>
            <w:vAlign w:val="bottom"/>
          </w:tcPr>
          <w:p>
            <w:pPr>
              <w:ind w:left="160"/>
              <w:spacing w:after="0" w:line="162" w:lineRule="exact"/>
              <w:rPr>
                <w:sz w:val="20"/>
                <w:szCs w:val="20"/>
                <w:color w:val="auto"/>
              </w:rPr>
            </w:pPr>
            <w:r>
              <w:rPr>
                <w:rFonts w:ascii="Arial" w:cs="Arial" w:eastAsia="Arial" w:hAnsi="Arial"/>
                <w:sz w:val="17"/>
                <w:szCs w:val="17"/>
                <w:color w:val="auto"/>
              </w:rPr>
              <w:t>Power Charge</w:t>
            </w: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380" w:type="dxa"/>
            <w:vAlign w:val="bottom"/>
            <w:gridSpan w:val="2"/>
            <w:vMerge w:val="continue"/>
          </w:tcPr>
          <w:p>
            <w:pPr>
              <w:spacing w:after="0"/>
              <w:rPr>
                <w:sz w:val="14"/>
                <w:szCs w:val="14"/>
                <w:color w:val="auto"/>
              </w:rPr>
            </w:pPr>
          </w:p>
        </w:tc>
        <w:tc>
          <w:tcPr>
            <w:tcW w:w="4440" w:type="dxa"/>
            <w:vAlign w:val="bottom"/>
          </w:tcPr>
          <w:p>
            <w:pPr>
              <w:ind w:left="160"/>
              <w:spacing w:after="0" w:line="165" w:lineRule="exact"/>
              <w:rPr>
                <w:sz w:val="20"/>
                <w:szCs w:val="20"/>
                <w:color w:val="auto"/>
              </w:rPr>
            </w:pPr>
            <w:r>
              <w:rPr>
                <w:rFonts w:ascii="Arial" w:cs="Arial" w:eastAsia="Arial" w:hAnsi="Arial"/>
                <w:sz w:val="16"/>
                <w:szCs w:val="16"/>
                <w:color w:val="auto"/>
              </w:rPr>
              <w:t>Bill Determination - Municipal Departing Load Bond Charge</w:t>
            </w:r>
          </w:p>
        </w:tc>
        <w:tc>
          <w:tcPr>
            <w:tcW w:w="1380" w:type="dxa"/>
            <w:vAlign w:val="bottom"/>
          </w:tcPr>
          <w:p>
            <w:pPr>
              <w:jc w:val="right"/>
              <w:ind w:right="658"/>
              <w:spacing w:after="0" w:line="166" w:lineRule="exact"/>
              <w:rPr>
                <w:sz w:val="20"/>
                <w:szCs w:val="20"/>
                <w:color w:val="auto"/>
              </w:rPr>
            </w:pPr>
            <w:r>
              <w:rPr>
                <w:rFonts w:ascii="Arial" w:cs="Arial" w:eastAsia="Arial" w:hAnsi="Arial"/>
                <w:sz w:val="17"/>
                <w:szCs w:val="17"/>
                <w:color w:val="auto"/>
              </w:rPr>
              <w:t>D-1-1</w:t>
            </w:r>
          </w:p>
        </w:tc>
        <w:tc>
          <w:tcPr>
            <w:tcW w:w="0" w:type="dxa"/>
            <w:vAlign w:val="bottom"/>
          </w:tcPr>
          <w:p>
            <w:pPr>
              <w:spacing w:after="0"/>
              <w:rPr>
                <w:sz w:val="1"/>
                <w:szCs w:val="1"/>
                <w:color w:val="auto"/>
              </w:rPr>
            </w:pPr>
          </w:p>
        </w:tc>
      </w:tr>
      <w:tr>
        <w:trPr>
          <w:trHeight w:val="169"/>
        </w:trPr>
        <w:tc>
          <w:tcPr>
            <w:tcW w:w="1380" w:type="dxa"/>
            <w:vAlign w:val="bottom"/>
            <w:gridSpan w:val="2"/>
          </w:tcPr>
          <w:p>
            <w:pPr>
              <w:ind w:left="220"/>
              <w:spacing w:after="0" w:line="169" w:lineRule="exact"/>
              <w:rPr>
                <w:sz w:val="20"/>
                <w:szCs w:val="20"/>
                <w:color w:val="auto"/>
              </w:rPr>
            </w:pPr>
            <w:r>
              <w:rPr>
                <w:rFonts w:ascii="Arial" w:cs="Arial" w:eastAsia="Arial" w:hAnsi="Arial"/>
                <w:sz w:val="17"/>
                <w:szCs w:val="17"/>
                <w:color w:val="auto"/>
              </w:rPr>
              <w:t>Appendix D-2:</w:t>
            </w:r>
          </w:p>
        </w:tc>
        <w:tc>
          <w:tcPr>
            <w:tcW w:w="4440" w:type="dxa"/>
            <w:vAlign w:val="bottom"/>
          </w:tcPr>
          <w:p>
            <w:pPr>
              <w:ind w:left="160"/>
              <w:spacing w:after="0" w:line="169" w:lineRule="exact"/>
              <w:rPr>
                <w:sz w:val="20"/>
                <w:szCs w:val="20"/>
                <w:color w:val="auto"/>
              </w:rPr>
            </w:pPr>
            <w:r>
              <w:rPr>
                <w:rFonts w:ascii="Arial" w:cs="Arial" w:eastAsia="Arial" w:hAnsi="Arial"/>
                <w:sz w:val="16"/>
                <w:szCs w:val="16"/>
                <w:color w:val="auto"/>
                <w:w w:val="99"/>
              </w:rPr>
              <w:t>Bill Determination - Municipal Departing Load Power Charge</w:t>
            </w:r>
          </w:p>
        </w:tc>
        <w:tc>
          <w:tcPr>
            <w:tcW w:w="1380" w:type="dxa"/>
            <w:vAlign w:val="bottom"/>
          </w:tcPr>
          <w:p>
            <w:pPr>
              <w:jc w:val="right"/>
              <w:ind w:right="658"/>
              <w:spacing w:after="0" w:line="169" w:lineRule="exact"/>
              <w:rPr>
                <w:sz w:val="20"/>
                <w:szCs w:val="20"/>
                <w:color w:val="auto"/>
              </w:rPr>
            </w:pPr>
            <w:r>
              <w:rPr>
                <w:rFonts w:ascii="Arial" w:cs="Arial" w:eastAsia="Arial" w:hAnsi="Arial"/>
                <w:sz w:val="17"/>
                <w:szCs w:val="17"/>
                <w:color w:val="auto"/>
              </w:rPr>
              <w:t>D-2-1</w:t>
            </w:r>
          </w:p>
        </w:tc>
        <w:tc>
          <w:tcPr>
            <w:tcW w:w="0" w:type="dxa"/>
            <w:vAlign w:val="bottom"/>
          </w:tcPr>
          <w:p>
            <w:pPr>
              <w:spacing w:after="0"/>
              <w:rPr>
                <w:sz w:val="1"/>
                <w:szCs w:val="1"/>
                <w:color w:val="auto"/>
              </w:rPr>
            </w:pPr>
          </w:p>
        </w:tc>
      </w:tr>
      <w:tr>
        <w:trPr>
          <w:trHeight w:val="207"/>
        </w:trPr>
        <w:tc>
          <w:tcPr>
            <w:tcW w:w="1380" w:type="dxa"/>
            <w:vAlign w:val="bottom"/>
            <w:gridSpan w:val="2"/>
          </w:tcPr>
          <w:p>
            <w:pPr>
              <w:ind w:left="220"/>
              <w:spacing w:after="0"/>
              <w:rPr>
                <w:sz w:val="20"/>
                <w:szCs w:val="20"/>
                <w:color w:val="auto"/>
              </w:rPr>
            </w:pPr>
            <w:r>
              <w:rPr>
                <w:rFonts w:ascii="Arial" w:cs="Arial" w:eastAsia="Arial" w:hAnsi="Arial"/>
                <w:sz w:val="17"/>
                <w:szCs w:val="17"/>
                <w:color w:val="auto"/>
              </w:rPr>
              <w:t>Appendix E-1:</w:t>
            </w:r>
          </w:p>
        </w:tc>
        <w:tc>
          <w:tcPr>
            <w:tcW w:w="4440" w:type="dxa"/>
            <w:vAlign w:val="bottom"/>
          </w:tcPr>
          <w:p>
            <w:pPr>
              <w:ind w:left="160"/>
              <w:spacing w:after="0"/>
              <w:rPr>
                <w:sz w:val="20"/>
                <w:szCs w:val="20"/>
                <w:color w:val="auto"/>
              </w:rPr>
            </w:pPr>
            <w:r>
              <w:rPr>
                <w:rFonts w:ascii="Arial" w:cs="Arial" w:eastAsia="Arial" w:hAnsi="Arial"/>
                <w:sz w:val="16"/>
                <w:szCs w:val="16"/>
                <w:color w:val="auto"/>
              </w:rPr>
              <w:t>Bill Determination - Community Choice Aggregation Bond</w:t>
            </w:r>
          </w:p>
        </w:tc>
        <w:tc>
          <w:tcPr>
            <w:tcW w:w="1380" w:type="dxa"/>
            <w:vAlign w:val="bottom"/>
            <w:vMerge w:val="restart"/>
          </w:tcPr>
          <w:p>
            <w:pPr>
              <w:jc w:val="right"/>
              <w:ind w:right="678"/>
              <w:spacing w:after="0"/>
              <w:rPr>
                <w:sz w:val="20"/>
                <w:szCs w:val="20"/>
                <w:color w:val="auto"/>
              </w:rPr>
            </w:pPr>
            <w:r>
              <w:rPr>
                <w:rFonts w:ascii="Arial" w:cs="Arial" w:eastAsia="Arial" w:hAnsi="Arial"/>
                <w:sz w:val="17"/>
                <w:szCs w:val="17"/>
                <w:color w:val="auto"/>
              </w:rPr>
              <w:t>E-1-1</w:t>
            </w:r>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40" w:type="dxa"/>
            <w:vAlign w:val="bottom"/>
          </w:tcPr>
          <w:p>
            <w:pPr>
              <w:ind w:left="160"/>
              <w:spacing w:after="0" w:line="176" w:lineRule="exact"/>
              <w:rPr>
                <w:sz w:val="20"/>
                <w:szCs w:val="20"/>
                <w:color w:val="auto"/>
              </w:rPr>
            </w:pPr>
            <w:r>
              <w:rPr>
                <w:rFonts w:ascii="Arial" w:cs="Arial" w:eastAsia="Arial" w:hAnsi="Arial"/>
                <w:sz w:val="17"/>
                <w:szCs w:val="17"/>
                <w:color w:val="auto"/>
              </w:rPr>
              <w:t>Charge</w:t>
            </w: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380" w:type="dxa"/>
            <w:vAlign w:val="bottom"/>
            <w:gridSpan w:val="2"/>
          </w:tcPr>
          <w:p>
            <w:pPr>
              <w:ind w:left="220"/>
              <w:spacing w:after="0"/>
              <w:rPr>
                <w:sz w:val="20"/>
                <w:szCs w:val="20"/>
                <w:color w:val="auto"/>
              </w:rPr>
            </w:pPr>
            <w:r>
              <w:rPr>
                <w:rFonts w:ascii="Arial" w:cs="Arial" w:eastAsia="Arial" w:hAnsi="Arial"/>
                <w:sz w:val="17"/>
                <w:szCs w:val="17"/>
                <w:color w:val="auto"/>
              </w:rPr>
              <w:t>Appendix E-2:</w:t>
            </w:r>
          </w:p>
        </w:tc>
        <w:tc>
          <w:tcPr>
            <w:tcW w:w="4440" w:type="dxa"/>
            <w:vAlign w:val="bottom"/>
          </w:tcPr>
          <w:p>
            <w:pPr>
              <w:ind w:left="160"/>
              <w:spacing w:after="0"/>
              <w:rPr>
                <w:sz w:val="20"/>
                <w:szCs w:val="20"/>
                <w:color w:val="auto"/>
              </w:rPr>
            </w:pPr>
            <w:r>
              <w:rPr>
                <w:rFonts w:ascii="Arial" w:cs="Arial" w:eastAsia="Arial" w:hAnsi="Arial"/>
                <w:sz w:val="16"/>
                <w:szCs w:val="16"/>
                <w:color w:val="auto"/>
              </w:rPr>
              <w:t>Bill Determination - Community Choice Aggregation Power</w:t>
            </w:r>
          </w:p>
        </w:tc>
        <w:tc>
          <w:tcPr>
            <w:tcW w:w="1380" w:type="dxa"/>
            <w:vAlign w:val="bottom"/>
            <w:vMerge w:val="restart"/>
          </w:tcPr>
          <w:p>
            <w:pPr>
              <w:jc w:val="right"/>
              <w:ind w:right="678"/>
              <w:spacing w:after="0"/>
              <w:rPr>
                <w:sz w:val="20"/>
                <w:szCs w:val="20"/>
                <w:color w:val="auto"/>
              </w:rPr>
            </w:pPr>
            <w:r>
              <w:rPr>
                <w:rFonts w:ascii="Arial" w:cs="Arial" w:eastAsia="Arial" w:hAnsi="Arial"/>
                <w:sz w:val="17"/>
                <w:szCs w:val="17"/>
                <w:color w:val="auto"/>
              </w:rPr>
              <w:t>E-2-1</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Arial" w:cs="Arial" w:eastAsia="Arial" w:hAnsi="Arial"/>
                <w:sz w:val="17"/>
                <w:szCs w:val="17"/>
                <w:color w:val="auto"/>
                <w:w w:val="91"/>
              </w:rPr>
              <w:t>Attachment C</w:t>
            </w:r>
          </w:p>
        </w:tc>
        <w:tc>
          <w:tcPr>
            <w:tcW w:w="420" w:type="dxa"/>
            <w:vAlign w:val="bottom"/>
            <w:vMerge w:val="restart"/>
          </w:tcPr>
          <w:p>
            <w:pPr>
              <w:ind w:left="160"/>
              <w:spacing w:after="0"/>
              <w:rPr>
                <w:sz w:val="20"/>
                <w:szCs w:val="20"/>
                <w:color w:val="auto"/>
              </w:rPr>
            </w:pPr>
            <w:r>
              <w:rPr>
                <w:rFonts w:ascii="Arial" w:cs="Arial" w:eastAsia="Arial" w:hAnsi="Arial"/>
                <w:sz w:val="17"/>
                <w:szCs w:val="17"/>
                <w:color w:val="auto"/>
              </w:rPr>
              <w:t>-</w:t>
            </w:r>
          </w:p>
        </w:tc>
        <w:tc>
          <w:tcPr>
            <w:tcW w:w="4440" w:type="dxa"/>
            <w:vAlign w:val="bottom"/>
          </w:tcPr>
          <w:p>
            <w:pPr>
              <w:ind w:left="160"/>
              <w:spacing w:after="0" w:line="162" w:lineRule="exact"/>
              <w:rPr>
                <w:sz w:val="20"/>
                <w:szCs w:val="20"/>
                <w:color w:val="auto"/>
              </w:rPr>
            </w:pPr>
            <w:r>
              <w:rPr>
                <w:rFonts w:ascii="Arial" w:cs="Arial" w:eastAsia="Arial" w:hAnsi="Arial"/>
                <w:sz w:val="17"/>
                <w:szCs w:val="17"/>
                <w:color w:val="auto"/>
              </w:rPr>
              <w:t>Charge</w:t>
            </w: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9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440" w:type="dxa"/>
            <w:vAlign w:val="bottom"/>
          </w:tcPr>
          <w:p>
            <w:pPr>
              <w:ind w:left="140"/>
              <w:spacing w:after="0" w:line="166" w:lineRule="exact"/>
              <w:rPr>
                <w:sz w:val="20"/>
                <w:szCs w:val="20"/>
                <w:color w:val="auto"/>
              </w:rPr>
            </w:pPr>
            <w:r>
              <w:rPr>
                <w:rFonts w:ascii="Arial" w:cs="Arial" w:eastAsia="Arial" w:hAnsi="Arial"/>
                <w:sz w:val="17"/>
                <w:szCs w:val="17"/>
                <w:color w:val="auto"/>
              </w:rPr>
              <w:t>Sample Daily and Monthly Reports</w:t>
            </w:r>
          </w:p>
        </w:tc>
        <w:tc>
          <w:tcPr>
            <w:tcW w:w="1380" w:type="dxa"/>
            <w:vAlign w:val="bottom"/>
          </w:tcPr>
          <w:p>
            <w:pPr>
              <w:jc w:val="right"/>
              <w:ind w:right="658"/>
              <w:spacing w:after="0" w:line="166" w:lineRule="exact"/>
              <w:rPr>
                <w:sz w:val="20"/>
                <w:szCs w:val="20"/>
                <w:color w:val="auto"/>
              </w:rPr>
            </w:pPr>
            <w:r>
              <w:rPr>
                <w:rFonts w:ascii="Arial" w:cs="Arial" w:eastAsia="Arial" w:hAnsi="Arial"/>
                <w:sz w:val="17"/>
                <w:szCs w:val="17"/>
                <w:color w:val="auto"/>
              </w:rPr>
              <w:t>C-1</w:t>
            </w:r>
          </w:p>
        </w:tc>
        <w:tc>
          <w:tcPr>
            <w:tcW w:w="0" w:type="dxa"/>
            <w:vAlign w:val="bottom"/>
          </w:tcPr>
          <w:p>
            <w:pPr>
              <w:spacing w:after="0"/>
              <w:rPr>
                <w:sz w:val="1"/>
                <w:szCs w:val="1"/>
                <w:color w:val="auto"/>
              </w:rPr>
            </w:pPr>
          </w:p>
        </w:tc>
      </w:tr>
      <w:tr>
        <w:trPr>
          <w:trHeight w:val="165"/>
        </w:trPr>
        <w:tc>
          <w:tcPr>
            <w:tcW w:w="960" w:type="dxa"/>
            <w:vAlign w:val="bottom"/>
          </w:tcPr>
          <w:p>
            <w:pPr>
              <w:spacing w:after="0" w:line="166" w:lineRule="exact"/>
              <w:rPr>
                <w:sz w:val="20"/>
                <w:szCs w:val="20"/>
                <w:color w:val="auto"/>
              </w:rPr>
            </w:pPr>
            <w:r>
              <w:rPr>
                <w:rFonts w:ascii="Arial" w:cs="Arial" w:eastAsia="Arial" w:hAnsi="Arial"/>
                <w:sz w:val="17"/>
                <w:szCs w:val="17"/>
                <w:color w:val="auto"/>
                <w:w w:val="91"/>
              </w:rPr>
              <w:t>Attachment D</w:t>
            </w:r>
          </w:p>
        </w:tc>
        <w:tc>
          <w:tcPr>
            <w:tcW w:w="420" w:type="dxa"/>
            <w:vAlign w:val="bottom"/>
          </w:tcPr>
          <w:p>
            <w:pPr>
              <w:ind w:left="160"/>
              <w:spacing w:after="0" w:line="166" w:lineRule="exact"/>
              <w:rPr>
                <w:sz w:val="20"/>
                <w:szCs w:val="20"/>
                <w:color w:val="auto"/>
              </w:rPr>
            </w:pPr>
            <w:r>
              <w:rPr>
                <w:rFonts w:ascii="Arial" w:cs="Arial" w:eastAsia="Arial" w:hAnsi="Arial"/>
                <w:sz w:val="17"/>
                <w:szCs w:val="17"/>
                <w:color w:val="auto"/>
              </w:rPr>
              <w:t>-</w:t>
            </w:r>
          </w:p>
        </w:tc>
        <w:tc>
          <w:tcPr>
            <w:tcW w:w="4440" w:type="dxa"/>
            <w:vAlign w:val="bottom"/>
          </w:tcPr>
          <w:p>
            <w:pPr>
              <w:ind w:left="140"/>
              <w:spacing w:after="0" w:line="166" w:lineRule="exact"/>
              <w:rPr>
                <w:sz w:val="20"/>
                <w:szCs w:val="20"/>
                <w:color w:val="auto"/>
              </w:rPr>
            </w:pPr>
            <w:r>
              <w:rPr>
                <w:rFonts w:ascii="Arial" w:cs="Arial" w:eastAsia="Arial" w:hAnsi="Arial"/>
                <w:sz w:val="17"/>
                <w:szCs w:val="17"/>
                <w:color w:val="auto"/>
              </w:rPr>
              <w:t>[Reserved]</w:t>
            </w:r>
          </w:p>
        </w:tc>
        <w:tc>
          <w:tcPr>
            <w:tcW w:w="1380" w:type="dxa"/>
            <w:vAlign w:val="bottom"/>
          </w:tcPr>
          <w:p>
            <w:pPr>
              <w:jc w:val="right"/>
              <w:ind w:right="658"/>
              <w:spacing w:after="0" w:line="166" w:lineRule="exact"/>
              <w:rPr>
                <w:sz w:val="20"/>
                <w:szCs w:val="20"/>
                <w:color w:val="auto"/>
              </w:rPr>
            </w:pPr>
            <w:r>
              <w:rPr>
                <w:rFonts w:ascii="Arial" w:cs="Arial" w:eastAsia="Arial" w:hAnsi="Arial"/>
                <w:sz w:val="17"/>
                <w:szCs w:val="17"/>
                <w:color w:val="auto"/>
              </w:rPr>
              <w:t>D-1</w:t>
            </w:r>
          </w:p>
        </w:tc>
        <w:tc>
          <w:tcPr>
            <w:tcW w:w="0" w:type="dxa"/>
            <w:vAlign w:val="bottom"/>
          </w:tcPr>
          <w:p>
            <w:pPr>
              <w:spacing w:after="0"/>
              <w:rPr>
                <w:sz w:val="1"/>
                <w:szCs w:val="1"/>
                <w:color w:val="auto"/>
              </w:rPr>
            </w:pPr>
          </w:p>
        </w:tc>
      </w:tr>
      <w:tr>
        <w:trPr>
          <w:trHeight w:val="165"/>
        </w:trPr>
        <w:tc>
          <w:tcPr>
            <w:tcW w:w="960" w:type="dxa"/>
            <w:vAlign w:val="bottom"/>
          </w:tcPr>
          <w:p>
            <w:pPr>
              <w:spacing w:after="0" w:line="166" w:lineRule="exact"/>
              <w:rPr>
                <w:sz w:val="20"/>
                <w:szCs w:val="20"/>
                <w:color w:val="auto"/>
              </w:rPr>
            </w:pPr>
            <w:r>
              <w:rPr>
                <w:rFonts w:ascii="Arial" w:cs="Arial" w:eastAsia="Arial" w:hAnsi="Arial"/>
                <w:sz w:val="17"/>
                <w:szCs w:val="17"/>
                <w:color w:val="auto"/>
                <w:w w:val="92"/>
              </w:rPr>
              <w:t>Attachment E</w:t>
            </w:r>
          </w:p>
        </w:tc>
        <w:tc>
          <w:tcPr>
            <w:tcW w:w="420" w:type="dxa"/>
            <w:vAlign w:val="bottom"/>
          </w:tcPr>
          <w:p>
            <w:pPr>
              <w:ind w:left="160"/>
              <w:spacing w:after="0" w:line="166" w:lineRule="exact"/>
              <w:rPr>
                <w:sz w:val="20"/>
                <w:szCs w:val="20"/>
                <w:color w:val="auto"/>
              </w:rPr>
            </w:pPr>
            <w:r>
              <w:rPr>
                <w:rFonts w:ascii="Arial" w:cs="Arial" w:eastAsia="Arial" w:hAnsi="Arial"/>
                <w:sz w:val="17"/>
                <w:szCs w:val="17"/>
                <w:color w:val="auto"/>
              </w:rPr>
              <w:t>-</w:t>
            </w:r>
          </w:p>
        </w:tc>
        <w:tc>
          <w:tcPr>
            <w:tcW w:w="4440" w:type="dxa"/>
            <w:vAlign w:val="bottom"/>
          </w:tcPr>
          <w:p>
            <w:pPr>
              <w:ind w:left="140"/>
              <w:spacing w:after="0" w:line="166" w:lineRule="exact"/>
              <w:rPr>
                <w:sz w:val="20"/>
                <w:szCs w:val="20"/>
                <w:color w:val="auto"/>
              </w:rPr>
            </w:pPr>
            <w:r>
              <w:rPr>
                <w:rFonts w:ascii="Arial" w:cs="Arial" w:eastAsia="Arial" w:hAnsi="Arial"/>
                <w:sz w:val="17"/>
                <w:szCs w:val="17"/>
                <w:color w:val="auto"/>
              </w:rPr>
              <w:t>Additional Provisions</w:t>
            </w:r>
          </w:p>
        </w:tc>
        <w:tc>
          <w:tcPr>
            <w:tcW w:w="1380" w:type="dxa"/>
            <w:vAlign w:val="bottom"/>
          </w:tcPr>
          <w:p>
            <w:pPr>
              <w:jc w:val="right"/>
              <w:ind w:right="658"/>
              <w:spacing w:after="0" w:line="166" w:lineRule="exact"/>
              <w:rPr>
                <w:sz w:val="20"/>
                <w:szCs w:val="20"/>
                <w:color w:val="auto"/>
              </w:rPr>
            </w:pPr>
            <w:r>
              <w:rPr>
                <w:rFonts w:ascii="Arial" w:cs="Arial" w:eastAsia="Arial" w:hAnsi="Arial"/>
                <w:sz w:val="17"/>
                <w:szCs w:val="17"/>
                <w:color w:val="auto"/>
              </w:rPr>
              <w:t>E-1</w:t>
            </w:r>
          </w:p>
        </w:tc>
        <w:tc>
          <w:tcPr>
            <w:tcW w:w="0" w:type="dxa"/>
            <w:vAlign w:val="bottom"/>
          </w:tcPr>
          <w:p>
            <w:pPr>
              <w:spacing w:after="0"/>
              <w:rPr>
                <w:sz w:val="1"/>
                <w:szCs w:val="1"/>
                <w:color w:val="auto"/>
              </w:rPr>
            </w:pPr>
          </w:p>
        </w:tc>
      </w:tr>
      <w:tr>
        <w:trPr>
          <w:trHeight w:val="165"/>
        </w:trPr>
        <w:tc>
          <w:tcPr>
            <w:tcW w:w="960" w:type="dxa"/>
            <w:vAlign w:val="bottom"/>
          </w:tcPr>
          <w:p>
            <w:pPr>
              <w:spacing w:after="0" w:line="166" w:lineRule="exact"/>
              <w:rPr>
                <w:sz w:val="20"/>
                <w:szCs w:val="20"/>
                <w:color w:val="auto"/>
              </w:rPr>
            </w:pPr>
            <w:r>
              <w:rPr>
                <w:rFonts w:ascii="Arial" w:cs="Arial" w:eastAsia="Arial" w:hAnsi="Arial"/>
                <w:sz w:val="17"/>
                <w:szCs w:val="17"/>
                <w:color w:val="auto"/>
                <w:w w:val="92"/>
              </w:rPr>
              <w:t>Attachment F</w:t>
            </w:r>
          </w:p>
        </w:tc>
        <w:tc>
          <w:tcPr>
            <w:tcW w:w="420" w:type="dxa"/>
            <w:vAlign w:val="bottom"/>
          </w:tcPr>
          <w:p>
            <w:pPr>
              <w:ind w:left="160"/>
              <w:spacing w:after="0" w:line="166" w:lineRule="exact"/>
              <w:rPr>
                <w:sz w:val="20"/>
                <w:szCs w:val="20"/>
                <w:color w:val="auto"/>
              </w:rPr>
            </w:pPr>
            <w:r>
              <w:rPr>
                <w:rFonts w:ascii="Arial" w:cs="Arial" w:eastAsia="Arial" w:hAnsi="Arial"/>
                <w:sz w:val="17"/>
                <w:szCs w:val="17"/>
                <w:color w:val="auto"/>
              </w:rPr>
              <w:t>-</w:t>
            </w:r>
          </w:p>
        </w:tc>
        <w:tc>
          <w:tcPr>
            <w:tcW w:w="5820" w:type="dxa"/>
            <w:vAlign w:val="bottom"/>
            <w:gridSpan w:val="2"/>
          </w:tcPr>
          <w:p>
            <w:pPr>
              <w:ind w:left="140"/>
              <w:spacing w:after="0" w:line="166" w:lineRule="exact"/>
              <w:rPr>
                <w:sz w:val="20"/>
                <w:szCs w:val="20"/>
                <w:color w:val="auto"/>
              </w:rPr>
            </w:pPr>
            <w:r>
              <w:rPr>
                <w:rFonts w:ascii="Arial" w:cs="Arial" w:eastAsia="Arial" w:hAnsi="Arial"/>
                <w:sz w:val="17"/>
                <w:szCs w:val="17"/>
                <w:color w:val="auto"/>
                <w:w w:val="91"/>
              </w:rPr>
              <w:t>Calculation Methodology for Reduced Remittances Pursuant to 20/20 Program F-1</w:t>
            </w:r>
          </w:p>
        </w:tc>
        <w:tc>
          <w:tcPr>
            <w:tcW w:w="0" w:type="dxa"/>
            <w:vAlign w:val="bottom"/>
          </w:tcPr>
          <w:p>
            <w:pPr>
              <w:spacing w:after="0"/>
              <w:rPr>
                <w:sz w:val="1"/>
                <w:szCs w:val="1"/>
                <w:color w:val="auto"/>
              </w:rPr>
            </w:pPr>
          </w:p>
        </w:tc>
      </w:tr>
      <w:tr>
        <w:trPr>
          <w:trHeight w:val="165"/>
        </w:trPr>
        <w:tc>
          <w:tcPr>
            <w:tcW w:w="960" w:type="dxa"/>
            <w:vAlign w:val="bottom"/>
          </w:tcPr>
          <w:p>
            <w:pPr>
              <w:spacing w:after="0" w:line="166" w:lineRule="exact"/>
              <w:rPr>
                <w:sz w:val="20"/>
                <w:szCs w:val="20"/>
                <w:color w:val="auto"/>
              </w:rPr>
            </w:pPr>
            <w:r>
              <w:rPr>
                <w:rFonts w:ascii="Arial" w:cs="Arial" w:eastAsia="Arial" w:hAnsi="Arial"/>
                <w:sz w:val="17"/>
                <w:szCs w:val="17"/>
                <w:color w:val="auto"/>
                <w:w w:val="90"/>
              </w:rPr>
              <w:t>Attachment G</w:t>
            </w:r>
          </w:p>
        </w:tc>
        <w:tc>
          <w:tcPr>
            <w:tcW w:w="420" w:type="dxa"/>
            <w:vAlign w:val="bottom"/>
          </w:tcPr>
          <w:p>
            <w:pPr>
              <w:ind w:left="160"/>
              <w:spacing w:after="0" w:line="166" w:lineRule="exact"/>
              <w:rPr>
                <w:sz w:val="20"/>
                <w:szCs w:val="20"/>
                <w:color w:val="auto"/>
              </w:rPr>
            </w:pPr>
            <w:r>
              <w:rPr>
                <w:rFonts w:ascii="Arial" w:cs="Arial" w:eastAsia="Arial" w:hAnsi="Arial"/>
                <w:sz w:val="17"/>
                <w:szCs w:val="17"/>
                <w:color w:val="auto"/>
              </w:rPr>
              <w:t>-</w:t>
            </w:r>
          </w:p>
        </w:tc>
        <w:tc>
          <w:tcPr>
            <w:tcW w:w="4440" w:type="dxa"/>
            <w:vAlign w:val="bottom"/>
          </w:tcPr>
          <w:p>
            <w:pPr>
              <w:ind w:left="140"/>
              <w:spacing w:after="0" w:line="166" w:lineRule="exact"/>
              <w:rPr>
                <w:sz w:val="20"/>
                <w:szCs w:val="20"/>
                <w:color w:val="auto"/>
              </w:rPr>
            </w:pPr>
            <w:r>
              <w:rPr>
                <w:rFonts w:ascii="Arial" w:cs="Arial" w:eastAsia="Arial" w:hAnsi="Arial"/>
                <w:sz w:val="17"/>
                <w:szCs w:val="17"/>
                <w:color w:val="auto"/>
              </w:rPr>
              <w:t>SDG&amp;E Fee Schedule</w:t>
            </w:r>
          </w:p>
        </w:tc>
        <w:tc>
          <w:tcPr>
            <w:tcW w:w="1380" w:type="dxa"/>
            <w:vAlign w:val="bottom"/>
          </w:tcPr>
          <w:p>
            <w:pPr>
              <w:jc w:val="right"/>
              <w:ind w:right="658"/>
              <w:spacing w:after="0" w:line="166" w:lineRule="exact"/>
              <w:rPr>
                <w:sz w:val="20"/>
                <w:szCs w:val="20"/>
                <w:color w:val="auto"/>
              </w:rPr>
            </w:pPr>
            <w:r>
              <w:rPr>
                <w:rFonts w:ascii="Arial" w:cs="Arial" w:eastAsia="Arial" w:hAnsi="Arial"/>
                <w:sz w:val="17"/>
                <w:szCs w:val="17"/>
                <w:color w:val="auto"/>
              </w:rPr>
              <w:t>G-1</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20"/>
                <w:szCs w:val="20"/>
                <w:color w:val="auto"/>
              </w:rPr>
            </w:pPr>
            <w:r>
              <w:rPr>
                <w:rFonts w:ascii="Arial" w:cs="Arial" w:eastAsia="Arial" w:hAnsi="Arial"/>
                <w:sz w:val="17"/>
                <w:szCs w:val="17"/>
                <w:color w:val="auto"/>
                <w:w w:val="91"/>
              </w:rPr>
              <w:t>Attachment H</w:t>
            </w:r>
          </w:p>
        </w:tc>
        <w:tc>
          <w:tcPr>
            <w:tcW w:w="420" w:type="dxa"/>
            <w:vAlign w:val="bottom"/>
          </w:tcPr>
          <w:p>
            <w:pPr>
              <w:ind w:left="160"/>
              <w:spacing w:after="0"/>
              <w:rPr>
                <w:sz w:val="20"/>
                <w:szCs w:val="20"/>
                <w:color w:val="auto"/>
              </w:rPr>
            </w:pPr>
            <w:r>
              <w:rPr>
                <w:rFonts w:ascii="Arial" w:cs="Arial" w:eastAsia="Arial" w:hAnsi="Arial"/>
                <w:sz w:val="17"/>
                <w:szCs w:val="17"/>
                <w:color w:val="auto"/>
              </w:rPr>
              <w:t>-</w:t>
            </w:r>
          </w:p>
        </w:tc>
        <w:tc>
          <w:tcPr>
            <w:tcW w:w="4440" w:type="dxa"/>
            <w:vAlign w:val="bottom"/>
          </w:tcPr>
          <w:p>
            <w:pPr>
              <w:ind w:left="140"/>
              <w:spacing w:after="0"/>
              <w:rPr>
                <w:sz w:val="20"/>
                <w:szCs w:val="20"/>
                <w:color w:val="auto"/>
              </w:rPr>
            </w:pPr>
            <w:r>
              <w:rPr>
                <w:rFonts w:ascii="Arial" w:cs="Arial" w:eastAsia="Arial" w:hAnsi="Arial"/>
                <w:sz w:val="17"/>
                <w:szCs w:val="17"/>
                <w:color w:val="auto"/>
              </w:rPr>
              <w:t>[Not Applicable]</w:t>
            </w:r>
          </w:p>
        </w:tc>
        <w:tc>
          <w:tcPr>
            <w:tcW w:w="1380" w:type="dxa"/>
            <w:vAlign w:val="bottom"/>
          </w:tcPr>
          <w:p>
            <w:pPr>
              <w:jc w:val="right"/>
              <w:ind w:right="658"/>
              <w:spacing w:after="0"/>
              <w:rPr>
                <w:sz w:val="20"/>
                <w:szCs w:val="20"/>
                <w:color w:val="auto"/>
              </w:rPr>
            </w:pPr>
            <w:r>
              <w:rPr>
                <w:rFonts w:ascii="Arial" w:cs="Arial" w:eastAsia="Arial" w:hAnsi="Arial"/>
                <w:sz w:val="17"/>
                <w:szCs w:val="17"/>
                <w:color w:val="auto"/>
              </w:rPr>
              <w:t>H-1</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w:t>
      </w:r>
    </w:p>
    <w:p>
      <w:pPr>
        <w:sectPr>
          <w:pgSz w:w="11900" w:h="16838" w:orient="portrait"/>
          <w:cols w:equalWidth="0" w:num="1">
            <w:col w:w="10239"/>
          </w:cols>
          <w:pgMar w:left="220" w:top="482" w:right="1440" w:bottom="1440" w:gutter="0" w:footer="0" w:header="0"/>
        </w:sectPr>
      </w:pPr>
    </w:p>
    <w:bookmarkStart w:id="105" w:name="page106"/>
    <w:bookmarkEnd w:id="105"/>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2010 SERVICING ORDER</w:t>
      </w:r>
    </w:p>
    <w:p>
      <w:pPr>
        <w:spacing w:after="0" w:line="156" w:lineRule="exact"/>
        <w:rPr>
          <w:sz w:val="20"/>
          <w:szCs w:val="20"/>
          <w:color w:val="auto"/>
        </w:rPr>
      </w:pPr>
    </w:p>
    <w:p>
      <w:pPr>
        <w:jc w:val="both"/>
        <w:ind w:firstLine="496"/>
        <w:spacing w:after="0" w:line="249" w:lineRule="auto"/>
        <w:rPr>
          <w:sz w:val="20"/>
          <w:szCs w:val="20"/>
          <w:color w:val="auto"/>
        </w:rPr>
      </w:pPr>
      <w:r>
        <w:rPr>
          <w:rFonts w:ascii="Arial" w:cs="Arial" w:eastAsia="Arial" w:hAnsi="Arial"/>
          <w:sz w:val="16"/>
          <w:szCs w:val="16"/>
          <w:b w:val="1"/>
          <w:bCs w:val="1"/>
          <w:color w:val="auto"/>
        </w:rPr>
        <w:t xml:space="preserve">THIS 2010 SERVICING ORDER </w:t>
      </w:r>
      <w:r>
        <w:rPr>
          <w:rFonts w:ascii="Arial" w:cs="Arial" w:eastAsia="Arial" w:hAnsi="Arial"/>
          <w:sz w:val="16"/>
          <w:szCs w:val="16"/>
          <w:color w:val="auto"/>
        </w:rPr>
        <w:t>(this “Servicing Order” or the “2010 Servicing Order”) concerns the State of California Department of Water Resources</w:t>
      </w:r>
      <w:r>
        <w:rPr>
          <w:rFonts w:ascii="Arial" w:cs="Arial" w:eastAsia="Arial" w:hAnsi="Arial"/>
          <w:sz w:val="16"/>
          <w:szCs w:val="16"/>
          <w:b w:val="1"/>
          <w:bCs w:val="1"/>
          <w:color w:val="auto"/>
        </w:rPr>
        <w:t xml:space="preserve"> </w:t>
      </w:r>
      <w:r>
        <w:rPr>
          <w:rFonts w:ascii="Arial" w:cs="Arial" w:eastAsia="Arial" w:hAnsi="Arial"/>
          <w:sz w:val="16"/>
          <w:szCs w:val="16"/>
          <w:color w:val="auto"/>
        </w:rPr>
        <w:t>(“DWR”), separate and apart from its powers and responsibilities with respect to the State Water Resources Development System, and San Diego Gas &amp; Electric Company, a California corporation (“Utility” or “SDG&amp;E”). This Servicing Order amends and restates that certain 2007 Servicing Order adopted pursuant to D.07-03-025 (the “2007 Servicing Order”) to amend and restate that certain 2003 Servicing Order adopted pursuant to D.02-12-070 on December 19, 2002 (the “2003 Servicing Order”), further amending and restating that certain First Amended and Restated Servicing Agreement, between DWR and Utility, approved by the Commission on April 22, 2002 pursuant to D.02-04-048, as amended by the Amendment No. 1 thereto, approved by the Commission on July 17, 2002. DWR and Utility are sometimes collectively referred to as the “Parties” and individually referred to as a “Party.”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BACKGROUND</w:t>
      </w:r>
    </w:p>
    <w:p>
      <w:pPr>
        <w:spacing w:after="0" w:line="150" w:lineRule="exact"/>
        <w:rPr>
          <w:sz w:val="20"/>
          <w:szCs w:val="20"/>
          <w:color w:val="auto"/>
        </w:rPr>
      </w:pPr>
    </w:p>
    <w:p>
      <w:pPr>
        <w:jc w:val="both"/>
        <w:ind w:firstLine="499"/>
        <w:spacing w:after="0" w:line="237" w:lineRule="auto"/>
        <w:tabs>
          <w:tab w:leader="none" w:pos="992" w:val="left"/>
        </w:tabs>
        <w:numPr>
          <w:ilvl w:val="0"/>
          <w:numId w:val="123"/>
        </w:numPr>
        <w:rPr>
          <w:rFonts w:ascii="Arial" w:cs="Arial" w:eastAsia="Arial" w:hAnsi="Arial"/>
          <w:sz w:val="17"/>
          <w:szCs w:val="17"/>
          <w:color w:val="auto"/>
        </w:rPr>
      </w:pPr>
      <w:r>
        <w:rPr>
          <w:rFonts w:ascii="Arial" w:cs="Arial" w:eastAsia="Arial" w:hAnsi="Arial"/>
          <w:sz w:val="17"/>
          <w:szCs w:val="17"/>
          <w:color w:val="auto"/>
        </w:rPr>
        <w:t>Under the Act, DWR is authorized to sell electric power and energy to Customers. Amounts payable by DWR under this Servicing Order are payable solely from the Department of Water Resources Electric Power Fund established pursuant to Section 80200 of the California Water Code or other appropriated amounts legally available therefor.</w:t>
      </w:r>
    </w:p>
    <w:p>
      <w:pPr>
        <w:spacing w:after="0" w:line="144" w:lineRule="exact"/>
        <w:rPr>
          <w:rFonts w:ascii="Arial" w:cs="Arial" w:eastAsia="Arial" w:hAnsi="Arial"/>
          <w:sz w:val="17"/>
          <w:szCs w:val="17"/>
          <w:color w:val="auto"/>
        </w:rPr>
      </w:pPr>
    </w:p>
    <w:p>
      <w:pPr>
        <w:ind w:firstLine="499"/>
        <w:spacing w:after="0" w:line="275" w:lineRule="auto"/>
        <w:tabs>
          <w:tab w:leader="none" w:pos="992" w:val="left"/>
        </w:tabs>
        <w:numPr>
          <w:ilvl w:val="0"/>
          <w:numId w:val="123"/>
        </w:numPr>
        <w:rPr>
          <w:rFonts w:ascii="Arial" w:cs="Arial" w:eastAsia="Arial" w:hAnsi="Arial"/>
          <w:sz w:val="16"/>
          <w:szCs w:val="16"/>
          <w:color w:val="auto"/>
        </w:rPr>
      </w:pPr>
      <w:r>
        <w:rPr>
          <w:rFonts w:ascii="Arial" w:cs="Arial" w:eastAsia="Arial" w:hAnsi="Arial"/>
          <w:sz w:val="16"/>
          <w:szCs w:val="16"/>
          <w:color w:val="auto"/>
        </w:rPr>
        <w:t>Utility is engaged in, among other things, the transmission and distribution of electrical services to certain of the Customers in its service territory, the billing and collection for electrical services and other charges, and the ownership, installation and reading of electrical meters for certain of such Customers.</w:t>
      </w:r>
    </w:p>
    <w:p>
      <w:pPr>
        <w:spacing w:after="0" w:line="105" w:lineRule="exact"/>
        <w:rPr>
          <w:rFonts w:ascii="Arial" w:cs="Arial" w:eastAsia="Arial" w:hAnsi="Arial"/>
          <w:sz w:val="16"/>
          <w:szCs w:val="16"/>
          <w:color w:val="auto"/>
        </w:rPr>
      </w:pPr>
    </w:p>
    <w:p>
      <w:pPr>
        <w:jc w:val="both"/>
        <w:ind w:firstLine="499"/>
        <w:spacing w:after="0" w:line="313" w:lineRule="auto"/>
        <w:tabs>
          <w:tab w:leader="none" w:pos="992" w:val="left"/>
        </w:tabs>
        <w:numPr>
          <w:ilvl w:val="0"/>
          <w:numId w:val="123"/>
        </w:numPr>
        <w:rPr>
          <w:rFonts w:ascii="Arial" w:cs="Arial" w:eastAsia="Arial" w:hAnsi="Arial"/>
          <w:sz w:val="14"/>
          <w:szCs w:val="14"/>
          <w:color w:val="auto"/>
        </w:rPr>
      </w:pPr>
      <w:r>
        <w:rPr>
          <w:rFonts w:ascii="Arial" w:cs="Arial" w:eastAsia="Arial" w:hAnsi="Arial"/>
          <w:sz w:val="14"/>
          <w:szCs w:val="14"/>
          <w:color w:val="auto"/>
        </w:rPr>
        <w:t>Under the Act, DWR is authorized to enter into contracts with the Utility to provide transmission and distribution of all power sold or made available for sale by DWR to certain of the Customers, and, upon request of DWR, the Commission has ordered Utility to provide such transmission and distribution services, including the provision of billing, collection and related services, as agent for DWR, on terms and conditions that reasonably compensate Utility for its services.</w:t>
      </w:r>
    </w:p>
    <w:p>
      <w:pPr>
        <w:spacing w:after="0" w:line="83" w:lineRule="exact"/>
        <w:rPr>
          <w:rFonts w:ascii="Arial" w:cs="Arial" w:eastAsia="Arial" w:hAnsi="Arial"/>
          <w:sz w:val="14"/>
          <w:szCs w:val="14"/>
          <w:color w:val="auto"/>
        </w:rPr>
      </w:pPr>
    </w:p>
    <w:p>
      <w:pPr>
        <w:ind w:firstLine="499"/>
        <w:spacing w:after="0" w:line="245" w:lineRule="auto"/>
        <w:tabs>
          <w:tab w:leader="none" w:pos="992" w:val="left"/>
        </w:tabs>
        <w:numPr>
          <w:ilvl w:val="0"/>
          <w:numId w:val="123"/>
        </w:numPr>
        <w:rPr>
          <w:rFonts w:ascii="Arial" w:cs="Arial" w:eastAsia="Arial" w:hAnsi="Arial"/>
          <w:sz w:val="17"/>
          <w:szCs w:val="17"/>
          <w:color w:val="auto"/>
        </w:rPr>
      </w:pPr>
      <w:r>
        <w:rPr>
          <w:rFonts w:ascii="Arial" w:cs="Arial" w:eastAsia="Arial" w:hAnsi="Arial"/>
          <w:sz w:val="17"/>
          <w:szCs w:val="17"/>
          <w:color w:val="auto"/>
        </w:rPr>
        <w:t>On June 23, 2001, the Parties entered into a Servicing Agreement, as amended and approved by the Commission pursuant to D.01-09-013, to set forth the terms under which Utility will provide for the transmission and distribution of DWR Power as well as billing and related services.</w:t>
      </w:r>
    </w:p>
    <w:p>
      <w:pPr>
        <w:spacing w:after="0" w:line="138" w:lineRule="exact"/>
        <w:rPr>
          <w:rFonts w:ascii="Arial" w:cs="Arial" w:eastAsia="Arial" w:hAnsi="Arial"/>
          <w:sz w:val="17"/>
          <w:szCs w:val="17"/>
          <w:color w:val="auto"/>
        </w:rPr>
      </w:pPr>
    </w:p>
    <w:p>
      <w:pPr>
        <w:ind w:left="1000" w:hanging="501"/>
        <w:spacing w:after="0"/>
        <w:tabs>
          <w:tab w:leader="none" w:pos="10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On February 21, 2002, the Commission adopted D.02-02-051, approving and adopting a Rate Agreement between the Commission and DWR.</w:t>
      </w:r>
    </w:p>
    <w:p>
      <w:pPr>
        <w:spacing w:after="0" w:line="157" w:lineRule="exact"/>
        <w:rPr>
          <w:rFonts w:ascii="Arial" w:cs="Arial" w:eastAsia="Arial" w:hAnsi="Arial"/>
          <w:sz w:val="16"/>
          <w:szCs w:val="16"/>
          <w:color w:val="auto"/>
        </w:rPr>
      </w:pPr>
    </w:p>
    <w:p>
      <w:pPr>
        <w:jc w:val="both"/>
        <w:ind w:firstLine="499"/>
        <w:spacing w:after="0" w:line="235" w:lineRule="auto"/>
        <w:tabs>
          <w:tab w:leader="none" w:pos="992" w:val="left"/>
        </w:tabs>
        <w:numPr>
          <w:ilvl w:val="0"/>
          <w:numId w:val="123"/>
        </w:numPr>
        <w:rPr>
          <w:rFonts w:ascii="Arial" w:cs="Arial" w:eastAsia="Arial" w:hAnsi="Arial"/>
          <w:sz w:val="17"/>
          <w:szCs w:val="17"/>
          <w:color w:val="auto"/>
        </w:rPr>
      </w:pPr>
      <w:r>
        <w:rPr>
          <w:rFonts w:ascii="Arial" w:cs="Arial" w:eastAsia="Arial" w:hAnsi="Arial"/>
          <w:sz w:val="17"/>
          <w:szCs w:val="17"/>
          <w:color w:val="auto"/>
        </w:rPr>
        <w:t>On April 22, 2002, the Commission approved the First Amended and Restated Servicing Agreement, pursuant to D.02-04-048, to comply with D.01-09-013 to implement certain provisions of the Rate Agreement. Said First Amended and Restated Servicing Agreement was further amended by Amendment No. 1 approved by the Commission on July 17, 2002, pursuant to D.02-07-038 to provide for a separate line item on the Utility Bills for Bond Charges and to implement the 2002 20/20 Program as ordered by the Commission pursuant to Resolution E-3770.</w:t>
      </w:r>
    </w:p>
    <w:p>
      <w:pPr>
        <w:spacing w:after="0" w:line="133" w:lineRule="exact"/>
        <w:rPr>
          <w:rFonts w:ascii="Arial" w:cs="Arial" w:eastAsia="Arial" w:hAnsi="Arial"/>
          <w:sz w:val="17"/>
          <w:szCs w:val="17"/>
          <w:color w:val="auto"/>
        </w:rPr>
      </w:pPr>
    </w:p>
    <w:p>
      <w:pPr>
        <w:ind w:firstLine="499"/>
        <w:spacing w:after="0" w:line="275" w:lineRule="auto"/>
        <w:tabs>
          <w:tab w:leader="none" w:pos="992" w:val="left"/>
        </w:tabs>
        <w:numPr>
          <w:ilvl w:val="0"/>
          <w:numId w:val="123"/>
        </w:numPr>
        <w:rPr>
          <w:rFonts w:ascii="Arial" w:cs="Arial" w:eastAsia="Arial" w:hAnsi="Arial"/>
          <w:sz w:val="16"/>
          <w:szCs w:val="16"/>
          <w:color w:val="auto"/>
        </w:rPr>
      </w:pPr>
      <w:r>
        <w:rPr>
          <w:rFonts w:ascii="Arial" w:cs="Arial" w:eastAsia="Arial" w:hAnsi="Arial"/>
          <w:sz w:val="16"/>
          <w:szCs w:val="16"/>
          <w:color w:val="auto"/>
        </w:rPr>
        <w:t>On September 19, 2002, the Commission adopted D.02-09-053 relating to the allocation of DWR’s power contracts, ordering the Parties to modify the previously approved servicing agreement to reflect the new operational arrangements under said contract allocation decision issued by the Commission.</w:t>
      </w:r>
    </w:p>
    <w:p>
      <w:pPr>
        <w:spacing w:after="0" w:line="115" w:lineRule="exact"/>
        <w:rPr>
          <w:rFonts w:ascii="Arial" w:cs="Arial" w:eastAsia="Arial" w:hAnsi="Arial"/>
          <w:sz w:val="16"/>
          <w:szCs w:val="16"/>
          <w:color w:val="auto"/>
        </w:rPr>
      </w:pPr>
    </w:p>
    <w:p>
      <w:pPr>
        <w:jc w:val="both"/>
        <w:ind w:firstLine="499"/>
        <w:spacing w:after="0" w:line="237" w:lineRule="auto"/>
        <w:tabs>
          <w:tab w:leader="none" w:pos="992" w:val="left"/>
        </w:tabs>
        <w:numPr>
          <w:ilvl w:val="0"/>
          <w:numId w:val="123"/>
        </w:numPr>
        <w:rPr>
          <w:rFonts w:ascii="Arial" w:cs="Arial" w:eastAsia="Arial" w:hAnsi="Arial"/>
          <w:sz w:val="17"/>
          <w:szCs w:val="17"/>
          <w:color w:val="auto"/>
        </w:rPr>
      </w:pPr>
      <w:r>
        <w:rPr>
          <w:rFonts w:ascii="Arial" w:cs="Arial" w:eastAsia="Arial" w:hAnsi="Arial"/>
          <w:sz w:val="17"/>
          <w:szCs w:val="17"/>
          <w:color w:val="auto"/>
        </w:rPr>
        <w:t>On December 19, 2002, pursuant to D.02-12-069, the Commission adopted an Operating Order which established the respective rights and responsibilities with respect to the Utility’s administration of the Allocated Contracts and, on that same date, the Commission further adopted D.02-12-070, imposing the 2003 Servicing Order on the Utility.</w:t>
      </w:r>
    </w:p>
    <w:p>
      <w:pPr>
        <w:spacing w:after="0" w:line="134" w:lineRule="exact"/>
        <w:rPr>
          <w:rFonts w:ascii="Arial" w:cs="Arial" w:eastAsia="Arial" w:hAnsi="Arial"/>
          <w:sz w:val="17"/>
          <w:szCs w:val="17"/>
          <w:color w:val="auto"/>
        </w:rPr>
      </w:pPr>
    </w:p>
    <w:p>
      <w:pPr>
        <w:ind w:firstLine="499"/>
        <w:spacing w:after="0" w:line="245" w:lineRule="auto"/>
        <w:tabs>
          <w:tab w:leader="none" w:pos="992"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Through other proceedings, the Commission also determined the cost responsibility of certain Customers, other than Bundled Customers, for Bond Charge and the ongoing DWR power charge component.</w:t>
      </w:r>
    </w:p>
    <w:p>
      <w:pPr>
        <w:spacing w:after="0" w:line="128" w:lineRule="exact"/>
        <w:rPr>
          <w:rFonts w:ascii="Arial" w:cs="Arial" w:eastAsia="Arial" w:hAnsi="Arial"/>
          <w:sz w:val="17"/>
          <w:szCs w:val="17"/>
          <w:color w:val="auto"/>
        </w:rPr>
      </w:pPr>
    </w:p>
    <w:p>
      <w:pPr>
        <w:ind w:firstLine="499"/>
        <w:spacing w:after="0" w:line="275" w:lineRule="auto"/>
        <w:tabs>
          <w:tab w:leader="none" w:pos="992"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Section 10(a) of the 2003 Servicing Order provided that Parties are to negotiate appropriate amendments to effectuate the required changes upon certain events, including the implementation of Bond Charges and the imposition of a DWR Charge upon customers of ESPs or other third-parties.</w:t>
      </w:r>
    </w:p>
    <w:p>
      <w:pPr>
        <w:spacing w:after="0" w:line="115" w:lineRule="exact"/>
        <w:rPr>
          <w:rFonts w:ascii="Arial" w:cs="Arial" w:eastAsia="Arial" w:hAnsi="Arial"/>
          <w:sz w:val="16"/>
          <w:szCs w:val="16"/>
          <w:color w:val="auto"/>
        </w:rPr>
      </w:pPr>
    </w:p>
    <w:p>
      <w:pPr>
        <w:jc w:val="both"/>
        <w:ind w:firstLine="499"/>
        <w:spacing w:after="0" w:line="235" w:lineRule="auto"/>
        <w:tabs>
          <w:tab w:leader="none" w:pos="992"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In Appendices D-1, D-2, E-1 and E-2 to Attachment B and in reporting templates contained in Attachment C of the 2007 Servicing Order, DWR has identified and included certain Customer Types who do not currently remit DWR Charges. Unless specifically provided elsewhere in this Servicing Order, the Utility and DWR acknowledge that the collection and remittance of DWR Charges from such Customer Types will not begin until Applicable Commission Orders that require the Utility to perform such services are final and effective.</w:t>
      </w:r>
    </w:p>
    <w:p>
      <w:pPr>
        <w:spacing w:after="0" w:line="133" w:lineRule="exact"/>
        <w:rPr>
          <w:rFonts w:ascii="Arial" w:cs="Arial" w:eastAsia="Arial" w:hAnsi="Arial"/>
          <w:sz w:val="17"/>
          <w:szCs w:val="17"/>
          <w:color w:val="auto"/>
        </w:rPr>
      </w:pPr>
    </w:p>
    <w:p>
      <w:pPr>
        <w:jc w:val="both"/>
        <w:ind w:firstLine="499"/>
        <w:spacing w:after="0" w:line="237" w:lineRule="auto"/>
        <w:tabs>
          <w:tab w:leader="none" w:pos="992" w:val="left"/>
        </w:tabs>
        <w:numPr>
          <w:ilvl w:val="0"/>
          <w:numId w:val="123"/>
        </w:numPr>
        <w:rPr>
          <w:rFonts w:ascii="Arial" w:cs="Arial" w:eastAsia="Arial" w:hAnsi="Arial"/>
          <w:sz w:val="17"/>
          <w:szCs w:val="17"/>
          <w:color w:val="auto"/>
        </w:rPr>
      </w:pPr>
      <w:r>
        <w:rPr>
          <w:rFonts w:ascii="Arial" w:cs="Arial" w:eastAsia="Arial" w:hAnsi="Arial"/>
          <w:sz w:val="17"/>
          <w:szCs w:val="17"/>
          <w:color w:val="auto"/>
        </w:rPr>
        <w:t>DWR and Utility amended the 2003 Servicing Order to reflect the remittance methodologies and obligations applicable to DWR Revenues, consisting of DWR Charges collected from Customers and DWR Surplus Energy Sales Revenues, all as previously provided in Applicable Commission Orders and State law, and such amendments were adopted in the 2007 Servicing Order adopted pursuant to D.07-03-025.</w:t>
      </w:r>
    </w:p>
    <w:p>
      <w:pPr>
        <w:spacing w:after="0" w:line="134" w:lineRule="exact"/>
        <w:rPr>
          <w:rFonts w:ascii="Arial" w:cs="Arial" w:eastAsia="Arial" w:hAnsi="Arial"/>
          <w:sz w:val="17"/>
          <w:szCs w:val="17"/>
          <w:color w:val="auto"/>
        </w:rPr>
      </w:pPr>
    </w:p>
    <w:p>
      <w:pPr>
        <w:jc w:val="both"/>
        <w:ind w:firstLine="499"/>
        <w:spacing w:after="0" w:line="237" w:lineRule="auto"/>
        <w:tabs>
          <w:tab w:leader="none" w:pos="992"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To reflect the changes resulting from the ISO implementation of Market Redesign and Technology Upgrade, DWR desires to amend the 2007 Servicing Order and the Operating Order, consistent with the principles memorialized in that certain Memorandum of Understanding, dated as of February 4, 2009, which has been approved by the Commission on March 13, 2009.</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DWR agrees, and Utility is ordered to do as follows:</w:t>
      </w:r>
    </w:p>
    <w:p>
      <w:pPr>
        <w:spacing w:after="0" w:line="156"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4"/>
          <w:szCs w:val="14"/>
          <w:b w:val="1"/>
          <w:bCs w:val="1"/>
          <w:color w:val="auto"/>
        </w:rPr>
        <w:t>Definitions.</w:t>
      </w:r>
    </w:p>
    <w:p>
      <w:pPr>
        <w:spacing w:after="0" w:line="160" w:lineRule="exact"/>
        <w:rPr>
          <w:sz w:val="20"/>
          <w:szCs w:val="20"/>
          <w:color w:val="auto"/>
        </w:rPr>
      </w:pPr>
    </w:p>
    <w:p>
      <w:pPr>
        <w:jc w:val="both"/>
        <w:ind w:left="500"/>
        <w:spacing w:after="0" w:line="289" w:lineRule="auto"/>
        <w:rPr>
          <w:sz w:val="20"/>
          <w:szCs w:val="20"/>
          <w:color w:val="auto"/>
        </w:rPr>
      </w:pPr>
      <w:r>
        <w:rPr>
          <w:rFonts w:ascii="Arial" w:cs="Arial" w:eastAsia="Arial" w:hAnsi="Arial"/>
          <w:sz w:val="14"/>
          <w:szCs w:val="14"/>
          <w:color w:val="auto"/>
        </w:rPr>
        <w:t>The following terms, when used herein (and in the attachments hereto) with initial capitalization, shall have the meaning specified in this Section 1. Certain additional terms are defined in the attachments hereto. The singular shall include the plural and the masculine shall include the feminine and neuter, and vice versa. “Includes” or “including” shall mean “including without limitation.” References to a section or attachment shall mean a section or attachment of this 2010 Servicing Order, as the case may be, unless the context requires otherwise, and reference to a given agreement or instrument shall be a reference to that agreement or instrument as modified, amended, supplemented or restated through the date as of which such reference is made (except as otherwise specifically provided herein). Unless the context otherwise requires, references to Applicable Laws or Applicable Tariffs shall be deemed references to such laws or tariffs as they may be amended, replaced or restated from time to time. References to the time of day shall be deemed references to such time as measured by prevailing Pacific Time.</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 xml:space="preserve">ACH </w:t>
      </w:r>
      <w:r>
        <w:rPr>
          <w:rFonts w:ascii="Arial" w:cs="Arial" w:eastAsia="Arial" w:hAnsi="Arial"/>
          <w:sz w:val="16"/>
          <w:szCs w:val="16"/>
          <w:color w:val="auto"/>
        </w:rPr>
        <w:t>- Automated Clearing House, a nationwide payment and collection system which provides for the electronic distribution and settlement of funds.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 xml:space="preserve">Act </w:t>
      </w:r>
      <w:r>
        <w:rPr>
          <w:rFonts w:ascii="Arial" w:cs="Arial" w:eastAsia="Arial" w:hAnsi="Arial"/>
          <w:sz w:val="16"/>
          <w:szCs w:val="16"/>
          <w:color w:val="auto"/>
        </w:rPr>
        <w:t>- Chapter 4 of Statutes of 2001 (Assembly Bill 1 of the First 2001-02 Extraordinary Session) of the State of California, as amended from time to time.</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Additional Charges </w:t>
      </w:r>
      <w:r>
        <w:rPr>
          <w:rFonts w:ascii="Arial" w:cs="Arial" w:eastAsia="Arial" w:hAnsi="Arial"/>
          <w:sz w:val="17"/>
          <w:szCs w:val="17"/>
          <w:color w:val="auto"/>
        </w:rPr>
        <w:t>- Additional Charges shall have the meaning set forth in Section 7.2 below.</w:t>
      </w:r>
    </w:p>
    <w:p>
      <w:pPr>
        <w:spacing w:after="0" w:line="156" w:lineRule="exact"/>
        <w:rPr>
          <w:sz w:val="20"/>
          <w:szCs w:val="20"/>
          <w:color w:val="auto"/>
        </w:rPr>
      </w:pPr>
    </w:p>
    <w:p>
      <w:pPr>
        <w:jc w:val="both"/>
        <w:ind w:firstLine="496"/>
        <w:spacing w:after="0" w:line="239" w:lineRule="auto"/>
        <w:rPr>
          <w:sz w:val="20"/>
          <w:szCs w:val="20"/>
          <w:color w:val="auto"/>
        </w:rPr>
      </w:pPr>
      <w:r>
        <w:rPr>
          <w:rFonts w:ascii="Arial" w:cs="Arial" w:eastAsia="Arial" w:hAnsi="Arial"/>
          <w:sz w:val="17"/>
          <w:szCs w:val="17"/>
          <w:b w:val="1"/>
          <w:bCs w:val="1"/>
          <w:color w:val="auto"/>
        </w:rPr>
        <w:t xml:space="preserve">Aggregate Power </w:t>
      </w:r>
      <w:r>
        <w:rPr>
          <w:rFonts w:ascii="Arial" w:cs="Arial" w:eastAsia="Arial" w:hAnsi="Arial"/>
          <w:sz w:val="17"/>
          <w:szCs w:val="17"/>
          <w:color w:val="auto"/>
        </w:rPr>
        <w:t>- DWR Power, Utility-Provided Electric Power, and, subject to Section 4.3 of the Rate Agreement, ESP Power or other third-party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Power for customers located within that Utility’s service territory, to the extent DWR Charges are authorized to be imposed on any such Power by Applicable Commission Orders or State or federal law.</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 xml:space="preserve">Allocated Contracts </w:t>
      </w:r>
      <w:r>
        <w:rPr>
          <w:rFonts w:ascii="Arial" w:cs="Arial" w:eastAsia="Arial" w:hAnsi="Arial"/>
          <w:sz w:val="14"/>
          <w:szCs w:val="14"/>
          <w:color w:val="auto"/>
        </w:rPr>
        <w:t>- The long-term power purchase agreements, listed on Schedule 1 of the Operating Order, allocated to Utility under the Contract Allocation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Order.</w:t>
      </w:r>
    </w:p>
    <w:p>
      <w:pPr>
        <w:spacing w:after="0" w:line="138" w:lineRule="exact"/>
        <w:rPr>
          <w:sz w:val="20"/>
          <w:szCs w:val="20"/>
          <w:color w:val="auto"/>
        </w:rPr>
      </w:pPr>
    </w:p>
    <w:p>
      <w:pPr>
        <w:jc w:val="both"/>
        <w:ind w:firstLine="496"/>
        <w:spacing w:after="0" w:line="239" w:lineRule="auto"/>
        <w:rPr>
          <w:sz w:val="20"/>
          <w:szCs w:val="20"/>
          <w:color w:val="auto"/>
        </w:rPr>
      </w:pPr>
      <w:r>
        <w:rPr>
          <w:rFonts w:ascii="Arial" w:cs="Arial" w:eastAsia="Arial" w:hAnsi="Arial"/>
          <w:sz w:val="17"/>
          <w:szCs w:val="17"/>
          <w:b w:val="1"/>
          <w:bCs w:val="1"/>
          <w:color w:val="auto"/>
        </w:rPr>
        <w:t xml:space="preserve">Applicable Commission Orders </w:t>
      </w:r>
      <w:r>
        <w:rPr>
          <w:rFonts w:ascii="Arial" w:cs="Arial" w:eastAsia="Arial" w:hAnsi="Arial"/>
          <w:sz w:val="17"/>
          <w:szCs w:val="17"/>
          <w:color w:val="auto"/>
        </w:rPr>
        <w:t>- Such rules, regulations, decisions, resolutions, opinions or orders as the Commission may lawfully issue or promulgate from time</w:t>
      </w:r>
      <w:r>
        <w:rPr>
          <w:rFonts w:ascii="Arial" w:cs="Arial" w:eastAsia="Arial" w:hAnsi="Arial"/>
          <w:sz w:val="17"/>
          <w:szCs w:val="17"/>
          <w:b w:val="1"/>
          <w:bCs w:val="1"/>
          <w:color w:val="auto"/>
        </w:rPr>
        <w:t xml:space="preserve"> </w:t>
      </w:r>
      <w:r>
        <w:rPr>
          <w:rFonts w:ascii="Arial" w:cs="Arial" w:eastAsia="Arial" w:hAnsi="Arial"/>
          <w:sz w:val="17"/>
          <w:szCs w:val="17"/>
          <w:color w:val="auto"/>
        </w:rPr>
        <w:t>to time, which further define the rights and obligations of the Parties under or in connection with the Servicing Order, including any advice letters in furtherance thereof that are approved by the Commission.</w:t>
      </w:r>
    </w:p>
    <w:p>
      <w:pPr>
        <w:spacing w:after="0" w:line="140" w:lineRule="exact"/>
        <w:rPr>
          <w:sz w:val="20"/>
          <w:szCs w:val="20"/>
          <w:color w:val="auto"/>
        </w:rPr>
      </w:pPr>
    </w:p>
    <w:p>
      <w:pPr>
        <w:jc w:val="both"/>
        <w:ind w:firstLine="496"/>
        <w:spacing w:after="0" w:line="250" w:lineRule="auto"/>
        <w:rPr>
          <w:sz w:val="20"/>
          <w:szCs w:val="20"/>
          <w:color w:val="auto"/>
        </w:rPr>
      </w:pPr>
      <w:r>
        <w:rPr>
          <w:rFonts w:ascii="Arial" w:cs="Arial" w:eastAsia="Arial" w:hAnsi="Arial"/>
          <w:sz w:val="17"/>
          <w:szCs w:val="17"/>
          <w:b w:val="1"/>
          <w:bCs w:val="1"/>
          <w:color w:val="auto"/>
        </w:rPr>
        <w:t xml:space="preserve">Applicable Law </w:t>
      </w:r>
      <w:r>
        <w:rPr>
          <w:rFonts w:ascii="Arial" w:cs="Arial" w:eastAsia="Arial" w:hAnsi="Arial"/>
          <w:sz w:val="17"/>
          <w:szCs w:val="17"/>
          <w:color w:val="auto"/>
        </w:rPr>
        <w:t>- The Act, Applicable Commission Orders and any other applicable statute, constitutional provision, rule, regulation, ordinance, order, decision or</w:t>
      </w:r>
      <w:r>
        <w:rPr>
          <w:rFonts w:ascii="Arial" w:cs="Arial" w:eastAsia="Arial" w:hAnsi="Arial"/>
          <w:sz w:val="17"/>
          <w:szCs w:val="17"/>
          <w:b w:val="1"/>
          <w:bCs w:val="1"/>
          <w:color w:val="auto"/>
        </w:rPr>
        <w:t xml:space="preserve"> </w:t>
      </w:r>
      <w:r>
        <w:rPr>
          <w:rFonts w:ascii="Arial" w:cs="Arial" w:eastAsia="Arial" w:hAnsi="Arial"/>
          <w:sz w:val="17"/>
          <w:szCs w:val="17"/>
          <w:color w:val="auto"/>
        </w:rPr>
        <w:t>code of a Governmental Authority.</w:t>
      </w:r>
    </w:p>
    <w:p>
      <w:pPr>
        <w:sectPr>
          <w:pgSz w:w="11900" w:h="16861" w:orient="portrait"/>
          <w:cols w:equalWidth="0" w:num="1">
            <w:col w:w="11460"/>
          </w:cols>
          <w:pgMar w:left="220" w:top="491" w:right="219" w:bottom="0" w:gutter="0" w:footer="0" w:header="0"/>
        </w:sectPr>
      </w:pPr>
    </w:p>
    <w:bookmarkStart w:id="106" w:name="page107"/>
    <w:bookmarkEnd w:id="106"/>
    <w:p>
      <w:pPr>
        <w:jc w:val="both"/>
        <w:ind w:firstLine="496"/>
        <w:spacing w:after="0" w:line="252" w:lineRule="auto"/>
        <w:rPr>
          <w:sz w:val="20"/>
          <w:szCs w:val="20"/>
          <w:color w:val="auto"/>
        </w:rPr>
      </w:pPr>
      <w:r>
        <w:rPr>
          <w:rFonts w:ascii="Arial" w:cs="Arial" w:eastAsia="Arial" w:hAnsi="Arial"/>
          <w:sz w:val="17"/>
          <w:szCs w:val="17"/>
          <w:b w:val="1"/>
          <w:bCs w:val="1"/>
          <w:color w:val="auto"/>
        </w:rPr>
        <w:t xml:space="preserve">Applicable Tariffs </w:t>
      </w:r>
      <w:r>
        <w:rPr>
          <w:rFonts w:ascii="Arial" w:cs="Arial" w:eastAsia="Arial" w:hAnsi="Arial"/>
          <w:sz w:val="17"/>
          <w:szCs w:val="17"/>
          <w:color w:val="auto"/>
        </w:rPr>
        <w:t>- Utility’s tariffs, including all rules, rate schedules, contracts, and preliminary statements, governing electric energy service to Customers in</w:t>
      </w:r>
      <w:r>
        <w:rPr>
          <w:rFonts w:ascii="Arial" w:cs="Arial" w:eastAsia="Arial" w:hAnsi="Arial"/>
          <w:sz w:val="17"/>
          <w:szCs w:val="17"/>
          <w:b w:val="1"/>
          <w:bCs w:val="1"/>
          <w:color w:val="auto"/>
        </w:rPr>
        <w:t xml:space="preserve"> </w:t>
      </w:r>
      <w:r>
        <w:rPr>
          <w:rFonts w:ascii="Arial" w:cs="Arial" w:eastAsia="Arial" w:hAnsi="Arial"/>
          <w:sz w:val="17"/>
          <w:szCs w:val="17"/>
          <w:color w:val="auto"/>
        </w:rPr>
        <w:t>Utility’s service territory, as filed with and approved by the Commission and, if applicable, the Federal Energy Regulatory Commission.</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Assign(s) </w:t>
      </w:r>
      <w:r>
        <w:rPr>
          <w:rFonts w:ascii="Arial" w:cs="Arial" w:eastAsia="Arial" w:hAnsi="Arial"/>
          <w:sz w:val="17"/>
          <w:szCs w:val="17"/>
          <w:color w:val="auto"/>
        </w:rPr>
        <w:t>- Assign(s) shall have the meaning set forth in Section 14.3(c).</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Billing Services </w:t>
      </w:r>
      <w:r>
        <w:rPr>
          <w:rFonts w:ascii="Arial" w:cs="Arial" w:eastAsia="Arial" w:hAnsi="Arial"/>
          <w:sz w:val="17"/>
          <w:szCs w:val="17"/>
          <w:color w:val="auto"/>
        </w:rPr>
        <w:t>- mean Utility Billing Services.</w:t>
      </w:r>
    </w:p>
    <w:p>
      <w:pPr>
        <w:spacing w:after="0" w:line="156" w:lineRule="exact"/>
        <w:rPr>
          <w:sz w:val="20"/>
          <w:szCs w:val="20"/>
          <w:color w:val="auto"/>
        </w:rPr>
      </w:pPr>
    </w:p>
    <w:p>
      <w:pPr>
        <w:jc w:val="both"/>
        <w:ind w:firstLine="496"/>
        <w:spacing w:after="0" w:line="239" w:lineRule="auto"/>
        <w:rPr>
          <w:sz w:val="20"/>
          <w:szCs w:val="20"/>
          <w:color w:val="auto"/>
        </w:rPr>
      </w:pPr>
      <w:r>
        <w:rPr>
          <w:rFonts w:ascii="Arial" w:cs="Arial" w:eastAsia="Arial" w:hAnsi="Arial"/>
          <w:sz w:val="17"/>
          <w:szCs w:val="17"/>
          <w:b w:val="1"/>
          <w:bCs w:val="1"/>
          <w:color w:val="auto"/>
        </w:rPr>
        <w:t xml:space="preserve">Bond Charges </w:t>
      </w:r>
      <w:r>
        <w:rPr>
          <w:rFonts w:ascii="Arial" w:cs="Arial" w:eastAsia="Arial" w:hAnsi="Arial"/>
          <w:sz w:val="17"/>
          <w:szCs w:val="17"/>
          <w:color w:val="auto"/>
        </w:rPr>
        <w:t>- Bond Charges shall have the meaning set forth in the Rate Agreement and shall include Bond Charges to be remitted by Customers,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Bundled Customers, Direct Access Customers, Customer Generation Departing Load Customers, Municipal Departing Load Customers and Community Choice Aggregation Customers who are required to remit Bond Charges under Applicable Law.</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Bundled Customers </w:t>
      </w:r>
      <w:r>
        <w:rPr>
          <w:rFonts w:ascii="Arial" w:cs="Arial" w:eastAsia="Arial" w:hAnsi="Arial"/>
          <w:sz w:val="17"/>
          <w:szCs w:val="17"/>
          <w:color w:val="auto"/>
        </w:rPr>
        <w:t>- Customers who purchase Power from Utility.</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Bureau </w:t>
      </w:r>
      <w:r>
        <w:rPr>
          <w:rFonts w:ascii="Arial" w:cs="Arial" w:eastAsia="Arial" w:hAnsi="Arial"/>
          <w:sz w:val="17"/>
          <w:szCs w:val="17"/>
          <w:color w:val="auto"/>
        </w:rPr>
        <w:t>- Bureau shall have the meaning set forth in Section 8.2(b).</w:t>
      </w:r>
    </w:p>
    <w:p>
      <w:pPr>
        <w:spacing w:after="0" w:line="156" w:lineRule="exact"/>
        <w:rPr>
          <w:sz w:val="20"/>
          <w:szCs w:val="20"/>
          <w:color w:val="auto"/>
        </w:rPr>
      </w:pPr>
    </w:p>
    <w:p>
      <w:pPr>
        <w:jc w:val="both"/>
        <w:ind w:firstLine="496"/>
        <w:spacing w:after="0" w:line="239" w:lineRule="auto"/>
        <w:rPr>
          <w:sz w:val="20"/>
          <w:szCs w:val="20"/>
          <w:color w:val="auto"/>
        </w:rPr>
      </w:pPr>
      <w:r>
        <w:rPr>
          <w:rFonts w:ascii="Arial" w:cs="Arial" w:eastAsia="Arial" w:hAnsi="Arial"/>
          <w:sz w:val="17"/>
          <w:szCs w:val="17"/>
          <w:b w:val="1"/>
          <w:bCs w:val="1"/>
          <w:color w:val="auto"/>
        </w:rPr>
        <w:t xml:space="preserve">Business Days </w:t>
      </w:r>
      <w:r>
        <w:rPr>
          <w:rFonts w:ascii="Arial" w:cs="Arial" w:eastAsia="Arial" w:hAnsi="Arial"/>
          <w:sz w:val="17"/>
          <w:szCs w:val="17"/>
          <w:color w:val="auto"/>
        </w:rPr>
        <w:t>- Regular Monday through Friday weekdays which are customary working days, excluding State government holidays and holidays established by</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Tariffs; provided, however, the terms “</w:t>
      </w:r>
      <w:r>
        <w:rPr>
          <w:rFonts w:ascii="Arial" w:cs="Arial" w:eastAsia="Arial" w:hAnsi="Arial"/>
          <w:sz w:val="17"/>
          <w:szCs w:val="17"/>
          <w:b w:val="1"/>
          <w:bCs w:val="1"/>
          <w:color w:val="auto"/>
        </w:rPr>
        <w:t>DWR Business Days</w:t>
      </w:r>
      <w:r>
        <w:rPr>
          <w:rFonts w:ascii="Arial" w:cs="Arial" w:eastAsia="Arial" w:hAnsi="Arial"/>
          <w:sz w:val="17"/>
          <w:szCs w:val="17"/>
          <w:color w:val="auto"/>
        </w:rPr>
        <w:t>” or “</w:t>
      </w:r>
      <w:r>
        <w:rPr>
          <w:rFonts w:ascii="Arial" w:cs="Arial" w:eastAsia="Arial" w:hAnsi="Arial"/>
          <w:sz w:val="17"/>
          <w:szCs w:val="17"/>
          <w:b w:val="1"/>
          <w:bCs w:val="1"/>
          <w:color w:val="auto"/>
        </w:rPr>
        <w:t>Utility Business Days</w:t>
      </w:r>
      <w:r>
        <w:rPr>
          <w:rFonts w:ascii="Arial" w:cs="Arial" w:eastAsia="Arial" w:hAnsi="Arial"/>
          <w:sz w:val="17"/>
          <w:szCs w:val="17"/>
          <w:color w:val="auto"/>
        </w:rPr>
        <w:t>” shall refer to Business Days that are customary working days as related to DWR or Utility, as appropriate.</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Business Hours </w:t>
      </w:r>
      <w:r>
        <w:rPr>
          <w:rFonts w:ascii="Arial" w:cs="Arial" w:eastAsia="Arial" w:hAnsi="Arial"/>
          <w:sz w:val="17"/>
          <w:szCs w:val="17"/>
          <w:color w:val="auto"/>
        </w:rPr>
        <w:t>- The period on a Business Day from 9:00 a.m. until 5:00 p.m.</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CERS </w:t>
      </w:r>
      <w:r>
        <w:rPr>
          <w:rFonts w:ascii="Arial" w:cs="Arial" w:eastAsia="Arial" w:hAnsi="Arial"/>
          <w:sz w:val="17"/>
          <w:szCs w:val="17"/>
          <w:color w:val="auto"/>
        </w:rPr>
        <w:t>- California Energy Resources Scheduling, a division of DWR.</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Charges </w:t>
      </w:r>
      <w:r>
        <w:rPr>
          <w:rFonts w:ascii="Arial" w:cs="Arial" w:eastAsia="Arial" w:hAnsi="Arial"/>
          <w:sz w:val="17"/>
          <w:szCs w:val="17"/>
          <w:color w:val="auto"/>
        </w:rPr>
        <w:t>- DWR Charges and Utility Charges.</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Claims </w:t>
      </w:r>
      <w:r>
        <w:rPr>
          <w:rFonts w:ascii="Arial" w:cs="Arial" w:eastAsia="Arial" w:hAnsi="Arial"/>
          <w:sz w:val="17"/>
          <w:szCs w:val="17"/>
          <w:color w:val="auto"/>
        </w:rPr>
        <w:t>- Claims shall have the meaning set forth in Section 12.</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Commission </w:t>
      </w:r>
      <w:r>
        <w:rPr>
          <w:rFonts w:ascii="Arial" w:cs="Arial" w:eastAsia="Arial" w:hAnsi="Arial"/>
          <w:sz w:val="17"/>
          <w:szCs w:val="17"/>
          <w:color w:val="auto"/>
        </w:rPr>
        <w:t>- The California Public Utilities Commission.</w:t>
      </w:r>
    </w:p>
    <w:p>
      <w:pPr>
        <w:spacing w:after="0" w:line="156" w:lineRule="exact"/>
        <w:rPr>
          <w:sz w:val="20"/>
          <w:szCs w:val="20"/>
          <w:color w:val="auto"/>
        </w:rPr>
      </w:pPr>
    </w:p>
    <w:p>
      <w:pPr>
        <w:jc w:val="both"/>
        <w:ind w:firstLine="496"/>
        <w:spacing w:after="0" w:line="239" w:lineRule="auto"/>
        <w:rPr>
          <w:sz w:val="20"/>
          <w:szCs w:val="20"/>
          <w:color w:val="auto"/>
        </w:rPr>
      </w:pPr>
      <w:r>
        <w:rPr>
          <w:rFonts w:ascii="Arial" w:cs="Arial" w:eastAsia="Arial" w:hAnsi="Arial"/>
          <w:sz w:val="17"/>
          <w:szCs w:val="17"/>
          <w:b w:val="1"/>
          <w:bCs w:val="1"/>
          <w:color w:val="auto"/>
        </w:rPr>
        <w:t xml:space="preserve">Community Choice Aggregation Customers or CCA Customers </w:t>
      </w:r>
      <w:r>
        <w:rPr>
          <w:rFonts w:ascii="Arial" w:cs="Arial" w:eastAsia="Arial" w:hAnsi="Arial"/>
          <w:sz w:val="17"/>
          <w:szCs w:val="17"/>
          <w:color w:val="auto"/>
        </w:rPr>
        <w:t>- Customers whose energy requirements are served by governmental entities formed by cities</w:t>
      </w:r>
      <w:r>
        <w:rPr>
          <w:rFonts w:ascii="Arial" w:cs="Arial" w:eastAsia="Arial" w:hAnsi="Arial"/>
          <w:sz w:val="17"/>
          <w:szCs w:val="17"/>
          <w:b w:val="1"/>
          <w:bCs w:val="1"/>
          <w:color w:val="auto"/>
        </w:rPr>
        <w:t xml:space="preserve"> </w:t>
      </w:r>
      <w:r>
        <w:rPr>
          <w:rFonts w:ascii="Arial" w:cs="Arial" w:eastAsia="Arial" w:hAnsi="Arial"/>
          <w:sz w:val="17"/>
          <w:szCs w:val="17"/>
          <w:color w:val="auto"/>
        </w:rPr>
        <w:t>and counties pursuant to Assembly Bill 117 (2002 Stats., ch. 838), all as further provided in D.04-12-046 adopted on December 16, 2004, and D.05-12-041, adopted on December 15, 2005, as such decisions may be amended or supplemented from time to time.</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Confidential Information </w:t>
      </w:r>
      <w:r>
        <w:rPr>
          <w:rFonts w:ascii="Arial" w:cs="Arial" w:eastAsia="Arial" w:hAnsi="Arial"/>
          <w:sz w:val="17"/>
          <w:szCs w:val="17"/>
          <w:color w:val="auto"/>
        </w:rPr>
        <w:t>- Confidential Information shall have the meaning set forth in Section 6.1(c).</w:t>
      </w:r>
    </w:p>
    <w:p>
      <w:pPr>
        <w:spacing w:after="0" w:line="156" w:lineRule="exact"/>
        <w:rPr>
          <w:sz w:val="20"/>
          <w:szCs w:val="20"/>
          <w:color w:val="auto"/>
        </w:rPr>
      </w:pPr>
    </w:p>
    <w:p>
      <w:pPr>
        <w:jc w:val="both"/>
        <w:ind w:firstLine="496"/>
        <w:spacing w:after="0" w:line="250" w:lineRule="auto"/>
        <w:rPr>
          <w:sz w:val="20"/>
          <w:szCs w:val="20"/>
          <w:color w:val="auto"/>
        </w:rPr>
      </w:pPr>
      <w:r>
        <w:rPr>
          <w:rFonts w:ascii="Arial" w:cs="Arial" w:eastAsia="Arial" w:hAnsi="Arial"/>
          <w:sz w:val="17"/>
          <w:szCs w:val="17"/>
          <w:b w:val="1"/>
          <w:bCs w:val="1"/>
          <w:color w:val="auto"/>
        </w:rPr>
        <w:t xml:space="preserve">Contract Allocation Order </w:t>
      </w:r>
      <w:r>
        <w:rPr>
          <w:rFonts w:ascii="Arial" w:cs="Arial" w:eastAsia="Arial" w:hAnsi="Arial"/>
          <w:sz w:val="17"/>
          <w:szCs w:val="17"/>
          <w:color w:val="auto"/>
        </w:rPr>
        <w:t>- D.02-09-053 of the Commission, adopted on September 19, 2002, as such decision may be amended or supplemented from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time by the Commission.</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Contracts </w:t>
      </w:r>
      <w:r>
        <w:rPr>
          <w:rFonts w:ascii="Arial" w:cs="Arial" w:eastAsia="Arial" w:hAnsi="Arial"/>
          <w:sz w:val="17"/>
          <w:szCs w:val="17"/>
          <w:color w:val="auto"/>
        </w:rPr>
        <w:t>- The Allocated Contracts.</w:t>
      </w:r>
    </w:p>
    <w:p>
      <w:pPr>
        <w:spacing w:after="0" w:line="156" w:lineRule="exact"/>
        <w:rPr>
          <w:sz w:val="20"/>
          <w:szCs w:val="20"/>
          <w:color w:val="auto"/>
        </w:rPr>
      </w:pPr>
    </w:p>
    <w:p>
      <w:pPr>
        <w:jc w:val="both"/>
        <w:ind w:firstLine="496"/>
        <w:spacing w:after="0" w:line="292" w:lineRule="auto"/>
        <w:rPr>
          <w:sz w:val="20"/>
          <w:szCs w:val="20"/>
          <w:color w:val="auto"/>
        </w:rPr>
      </w:pPr>
      <w:r>
        <w:rPr>
          <w:rFonts w:ascii="Arial" w:cs="Arial" w:eastAsia="Arial" w:hAnsi="Arial"/>
          <w:sz w:val="14"/>
          <w:szCs w:val="14"/>
          <w:b w:val="1"/>
          <w:bCs w:val="1"/>
          <w:color w:val="auto"/>
        </w:rPr>
        <w:t xml:space="preserve">Cost Responsibility Surcharges </w:t>
      </w:r>
      <w:r>
        <w:rPr>
          <w:rFonts w:ascii="Arial" w:cs="Arial" w:eastAsia="Arial" w:hAnsi="Arial"/>
          <w:sz w:val="14"/>
          <w:szCs w:val="14"/>
          <w:color w:val="auto"/>
        </w:rPr>
        <w:t>or</w:t>
      </w:r>
      <w:r>
        <w:rPr>
          <w:rFonts w:ascii="Arial" w:cs="Arial" w:eastAsia="Arial" w:hAnsi="Arial"/>
          <w:sz w:val="14"/>
          <w:szCs w:val="14"/>
          <w:b w:val="1"/>
          <w:bCs w:val="1"/>
          <w:color w:val="auto"/>
        </w:rPr>
        <w:t xml:space="preserve"> CRS </w:t>
      </w:r>
      <w:r>
        <w:rPr>
          <w:rFonts w:ascii="Arial" w:cs="Arial" w:eastAsia="Arial" w:hAnsi="Arial"/>
          <w:sz w:val="14"/>
          <w:szCs w:val="14"/>
          <w:color w:val="auto"/>
        </w:rPr>
        <w:t>- For purposes of this Servicing Order, “Cost Responsibility Surcharges” or “CRS” refers to DWR Charges imposed under</w:t>
      </w:r>
      <w:r>
        <w:rPr>
          <w:rFonts w:ascii="Arial" w:cs="Arial" w:eastAsia="Arial" w:hAnsi="Arial"/>
          <w:sz w:val="14"/>
          <w:szCs w:val="14"/>
          <w:b w:val="1"/>
          <w:bCs w:val="1"/>
          <w:color w:val="auto"/>
        </w:rPr>
        <w:t xml:space="preserve"> </w:t>
      </w:r>
      <w:r>
        <w:rPr>
          <w:rFonts w:ascii="Arial" w:cs="Arial" w:eastAsia="Arial" w:hAnsi="Arial"/>
          <w:sz w:val="14"/>
          <w:szCs w:val="14"/>
          <w:color w:val="auto"/>
        </w:rPr>
        <w:t>and pursuant to Applicable Law on Customers for the recovery of costs other than as related to the contemporaneous provisions of electrical products or services, including but not limited to (i) Bond Charge authorized or required to be imposed and (ii) any cost determined to be the ongoing DWR power charge component to be paid by such Customer or any other such similar charge. The Parties agree that under Applicable Commission Orders relating to Cost Responsibility Surcharges, the Commission has dealt with several other components to be collected by Utility, including such components which are the property of the Utility, and further agree that the use of the term Cost Responsibility Surcharges or CRS in this Servicing Order is only intended to include the components of CRS that are the property of DWR.</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Customer </w:t>
      </w:r>
      <w:r>
        <w:rPr>
          <w:rFonts w:ascii="Arial" w:cs="Arial" w:eastAsia="Arial" w:hAnsi="Arial"/>
          <w:sz w:val="17"/>
          <w:szCs w:val="17"/>
          <w:color w:val="auto"/>
        </w:rPr>
        <w:t>- A retail end-use customer that purchases (or is deemed to purchase) Aggregate Power, as established by Applicable Law.</w:t>
      </w:r>
    </w:p>
    <w:p>
      <w:pPr>
        <w:spacing w:after="0" w:line="156" w:lineRule="exact"/>
        <w:rPr>
          <w:sz w:val="20"/>
          <w:szCs w:val="20"/>
          <w:color w:val="auto"/>
        </w:rPr>
      </w:pPr>
    </w:p>
    <w:p>
      <w:pPr>
        <w:jc w:val="both"/>
        <w:ind w:firstLine="496"/>
        <w:spacing w:after="0" w:line="236" w:lineRule="auto"/>
        <w:rPr>
          <w:sz w:val="20"/>
          <w:szCs w:val="20"/>
          <w:color w:val="auto"/>
        </w:rPr>
      </w:pPr>
      <w:r>
        <w:rPr>
          <w:rFonts w:ascii="Arial" w:cs="Arial" w:eastAsia="Arial" w:hAnsi="Arial"/>
          <w:sz w:val="17"/>
          <w:szCs w:val="17"/>
          <w:b w:val="1"/>
          <w:bCs w:val="1"/>
          <w:color w:val="auto"/>
        </w:rPr>
        <w:t xml:space="preserve">Customer Generation Departing Load Customers or CGDL Customers </w:t>
      </w:r>
      <w:r>
        <w:rPr>
          <w:rFonts w:ascii="Arial" w:cs="Arial" w:eastAsia="Arial" w:hAnsi="Arial"/>
          <w:sz w:val="17"/>
          <w:szCs w:val="17"/>
          <w:color w:val="auto"/>
        </w:rPr>
        <w:t>- Customers who (a) discontinue or reduce their purchases of Utility or Direct Access</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(b) purchase or consume electricity supplied and delivered by “Customer Generation” to replace the Utility or Direct Access purchases; and (c) remain physically located at the same location or elsewhere within the Utility’s service territory, all as further provided in D.03-04-030 adopted on April 3, 2003, as such decision may be amended or supplemented from time to time.</w:t>
      </w:r>
    </w:p>
    <w:p>
      <w:pPr>
        <w:spacing w:after="0" w:line="141" w:lineRule="exact"/>
        <w:rPr>
          <w:sz w:val="20"/>
          <w:szCs w:val="20"/>
          <w:color w:val="auto"/>
        </w:rPr>
      </w:pPr>
    </w:p>
    <w:p>
      <w:pPr>
        <w:jc w:val="both"/>
        <w:ind w:firstLine="496"/>
        <w:spacing w:after="0" w:line="250" w:lineRule="auto"/>
        <w:rPr>
          <w:sz w:val="20"/>
          <w:szCs w:val="20"/>
          <w:color w:val="auto"/>
        </w:rPr>
      </w:pPr>
      <w:r>
        <w:rPr>
          <w:rFonts w:ascii="Arial" w:cs="Arial" w:eastAsia="Arial" w:hAnsi="Arial"/>
          <w:sz w:val="17"/>
          <w:szCs w:val="17"/>
          <w:b w:val="1"/>
          <w:bCs w:val="1"/>
          <w:color w:val="auto"/>
        </w:rPr>
        <w:t xml:space="preserve">Customer Type </w:t>
      </w:r>
      <w:r>
        <w:rPr>
          <w:rFonts w:ascii="Arial" w:cs="Arial" w:eastAsia="Arial" w:hAnsi="Arial"/>
          <w:sz w:val="17"/>
          <w:szCs w:val="17"/>
          <w:color w:val="auto"/>
        </w:rPr>
        <w:t>- Refers to Customers who may be Bundled Customers, Direct Access Customers, Customer Generation Departing Load Customers, Municipal</w:t>
      </w:r>
      <w:r>
        <w:rPr>
          <w:rFonts w:ascii="Arial" w:cs="Arial" w:eastAsia="Arial" w:hAnsi="Arial"/>
          <w:sz w:val="17"/>
          <w:szCs w:val="17"/>
          <w:b w:val="1"/>
          <w:bCs w:val="1"/>
          <w:color w:val="auto"/>
        </w:rPr>
        <w:t xml:space="preserve"> </w:t>
      </w:r>
      <w:r>
        <w:rPr>
          <w:rFonts w:ascii="Arial" w:cs="Arial" w:eastAsia="Arial" w:hAnsi="Arial"/>
          <w:sz w:val="17"/>
          <w:szCs w:val="17"/>
          <w:color w:val="auto"/>
        </w:rPr>
        <w:t>Departing Load Customers or Community Choice Aggregation Customers.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Daily Remittance </w:t>
      </w:r>
      <w:r>
        <w:rPr>
          <w:rFonts w:ascii="Arial" w:cs="Arial" w:eastAsia="Arial" w:hAnsi="Arial"/>
          <w:sz w:val="17"/>
          <w:szCs w:val="17"/>
          <w:color w:val="auto"/>
        </w:rPr>
        <w:t>- Daily Remittance shall have the meaning set forth in Attachment B hereto.</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 xml:space="preserve">Daily Remittance Report </w:t>
      </w:r>
      <w:r>
        <w:rPr>
          <w:rFonts w:ascii="Arial" w:cs="Arial" w:eastAsia="Arial" w:hAnsi="Arial"/>
          <w:sz w:val="14"/>
          <w:szCs w:val="14"/>
          <w:color w:val="auto"/>
        </w:rPr>
        <w:t>- Daily Remittance Report shall have the meaning set forth in Attachment B hereto and shall be in the form set forth in Attachment C</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hereto.</w:t>
      </w:r>
    </w:p>
    <w:p>
      <w:pPr>
        <w:spacing w:after="0" w:line="138" w:lineRule="exact"/>
        <w:rPr>
          <w:sz w:val="20"/>
          <w:szCs w:val="20"/>
          <w:color w:val="auto"/>
        </w:rPr>
      </w:pPr>
    </w:p>
    <w:p>
      <w:pPr>
        <w:jc w:val="both"/>
        <w:ind w:firstLine="496"/>
        <w:spacing w:after="0" w:line="250" w:lineRule="auto"/>
        <w:rPr>
          <w:sz w:val="20"/>
          <w:szCs w:val="20"/>
          <w:color w:val="auto"/>
        </w:rPr>
      </w:pPr>
      <w:r>
        <w:rPr>
          <w:rFonts w:ascii="Arial" w:cs="Arial" w:eastAsia="Arial" w:hAnsi="Arial"/>
          <w:sz w:val="17"/>
          <w:szCs w:val="17"/>
          <w:b w:val="1"/>
          <w:bCs w:val="1"/>
          <w:color w:val="auto"/>
        </w:rPr>
        <w:t xml:space="preserve">Day-Ahead Market </w:t>
      </w:r>
      <w:r>
        <w:rPr>
          <w:rFonts w:ascii="Arial" w:cs="Arial" w:eastAsia="Arial" w:hAnsi="Arial"/>
          <w:sz w:val="17"/>
          <w:szCs w:val="17"/>
          <w:color w:val="auto"/>
        </w:rPr>
        <w:t>- The daily ISO forward market for which energy and ancillary services are scheduled for delivery on the following calendar day, as such</w:t>
      </w:r>
      <w:r>
        <w:rPr>
          <w:rFonts w:ascii="Arial" w:cs="Arial" w:eastAsia="Arial" w:hAnsi="Arial"/>
          <w:sz w:val="17"/>
          <w:szCs w:val="17"/>
          <w:b w:val="1"/>
          <w:bCs w:val="1"/>
          <w:color w:val="auto"/>
        </w:rPr>
        <w:t xml:space="preserve"> </w:t>
      </w:r>
      <w:r>
        <w:rPr>
          <w:rFonts w:ascii="Arial" w:cs="Arial" w:eastAsia="Arial" w:hAnsi="Arial"/>
          <w:sz w:val="17"/>
          <w:szCs w:val="17"/>
          <w:color w:val="auto"/>
        </w:rPr>
        <w:t>market operated prior to the MRTU Effective Date.</w:t>
      </w:r>
    </w:p>
    <w:p>
      <w:pPr>
        <w:spacing w:after="0" w:line="130" w:lineRule="exact"/>
        <w:rPr>
          <w:sz w:val="20"/>
          <w:szCs w:val="20"/>
          <w:color w:val="auto"/>
        </w:rPr>
      </w:pPr>
    </w:p>
    <w:p>
      <w:pPr>
        <w:jc w:val="both"/>
        <w:ind w:firstLine="496"/>
        <w:spacing w:after="0" w:line="250" w:lineRule="auto"/>
        <w:rPr>
          <w:sz w:val="20"/>
          <w:szCs w:val="20"/>
          <w:color w:val="auto"/>
        </w:rPr>
      </w:pPr>
      <w:r>
        <w:rPr>
          <w:rFonts w:ascii="Arial" w:cs="Arial" w:eastAsia="Arial" w:hAnsi="Arial"/>
          <w:sz w:val="17"/>
          <w:szCs w:val="17"/>
          <w:b w:val="1"/>
          <w:bCs w:val="1"/>
          <w:color w:val="auto"/>
        </w:rPr>
        <w:t xml:space="preserve">Delinquent Payment </w:t>
      </w:r>
      <w:r>
        <w:rPr>
          <w:rFonts w:ascii="Arial" w:cs="Arial" w:eastAsia="Arial" w:hAnsi="Arial"/>
          <w:sz w:val="17"/>
          <w:szCs w:val="17"/>
          <w:color w:val="auto"/>
        </w:rPr>
        <w:t>- Delinquent Payment shall mean the payment of any amount due under this Servicing Order after the time when payment is required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made hereunder, as further described and/or limited hereunder.</w:t>
      </w:r>
    </w:p>
    <w:p>
      <w:pPr>
        <w:spacing w:after="0" w:line="130" w:lineRule="exact"/>
        <w:rPr>
          <w:sz w:val="20"/>
          <w:szCs w:val="20"/>
          <w:color w:val="auto"/>
        </w:rPr>
      </w:pPr>
    </w:p>
    <w:p>
      <w:pPr>
        <w:jc w:val="both"/>
        <w:ind w:firstLine="496"/>
        <w:spacing w:after="0" w:line="250" w:lineRule="auto"/>
        <w:rPr>
          <w:sz w:val="20"/>
          <w:szCs w:val="20"/>
          <w:color w:val="auto"/>
        </w:rPr>
      </w:pPr>
      <w:r>
        <w:rPr>
          <w:rFonts w:ascii="Arial" w:cs="Arial" w:eastAsia="Arial" w:hAnsi="Arial"/>
          <w:sz w:val="17"/>
          <w:szCs w:val="17"/>
          <w:b w:val="1"/>
          <w:bCs w:val="1"/>
          <w:color w:val="auto"/>
        </w:rPr>
        <w:t xml:space="preserve">Direct Access Customers or DA Customers </w:t>
      </w:r>
      <w:r>
        <w:rPr>
          <w:rFonts w:ascii="Arial" w:cs="Arial" w:eastAsia="Arial" w:hAnsi="Arial"/>
          <w:sz w:val="17"/>
          <w:szCs w:val="17"/>
          <w:color w:val="auto"/>
        </w:rPr>
        <w:t>- Customers who subscribe to direct access service from Electric Service Providers, all as further provided in D.02-03-055 adopted on March 21, 2002, as such decision may be amended or supplemented from time to time.</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Discloser </w:t>
      </w:r>
      <w:r>
        <w:rPr>
          <w:rFonts w:ascii="Arial" w:cs="Arial" w:eastAsia="Arial" w:hAnsi="Arial"/>
          <w:sz w:val="17"/>
          <w:szCs w:val="17"/>
          <w:color w:val="auto"/>
        </w:rPr>
        <w:t>- Discloser shall have the meaning set forth in Section 6.1(c).</w:t>
      </w:r>
    </w:p>
    <w:p>
      <w:pPr>
        <w:spacing w:after="0" w:line="156" w:lineRule="exact"/>
        <w:rPr>
          <w:sz w:val="20"/>
          <w:szCs w:val="20"/>
          <w:color w:val="auto"/>
        </w:rPr>
      </w:pPr>
    </w:p>
    <w:p>
      <w:pPr>
        <w:jc w:val="both"/>
        <w:ind w:firstLine="496"/>
        <w:spacing w:after="0" w:line="250" w:lineRule="auto"/>
        <w:rPr>
          <w:sz w:val="20"/>
          <w:szCs w:val="20"/>
          <w:color w:val="auto"/>
        </w:rPr>
      </w:pPr>
      <w:r>
        <w:rPr>
          <w:rFonts w:ascii="Arial" w:cs="Arial" w:eastAsia="Arial" w:hAnsi="Arial"/>
          <w:sz w:val="17"/>
          <w:szCs w:val="17"/>
          <w:b w:val="1"/>
          <w:bCs w:val="1"/>
          <w:color w:val="auto"/>
        </w:rPr>
        <w:t xml:space="preserve">DWR Charges </w:t>
      </w:r>
      <w:r>
        <w:rPr>
          <w:rFonts w:ascii="Arial" w:cs="Arial" w:eastAsia="Arial" w:hAnsi="Arial"/>
          <w:sz w:val="17"/>
          <w:szCs w:val="17"/>
          <w:color w:val="auto"/>
        </w:rPr>
        <w:t>- Bond Charges, Power Charges and any other amounts authorized to be collected from Customers pursuant to the Rate Agreement,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Commission Orders and Applicable Law in order to meet DWR’s revenue requirements under the Act.</w:t>
      </w:r>
    </w:p>
    <w:p>
      <w:pPr>
        <w:spacing w:after="0" w:line="130" w:lineRule="exact"/>
        <w:rPr>
          <w:sz w:val="20"/>
          <w:szCs w:val="20"/>
          <w:color w:val="auto"/>
        </w:rPr>
      </w:pPr>
    </w:p>
    <w:p>
      <w:pPr>
        <w:jc w:val="both"/>
        <w:ind w:firstLine="496"/>
        <w:spacing w:after="0" w:line="250" w:lineRule="auto"/>
        <w:rPr>
          <w:sz w:val="20"/>
          <w:szCs w:val="20"/>
          <w:color w:val="auto"/>
        </w:rPr>
      </w:pPr>
      <w:r>
        <w:rPr>
          <w:rFonts w:ascii="Arial" w:cs="Arial" w:eastAsia="Arial" w:hAnsi="Arial"/>
          <w:sz w:val="17"/>
          <w:szCs w:val="17"/>
          <w:b w:val="1"/>
          <w:bCs w:val="1"/>
          <w:color w:val="auto"/>
        </w:rPr>
        <w:t xml:space="preserve">DWR Power </w:t>
      </w:r>
      <w:r>
        <w:rPr>
          <w:rFonts w:ascii="Arial" w:cs="Arial" w:eastAsia="Arial" w:hAnsi="Arial"/>
          <w:sz w:val="17"/>
          <w:szCs w:val="17"/>
          <w:color w:val="auto"/>
        </w:rPr>
        <w:t>- The electric power and energy, including but not limited to capacity and output, supplied by DWR to Bundled Customers pursuant to the Act,</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Commission Orders and State and federal law.</w:t>
      </w:r>
    </w:p>
    <w:p>
      <w:pPr>
        <w:spacing w:after="0" w:line="130" w:lineRule="exact"/>
        <w:rPr>
          <w:sz w:val="20"/>
          <w:szCs w:val="20"/>
          <w:color w:val="auto"/>
        </w:rPr>
      </w:pPr>
    </w:p>
    <w:p>
      <w:pPr>
        <w:jc w:val="both"/>
        <w:ind w:firstLine="496"/>
        <w:spacing w:after="0" w:line="250" w:lineRule="auto"/>
        <w:rPr>
          <w:sz w:val="20"/>
          <w:szCs w:val="20"/>
          <w:color w:val="auto"/>
        </w:rPr>
      </w:pPr>
      <w:r>
        <w:rPr>
          <w:rFonts w:ascii="Arial" w:cs="Arial" w:eastAsia="Arial" w:hAnsi="Arial"/>
          <w:sz w:val="17"/>
          <w:szCs w:val="17"/>
          <w:b w:val="1"/>
          <w:bCs w:val="1"/>
          <w:color w:val="auto"/>
        </w:rPr>
        <w:t xml:space="preserve">DWR Revenues </w:t>
      </w:r>
      <w:r>
        <w:rPr>
          <w:rFonts w:ascii="Arial" w:cs="Arial" w:eastAsia="Arial" w:hAnsi="Arial"/>
          <w:sz w:val="17"/>
          <w:szCs w:val="17"/>
          <w:color w:val="auto"/>
        </w:rPr>
        <w:t>- Those DWR Charges collected from Customers required to be remitted to DWR through Utility Bills or Non-Utility Bills, as the case may be,</w:t>
      </w:r>
      <w:r>
        <w:rPr>
          <w:rFonts w:ascii="Arial" w:cs="Arial" w:eastAsia="Arial" w:hAnsi="Arial"/>
          <w:sz w:val="17"/>
          <w:szCs w:val="17"/>
          <w:b w:val="1"/>
          <w:bCs w:val="1"/>
          <w:color w:val="auto"/>
        </w:rPr>
        <w:t xml:space="preserve"> </w:t>
      </w:r>
      <w:r>
        <w:rPr>
          <w:rFonts w:ascii="Arial" w:cs="Arial" w:eastAsia="Arial" w:hAnsi="Arial"/>
          <w:sz w:val="17"/>
          <w:szCs w:val="17"/>
          <w:color w:val="auto"/>
        </w:rPr>
        <w:t>and, prior to the MRTU Effective Date, DWR Surplus Energy Sales Revenues.</w:t>
      </w:r>
    </w:p>
    <w:p>
      <w:pPr>
        <w:spacing w:after="0" w:line="130" w:lineRule="exact"/>
        <w:rPr>
          <w:sz w:val="20"/>
          <w:szCs w:val="20"/>
          <w:color w:val="auto"/>
        </w:rPr>
      </w:pPr>
    </w:p>
    <w:p>
      <w:pPr>
        <w:jc w:val="both"/>
        <w:ind w:firstLine="496"/>
        <w:spacing w:after="0" w:line="250" w:lineRule="auto"/>
        <w:rPr>
          <w:sz w:val="20"/>
          <w:szCs w:val="20"/>
          <w:color w:val="auto"/>
        </w:rPr>
      </w:pPr>
      <w:r>
        <w:rPr>
          <w:rFonts w:ascii="Arial" w:cs="Arial" w:eastAsia="Arial" w:hAnsi="Arial"/>
          <w:sz w:val="17"/>
          <w:szCs w:val="17"/>
          <w:b w:val="1"/>
          <w:bCs w:val="1"/>
          <w:color w:val="auto"/>
        </w:rPr>
        <w:t xml:space="preserve">DWR Surplus Energy Sales Revenues </w:t>
      </w:r>
      <w:r>
        <w:rPr>
          <w:rFonts w:ascii="Arial" w:cs="Arial" w:eastAsia="Arial" w:hAnsi="Arial"/>
          <w:sz w:val="17"/>
          <w:szCs w:val="17"/>
          <w:color w:val="auto"/>
        </w:rPr>
        <w:t>or</w:t>
      </w:r>
      <w:r>
        <w:rPr>
          <w:rFonts w:ascii="Arial" w:cs="Arial" w:eastAsia="Arial" w:hAnsi="Arial"/>
          <w:sz w:val="17"/>
          <w:szCs w:val="17"/>
          <w:b w:val="1"/>
          <w:bCs w:val="1"/>
          <w:color w:val="auto"/>
        </w:rPr>
        <w:t xml:space="preserve"> Surplus Revenues </w:t>
      </w:r>
      <w:r>
        <w:rPr>
          <w:rFonts w:ascii="Arial" w:cs="Arial" w:eastAsia="Arial" w:hAnsi="Arial"/>
          <w:sz w:val="17"/>
          <w:szCs w:val="17"/>
          <w:color w:val="auto"/>
        </w:rPr>
        <w:t>- Revenues received by Utility for the sale of surplus Power to third parties that Utility is required to</w:t>
      </w:r>
      <w:r>
        <w:rPr>
          <w:rFonts w:ascii="Arial" w:cs="Arial" w:eastAsia="Arial" w:hAnsi="Arial"/>
          <w:sz w:val="17"/>
          <w:szCs w:val="17"/>
          <w:b w:val="1"/>
          <w:bCs w:val="1"/>
          <w:color w:val="auto"/>
        </w:rPr>
        <w:t xml:space="preserve"> </w:t>
      </w:r>
      <w:r>
        <w:rPr>
          <w:rFonts w:ascii="Arial" w:cs="Arial" w:eastAsia="Arial" w:hAnsi="Arial"/>
          <w:sz w:val="17"/>
          <w:szCs w:val="17"/>
          <w:color w:val="auto"/>
        </w:rPr>
        <w:t>remit to DWR, consistent with the Contract Allocation Order and Exhibit C of the Operating Order, prior to the MRTU Effective Date.</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DWR’s Agent </w:t>
      </w:r>
      <w:r>
        <w:rPr>
          <w:rFonts w:ascii="Arial" w:cs="Arial" w:eastAsia="Arial" w:hAnsi="Arial"/>
          <w:sz w:val="17"/>
          <w:szCs w:val="17"/>
          <w:color w:val="auto"/>
        </w:rPr>
        <w:t>- DWR’s Agent shall have the meaning set forth in Section 8.2(b).</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Effective Date </w:t>
      </w:r>
      <w:r>
        <w:rPr>
          <w:rFonts w:ascii="Arial" w:cs="Arial" w:eastAsia="Arial" w:hAnsi="Arial"/>
          <w:sz w:val="17"/>
          <w:szCs w:val="17"/>
          <w:color w:val="auto"/>
        </w:rPr>
        <w:t>- The date this Servicing Order is effective in accordance with Section 14.16, as such date is set forth on the cover page hereof.</w:t>
      </w:r>
    </w:p>
    <w:p>
      <w:pPr>
        <w:spacing w:after="0" w:line="156" w:lineRule="exact"/>
        <w:rPr>
          <w:sz w:val="20"/>
          <w:szCs w:val="20"/>
          <w:color w:val="auto"/>
        </w:rPr>
      </w:pPr>
    </w:p>
    <w:p>
      <w:pPr>
        <w:jc w:val="both"/>
        <w:ind w:firstLine="496"/>
        <w:spacing w:after="0" w:line="250" w:lineRule="auto"/>
        <w:rPr>
          <w:sz w:val="20"/>
          <w:szCs w:val="20"/>
          <w:color w:val="auto"/>
        </w:rPr>
      </w:pPr>
      <w:r>
        <w:rPr>
          <w:rFonts w:ascii="Arial" w:cs="Arial" w:eastAsia="Arial" w:hAnsi="Arial"/>
          <w:sz w:val="17"/>
          <w:szCs w:val="17"/>
          <w:b w:val="1"/>
          <w:bCs w:val="1"/>
          <w:color w:val="auto"/>
        </w:rPr>
        <w:t xml:space="preserve">Electrical Corporation </w:t>
      </w:r>
      <w:r>
        <w:rPr>
          <w:rFonts w:ascii="Arial" w:cs="Arial" w:eastAsia="Arial" w:hAnsi="Arial"/>
          <w:sz w:val="17"/>
          <w:szCs w:val="17"/>
          <w:color w:val="auto"/>
        </w:rPr>
        <w:t>- Electrical Corporation shall have the meaning ascribed thereto in Section 218 of the Public Utilities Code, including any successor and</w:t>
      </w:r>
      <w:r>
        <w:rPr>
          <w:rFonts w:ascii="Arial" w:cs="Arial" w:eastAsia="Arial" w:hAnsi="Arial"/>
          <w:sz w:val="17"/>
          <w:szCs w:val="17"/>
          <w:b w:val="1"/>
          <w:bCs w:val="1"/>
          <w:color w:val="auto"/>
        </w:rPr>
        <w:t xml:space="preserve"> </w:t>
      </w:r>
      <w:r>
        <w:rPr>
          <w:rFonts w:ascii="Arial" w:cs="Arial" w:eastAsia="Arial" w:hAnsi="Arial"/>
          <w:sz w:val="17"/>
          <w:szCs w:val="17"/>
          <w:color w:val="auto"/>
        </w:rPr>
        <w:t>assign thereof.</w:t>
      </w:r>
    </w:p>
    <w:p>
      <w:pPr>
        <w:sectPr>
          <w:pgSz w:w="11900" w:h="16838" w:orient="portrait"/>
          <w:cols w:equalWidth="0" w:num="1">
            <w:col w:w="11460"/>
          </w:cols>
          <w:pgMar w:left="220" w:top="118" w:right="219" w:bottom="0" w:gutter="0" w:footer="0" w:header="0"/>
        </w:sectPr>
      </w:pPr>
    </w:p>
    <w:bookmarkStart w:id="107" w:name="page108"/>
    <w:bookmarkEnd w:id="107"/>
    <w:p>
      <w:pPr>
        <w:jc w:val="both"/>
        <w:ind w:firstLine="496"/>
        <w:spacing w:after="0" w:line="235" w:lineRule="auto"/>
        <w:rPr>
          <w:sz w:val="20"/>
          <w:szCs w:val="20"/>
          <w:color w:val="auto"/>
        </w:rPr>
      </w:pPr>
      <w:r>
        <w:rPr>
          <w:rFonts w:ascii="Arial" w:cs="Arial" w:eastAsia="Arial" w:hAnsi="Arial"/>
          <w:sz w:val="17"/>
          <w:szCs w:val="17"/>
          <w:b w:val="1"/>
          <w:bCs w:val="1"/>
          <w:color w:val="auto"/>
        </w:rPr>
        <w:t xml:space="preserve">Electric Service Provider </w:t>
      </w:r>
      <w:r>
        <w:rPr>
          <w:rFonts w:ascii="Arial" w:cs="Arial" w:eastAsia="Arial" w:hAnsi="Arial"/>
          <w:sz w:val="17"/>
          <w:szCs w:val="17"/>
          <w:color w:val="auto"/>
        </w:rPr>
        <w:t>or</w:t>
      </w:r>
      <w:r>
        <w:rPr>
          <w:rFonts w:ascii="Arial" w:cs="Arial" w:eastAsia="Arial" w:hAnsi="Arial"/>
          <w:sz w:val="17"/>
          <w:szCs w:val="17"/>
          <w:b w:val="1"/>
          <w:bCs w:val="1"/>
          <w:color w:val="auto"/>
        </w:rPr>
        <w:t xml:space="preserve"> ESP </w:t>
      </w:r>
      <w:r>
        <w:rPr>
          <w:rFonts w:ascii="Arial" w:cs="Arial" w:eastAsia="Arial" w:hAnsi="Arial"/>
          <w:sz w:val="17"/>
          <w:szCs w:val="17"/>
          <w:color w:val="auto"/>
        </w:rPr>
        <w:t>- Electric Service Provider means an entity that provides electrical service to one or more retail customers located within the</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Areas of Pacific Gas and Electric Company, Southern California Edison Company, or San Diego Gas &amp; Electric Company or any of their respective successors, except that Electric Service Provider excludes: DWR, any other public agency to the extent that it offers electrical service to customers within its jurisdiction or within the service territory of a local publicly owned electric utility, and Electrical Corporations. Electric Service Provider includes the unregulated affiliates and subsidiaries of an Electrical Corporation.</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ESP Customers </w:t>
      </w:r>
      <w:r>
        <w:rPr>
          <w:rFonts w:ascii="Arial" w:cs="Arial" w:eastAsia="Arial" w:hAnsi="Arial"/>
          <w:sz w:val="17"/>
          <w:szCs w:val="17"/>
          <w:color w:val="auto"/>
        </w:rPr>
        <w:t>- Customers served by ESP Power.</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ESP Power </w:t>
      </w:r>
      <w:r>
        <w:rPr>
          <w:rFonts w:ascii="Arial" w:cs="Arial" w:eastAsia="Arial" w:hAnsi="Arial"/>
          <w:sz w:val="17"/>
          <w:szCs w:val="17"/>
          <w:color w:val="auto"/>
        </w:rPr>
        <w:t>- Power provided by an Electric Service Provider to Customers.</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Event of Default </w:t>
      </w:r>
      <w:r>
        <w:rPr>
          <w:rFonts w:ascii="Arial" w:cs="Arial" w:eastAsia="Arial" w:hAnsi="Arial"/>
          <w:sz w:val="17"/>
          <w:szCs w:val="17"/>
          <w:color w:val="auto"/>
        </w:rPr>
        <w:t>- Event of Default shall have the meaning set forth in Section 5.2.</w:t>
      </w:r>
    </w:p>
    <w:p>
      <w:pPr>
        <w:spacing w:after="0" w:line="156" w:lineRule="exact"/>
        <w:rPr>
          <w:sz w:val="20"/>
          <w:szCs w:val="20"/>
          <w:color w:val="auto"/>
        </w:rPr>
      </w:pPr>
    </w:p>
    <w:p>
      <w:pPr>
        <w:jc w:val="both"/>
        <w:ind w:firstLine="496"/>
        <w:spacing w:after="0" w:line="250" w:lineRule="auto"/>
        <w:rPr>
          <w:sz w:val="20"/>
          <w:szCs w:val="20"/>
          <w:color w:val="auto"/>
        </w:rPr>
      </w:pPr>
      <w:r>
        <w:rPr>
          <w:rFonts w:ascii="Arial" w:cs="Arial" w:eastAsia="Arial" w:hAnsi="Arial"/>
          <w:sz w:val="17"/>
          <w:szCs w:val="17"/>
          <w:b w:val="1"/>
          <w:bCs w:val="1"/>
          <w:color w:val="auto"/>
        </w:rPr>
        <w:t xml:space="preserve">Final Hour-Ahead Schedule </w:t>
      </w:r>
      <w:r>
        <w:rPr>
          <w:rFonts w:ascii="Arial" w:cs="Arial" w:eastAsia="Arial" w:hAnsi="Arial"/>
          <w:sz w:val="17"/>
          <w:szCs w:val="17"/>
          <w:color w:val="auto"/>
        </w:rPr>
        <w:t>- The final schedule of DWR Power submitted by DWR and Utility and published by the ISO for the Hour-Ahead Market, prior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MRTU Effective Date.</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Fund </w:t>
      </w:r>
      <w:r>
        <w:rPr>
          <w:rFonts w:ascii="Arial" w:cs="Arial" w:eastAsia="Arial" w:hAnsi="Arial"/>
          <w:sz w:val="17"/>
          <w:szCs w:val="17"/>
          <w:color w:val="auto"/>
        </w:rPr>
        <w:t>- Fund shall have the meaning set forth in Section 13.2.</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Fund Type </w:t>
      </w:r>
      <w:r>
        <w:rPr>
          <w:rFonts w:ascii="Arial" w:cs="Arial" w:eastAsia="Arial" w:hAnsi="Arial"/>
          <w:sz w:val="17"/>
          <w:szCs w:val="17"/>
          <w:color w:val="auto"/>
        </w:rPr>
        <w:t>- Refers to Bond Charges or Power Charges.</w:t>
      </w:r>
    </w:p>
    <w:p>
      <w:pPr>
        <w:spacing w:after="0" w:line="156" w:lineRule="exact"/>
        <w:rPr>
          <w:sz w:val="20"/>
          <w:szCs w:val="20"/>
          <w:color w:val="auto"/>
        </w:rPr>
      </w:pPr>
    </w:p>
    <w:p>
      <w:pPr>
        <w:jc w:val="both"/>
        <w:ind w:firstLine="496"/>
        <w:spacing w:after="0" w:line="250" w:lineRule="auto"/>
        <w:rPr>
          <w:sz w:val="20"/>
          <w:szCs w:val="20"/>
          <w:color w:val="auto"/>
        </w:rPr>
      </w:pPr>
      <w:r>
        <w:rPr>
          <w:rFonts w:ascii="Arial" w:cs="Arial" w:eastAsia="Arial" w:hAnsi="Arial"/>
          <w:sz w:val="17"/>
          <w:szCs w:val="17"/>
          <w:b w:val="1"/>
          <w:bCs w:val="1"/>
          <w:color w:val="auto"/>
        </w:rPr>
        <w:t xml:space="preserve">Governmental Authority </w:t>
      </w:r>
      <w:r>
        <w:rPr>
          <w:rFonts w:ascii="Arial" w:cs="Arial" w:eastAsia="Arial" w:hAnsi="Arial"/>
          <w:sz w:val="17"/>
          <w:szCs w:val="17"/>
          <w:color w:val="auto"/>
        </w:rPr>
        <w:t>- Any nation or government, any state or other political subdivision thereof, and any entity exercising executive, legislative, judicial,</w:t>
      </w:r>
      <w:r>
        <w:rPr>
          <w:rFonts w:ascii="Arial" w:cs="Arial" w:eastAsia="Arial" w:hAnsi="Arial"/>
          <w:sz w:val="17"/>
          <w:szCs w:val="17"/>
          <w:b w:val="1"/>
          <w:bCs w:val="1"/>
          <w:color w:val="auto"/>
        </w:rPr>
        <w:t xml:space="preserve"> </w:t>
      </w:r>
      <w:r>
        <w:rPr>
          <w:rFonts w:ascii="Arial" w:cs="Arial" w:eastAsia="Arial" w:hAnsi="Arial"/>
          <w:sz w:val="17"/>
          <w:szCs w:val="17"/>
          <w:color w:val="auto"/>
        </w:rPr>
        <w:t>regulatory or administrative functions of or pertaining to a government, including the Commission.</w:t>
      </w:r>
    </w:p>
    <w:p>
      <w:pPr>
        <w:spacing w:after="0" w:line="130" w:lineRule="exact"/>
        <w:rPr>
          <w:sz w:val="20"/>
          <w:szCs w:val="20"/>
          <w:color w:val="auto"/>
        </w:rPr>
      </w:pPr>
    </w:p>
    <w:p>
      <w:pPr>
        <w:jc w:val="both"/>
        <w:ind w:firstLine="496"/>
        <w:spacing w:after="0" w:line="355" w:lineRule="auto"/>
        <w:rPr>
          <w:sz w:val="20"/>
          <w:szCs w:val="20"/>
          <w:color w:val="auto"/>
        </w:rPr>
      </w:pPr>
      <w:r>
        <w:rPr>
          <w:rFonts w:ascii="Arial" w:cs="Arial" w:eastAsia="Arial" w:hAnsi="Arial"/>
          <w:sz w:val="14"/>
          <w:szCs w:val="14"/>
          <w:b w:val="1"/>
          <w:bCs w:val="1"/>
          <w:color w:val="auto"/>
        </w:rPr>
        <w:t xml:space="preserve">Governmental Program </w:t>
      </w:r>
      <w:r>
        <w:rPr>
          <w:rFonts w:ascii="Arial" w:cs="Arial" w:eastAsia="Arial" w:hAnsi="Arial"/>
          <w:sz w:val="14"/>
          <w:szCs w:val="14"/>
          <w:color w:val="auto"/>
        </w:rPr>
        <w:t>- Any program or directive established by Applicable Law which directly or indirectly affects the rights or obligations of the Parties under</w:t>
      </w:r>
      <w:r>
        <w:rPr>
          <w:rFonts w:ascii="Arial" w:cs="Arial" w:eastAsia="Arial" w:hAnsi="Arial"/>
          <w:sz w:val="14"/>
          <w:szCs w:val="14"/>
          <w:b w:val="1"/>
          <w:bCs w:val="1"/>
          <w:color w:val="auto"/>
        </w:rPr>
        <w:t xml:space="preserve"> </w:t>
      </w:r>
      <w:r>
        <w:rPr>
          <w:rFonts w:ascii="Arial" w:cs="Arial" w:eastAsia="Arial" w:hAnsi="Arial"/>
          <w:sz w:val="14"/>
          <w:szCs w:val="14"/>
          <w:color w:val="auto"/>
        </w:rPr>
        <w:t>this Servicing Order and which obligates or authorizes DWR to make payments or give credits to Customers or other third parties under such programs or directives.</w:t>
      </w:r>
    </w:p>
    <w:p>
      <w:pPr>
        <w:spacing w:after="0" w:line="61" w:lineRule="exact"/>
        <w:rPr>
          <w:sz w:val="20"/>
          <w:szCs w:val="20"/>
          <w:color w:val="auto"/>
        </w:rPr>
      </w:pPr>
    </w:p>
    <w:p>
      <w:pPr>
        <w:jc w:val="both"/>
        <w:ind w:firstLine="496"/>
        <w:spacing w:after="0" w:line="250" w:lineRule="auto"/>
        <w:rPr>
          <w:sz w:val="20"/>
          <w:szCs w:val="20"/>
          <w:color w:val="auto"/>
        </w:rPr>
      </w:pPr>
      <w:r>
        <w:rPr>
          <w:rFonts w:ascii="Arial" w:cs="Arial" w:eastAsia="Arial" w:hAnsi="Arial"/>
          <w:sz w:val="17"/>
          <w:szCs w:val="17"/>
          <w:b w:val="1"/>
          <w:bCs w:val="1"/>
          <w:color w:val="auto"/>
        </w:rPr>
        <w:t xml:space="preserve">Hour-Ahead Market </w:t>
      </w:r>
      <w:r>
        <w:rPr>
          <w:rFonts w:ascii="Arial" w:cs="Arial" w:eastAsia="Arial" w:hAnsi="Arial"/>
          <w:sz w:val="17"/>
          <w:szCs w:val="17"/>
          <w:color w:val="auto"/>
        </w:rPr>
        <w:t>- The ISO forward market for which energy and ancillary services are scheduled for subsequent hours for delivery on the current calendar day,</w:t>
      </w:r>
      <w:r>
        <w:rPr>
          <w:rFonts w:ascii="Arial" w:cs="Arial" w:eastAsia="Arial" w:hAnsi="Arial"/>
          <w:sz w:val="17"/>
          <w:szCs w:val="17"/>
          <w:b w:val="1"/>
          <w:bCs w:val="1"/>
          <w:color w:val="auto"/>
        </w:rPr>
        <w:t xml:space="preserve"> </w:t>
      </w:r>
      <w:r>
        <w:rPr>
          <w:rFonts w:ascii="Arial" w:cs="Arial" w:eastAsia="Arial" w:hAnsi="Arial"/>
          <w:sz w:val="17"/>
          <w:szCs w:val="17"/>
          <w:color w:val="auto"/>
        </w:rPr>
        <w:t>as such market operated prior to the MRTU Effective Date.</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Indemnified Pa</w:t>
      </w:r>
      <w:r>
        <w:rPr>
          <w:rFonts w:ascii="Arial" w:cs="Arial" w:eastAsia="Arial" w:hAnsi="Arial"/>
          <w:sz w:val="17"/>
          <w:szCs w:val="17"/>
          <w:color w:val="auto"/>
        </w:rPr>
        <w:t>r</w:t>
      </w:r>
      <w:r>
        <w:rPr>
          <w:rFonts w:ascii="Arial" w:cs="Arial" w:eastAsia="Arial" w:hAnsi="Arial"/>
          <w:sz w:val="17"/>
          <w:szCs w:val="17"/>
          <w:b w:val="1"/>
          <w:bCs w:val="1"/>
          <w:color w:val="auto"/>
        </w:rPr>
        <w:t xml:space="preserve">ty </w:t>
      </w:r>
      <w:r>
        <w:rPr>
          <w:rFonts w:ascii="Arial" w:cs="Arial" w:eastAsia="Arial" w:hAnsi="Arial"/>
          <w:sz w:val="17"/>
          <w:szCs w:val="17"/>
          <w:color w:val="auto"/>
        </w:rPr>
        <w:t>- Indemnified Party shall have the meaning set forth in Section 12.</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Indemnifying Party </w:t>
      </w:r>
      <w:r>
        <w:rPr>
          <w:rFonts w:ascii="Arial" w:cs="Arial" w:eastAsia="Arial" w:hAnsi="Arial"/>
          <w:sz w:val="17"/>
          <w:szCs w:val="17"/>
          <w:color w:val="auto"/>
        </w:rPr>
        <w:t>- Indemnifying Party shall have the meaning set forth in Section 12.</w:t>
      </w:r>
    </w:p>
    <w:p>
      <w:pPr>
        <w:spacing w:after="0" w:line="156" w:lineRule="exact"/>
        <w:rPr>
          <w:sz w:val="20"/>
          <w:szCs w:val="20"/>
          <w:color w:val="auto"/>
        </w:rPr>
      </w:pPr>
    </w:p>
    <w:p>
      <w:pPr>
        <w:jc w:val="both"/>
        <w:ind w:firstLine="496"/>
        <w:spacing w:after="0" w:line="248" w:lineRule="auto"/>
        <w:rPr>
          <w:sz w:val="20"/>
          <w:szCs w:val="20"/>
          <w:color w:val="auto"/>
        </w:rPr>
      </w:pPr>
      <w:r>
        <w:rPr>
          <w:rFonts w:ascii="Arial" w:cs="Arial" w:eastAsia="Arial" w:hAnsi="Arial"/>
          <w:sz w:val="16"/>
          <w:szCs w:val="16"/>
          <w:b w:val="1"/>
          <w:bCs w:val="1"/>
          <w:color w:val="auto"/>
        </w:rPr>
        <w:t xml:space="preserve">Insolvency Event </w:t>
      </w:r>
      <w:r>
        <w:rPr>
          <w:rFonts w:ascii="Arial" w:cs="Arial" w:eastAsia="Arial" w:hAnsi="Arial"/>
          <w:sz w:val="16"/>
          <w:szCs w:val="16"/>
          <w:color w:val="auto"/>
        </w:rPr>
        <w:t>- With respect to Utility, (a) the filing of a decree or order for relief by a court having jurisdiction in its premises or any substantial part of its</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in an involuntary case under any applicable federal or state bankruptcy, insolvency or other similar law now or hereafter in effect, or the appointment of a receiver, liquidator, assignee, custodian, trustee, sequestrator or similar official for it or for any substantial part of its property, or the ordering of the winding-up or liquidation of its affairs, and such decree or order shall remain unstayed and in effect for a period of 60 consecutive calendar days; or (b) the commencement by it of a voluntary case under any applicable federal or state bankruptcy, insolvency or other similar law now or hereafter in effect, or the consent by it to the entry of an order for relief in an involuntary case under any such law, or the consent by it to the appointment of or taking possession by a receiver, liquidator, assignee, custodian, trustee, sequestrator or similar official for it or for any substantial part of its property, or the making by it of any general assignment for the benefit of creditors, or the taking of action by it in furtherance of any of the foregoing.</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ISO </w:t>
      </w:r>
      <w:r>
        <w:rPr>
          <w:rFonts w:ascii="Arial" w:cs="Arial" w:eastAsia="Arial" w:hAnsi="Arial"/>
          <w:sz w:val="17"/>
          <w:szCs w:val="17"/>
          <w:color w:val="auto"/>
        </w:rPr>
        <w:t>- The California Independent System Operator Corporation.</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Late Payment Rate </w:t>
      </w:r>
      <w:r>
        <w:rPr>
          <w:rFonts w:ascii="Arial" w:cs="Arial" w:eastAsia="Arial" w:hAnsi="Arial"/>
          <w:sz w:val="17"/>
          <w:szCs w:val="17"/>
          <w:color w:val="auto"/>
        </w:rPr>
        <w:t>- The Prime Rate plus 3%.</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MRTU </w:t>
      </w:r>
      <w:r>
        <w:rPr>
          <w:rFonts w:ascii="Arial" w:cs="Arial" w:eastAsia="Arial" w:hAnsi="Arial"/>
          <w:sz w:val="17"/>
          <w:szCs w:val="17"/>
          <w:color w:val="auto"/>
        </w:rPr>
        <w:t>- ISO’s Market Redesign and Technology Upgrade.</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MRTU Effective Date </w:t>
      </w:r>
      <w:r>
        <w:rPr>
          <w:rFonts w:ascii="Arial" w:cs="Arial" w:eastAsia="Arial" w:hAnsi="Arial"/>
          <w:sz w:val="17"/>
          <w:szCs w:val="17"/>
          <w:color w:val="auto"/>
        </w:rPr>
        <w:t>- The first trade date upon MRTU implementation by the ISO.</w:t>
      </w:r>
    </w:p>
    <w:p>
      <w:pPr>
        <w:spacing w:after="0" w:line="156" w:lineRule="exact"/>
        <w:rPr>
          <w:sz w:val="20"/>
          <w:szCs w:val="20"/>
          <w:color w:val="auto"/>
        </w:rPr>
      </w:pPr>
    </w:p>
    <w:p>
      <w:pPr>
        <w:jc w:val="both"/>
        <w:ind w:firstLine="496"/>
        <w:spacing w:after="0" w:line="280" w:lineRule="auto"/>
        <w:rPr>
          <w:sz w:val="20"/>
          <w:szCs w:val="20"/>
          <w:color w:val="auto"/>
        </w:rPr>
      </w:pPr>
      <w:r>
        <w:rPr>
          <w:rFonts w:ascii="Arial" w:cs="Arial" w:eastAsia="Arial" w:hAnsi="Arial"/>
          <w:sz w:val="16"/>
          <w:szCs w:val="16"/>
          <w:b w:val="1"/>
          <w:bCs w:val="1"/>
          <w:color w:val="auto"/>
        </w:rPr>
        <w:t xml:space="preserve">Municipal Departing Load Customers or MDL Customers </w:t>
      </w:r>
      <w:r>
        <w:rPr>
          <w:rFonts w:ascii="Arial" w:cs="Arial" w:eastAsia="Arial" w:hAnsi="Arial"/>
          <w:sz w:val="16"/>
          <w:szCs w:val="16"/>
          <w:color w:val="auto"/>
        </w:rPr>
        <w:t>- Customers who departed Utility service on and after February 1, 2001 to take service from a</w:t>
      </w:r>
      <w:r>
        <w:rPr>
          <w:rFonts w:ascii="Arial" w:cs="Arial" w:eastAsia="Arial" w:hAnsi="Arial"/>
          <w:sz w:val="16"/>
          <w:szCs w:val="16"/>
          <w:b w:val="1"/>
          <w:bCs w:val="1"/>
          <w:color w:val="auto"/>
        </w:rPr>
        <w:t xml:space="preserve"> </w:t>
      </w:r>
      <w:r>
        <w:rPr>
          <w:rFonts w:ascii="Arial" w:cs="Arial" w:eastAsia="Arial" w:hAnsi="Arial"/>
          <w:sz w:val="16"/>
          <w:szCs w:val="16"/>
          <w:color w:val="auto"/>
        </w:rPr>
        <w:t>municipal utility, all as further provided in D.03-07-028 adopted on July 10, 2003, as such decision may be amended or supplemented from time to time.</w:t>
      </w:r>
    </w:p>
    <w:p>
      <w:pPr>
        <w:spacing w:after="0" w:line="108" w:lineRule="exact"/>
        <w:rPr>
          <w:sz w:val="20"/>
          <w:szCs w:val="20"/>
          <w:color w:val="auto"/>
        </w:rPr>
      </w:pPr>
    </w:p>
    <w:p>
      <w:pPr>
        <w:jc w:val="both"/>
        <w:ind w:firstLine="496"/>
        <w:spacing w:after="0" w:line="250" w:lineRule="auto"/>
        <w:rPr>
          <w:sz w:val="20"/>
          <w:szCs w:val="20"/>
          <w:color w:val="auto"/>
        </w:rPr>
      </w:pPr>
      <w:r>
        <w:rPr>
          <w:rFonts w:ascii="Arial" w:cs="Arial" w:eastAsia="Arial" w:hAnsi="Arial"/>
          <w:sz w:val="17"/>
          <w:szCs w:val="17"/>
          <w:b w:val="1"/>
          <w:bCs w:val="1"/>
          <w:color w:val="auto"/>
        </w:rPr>
        <w:t xml:space="preserve">Non-Utility - </w:t>
      </w:r>
      <w:r>
        <w:rPr>
          <w:rFonts w:ascii="Arial" w:cs="Arial" w:eastAsia="Arial" w:hAnsi="Arial"/>
          <w:sz w:val="17"/>
          <w:szCs w:val="17"/>
          <w:color w:val="auto"/>
        </w:rPr>
        <w:t>Any third-party service provider under Applicable Tariff or servicing arrangement with the Utility to perform any portion of Services contemplated</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Servicing Order, including but not limited to ESPs and other third-party energy providers.</w:t>
      </w:r>
    </w:p>
    <w:p>
      <w:pPr>
        <w:spacing w:after="0" w:line="130" w:lineRule="exact"/>
        <w:rPr>
          <w:sz w:val="20"/>
          <w:szCs w:val="20"/>
          <w:color w:val="auto"/>
        </w:rPr>
      </w:pPr>
    </w:p>
    <w:p>
      <w:pPr>
        <w:jc w:val="both"/>
        <w:ind w:firstLine="496"/>
        <w:spacing w:after="0" w:line="239" w:lineRule="auto"/>
        <w:rPr>
          <w:sz w:val="20"/>
          <w:szCs w:val="20"/>
          <w:color w:val="auto"/>
        </w:rPr>
      </w:pPr>
      <w:r>
        <w:rPr>
          <w:rFonts w:ascii="Arial" w:cs="Arial" w:eastAsia="Arial" w:hAnsi="Arial"/>
          <w:sz w:val="17"/>
          <w:szCs w:val="17"/>
          <w:b w:val="1"/>
          <w:bCs w:val="1"/>
          <w:color w:val="auto"/>
        </w:rPr>
        <w:t xml:space="preserve">Non-Utility Bill </w:t>
      </w:r>
      <w:r>
        <w:rPr>
          <w:rFonts w:ascii="Arial" w:cs="Arial" w:eastAsia="Arial" w:hAnsi="Arial"/>
          <w:sz w:val="17"/>
          <w:szCs w:val="17"/>
          <w:color w:val="auto"/>
        </w:rPr>
        <w:t>- A bill calculated and prepared by the Utility but either (i) presented to a Non-Utility or (ii) consolidated and presented by a Non-Utility to a</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 in either case, under and pursuant to a servicing arrangement and/or Applicable Tariff or Applicable Law which facilitates the collection of any component of DWR Charges.</w:t>
      </w:r>
    </w:p>
    <w:p>
      <w:pPr>
        <w:spacing w:after="0" w:line="140" w:lineRule="exact"/>
        <w:rPr>
          <w:sz w:val="20"/>
          <w:szCs w:val="20"/>
          <w:color w:val="auto"/>
        </w:rPr>
      </w:pPr>
    </w:p>
    <w:p>
      <w:pPr>
        <w:jc w:val="both"/>
        <w:ind w:firstLine="496"/>
        <w:spacing w:after="0" w:line="255" w:lineRule="auto"/>
        <w:rPr>
          <w:sz w:val="20"/>
          <w:szCs w:val="20"/>
          <w:color w:val="auto"/>
        </w:rPr>
      </w:pPr>
      <w:r>
        <w:rPr>
          <w:rFonts w:ascii="Arial" w:cs="Arial" w:eastAsia="Arial" w:hAnsi="Arial"/>
          <w:sz w:val="16"/>
          <w:szCs w:val="16"/>
          <w:b w:val="1"/>
          <w:bCs w:val="1"/>
          <w:color w:val="auto"/>
        </w:rPr>
        <w:t xml:space="preserve">Operating Order </w:t>
      </w:r>
      <w:r>
        <w:rPr>
          <w:rFonts w:ascii="Arial" w:cs="Arial" w:eastAsia="Arial" w:hAnsi="Arial"/>
          <w:sz w:val="16"/>
          <w:szCs w:val="16"/>
          <w:color w:val="auto"/>
        </w:rPr>
        <w:t>- The Operating Order adopted on December 19, 2002, pursuant to D.02-12-069, including that certain Operating Agreement executed on April</w:t>
      </w:r>
      <w:r>
        <w:rPr>
          <w:rFonts w:ascii="Arial" w:cs="Arial" w:eastAsia="Arial" w:hAnsi="Arial"/>
          <w:sz w:val="16"/>
          <w:szCs w:val="16"/>
          <w:b w:val="1"/>
          <w:bCs w:val="1"/>
          <w:color w:val="auto"/>
        </w:rPr>
        <w:t xml:space="preserve"> </w:t>
      </w:r>
      <w:r>
        <w:rPr>
          <w:rFonts w:ascii="Arial" w:cs="Arial" w:eastAsia="Arial" w:hAnsi="Arial"/>
          <w:sz w:val="16"/>
          <w:szCs w:val="16"/>
          <w:color w:val="auto"/>
        </w:rPr>
        <w:t>17, 2003, by and between DWR and Utility, as the same may be amended from time to time and approved by the Commission, including such amendments to be incorporated consistent with the principles memorialized in that certain Memorandum of Understanding, dated as of February 4, 2009, as further amended, supplemented and clarified as set forth in the Operating Order submitted to the Commission concurrently with this 2010 Servicing Order.</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Operating Order Effective Date </w:t>
      </w:r>
      <w:r>
        <w:rPr>
          <w:rFonts w:ascii="Arial" w:cs="Arial" w:eastAsia="Arial" w:hAnsi="Arial"/>
          <w:sz w:val="17"/>
          <w:szCs w:val="17"/>
          <w:color w:val="auto"/>
        </w:rPr>
        <w:t>- The date that the Operating Order is effective in accordance with the provisions thereof.</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Power </w:t>
      </w:r>
      <w:r>
        <w:rPr>
          <w:rFonts w:ascii="Arial" w:cs="Arial" w:eastAsia="Arial" w:hAnsi="Arial"/>
          <w:sz w:val="17"/>
          <w:szCs w:val="17"/>
          <w:color w:val="auto"/>
        </w:rPr>
        <w:t>- Electric power and energy, including but not limited to capacity and output.</w:t>
      </w:r>
    </w:p>
    <w:p>
      <w:pPr>
        <w:spacing w:after="0" w:line="156" w:lineRule="exact"/>
        <w:rPr>
          <w:sz w:val="20"/>
          <w:szCs w:val="20"/>
          <w:color w:val="auto"/>
        </w:rPr>
      </w:pPr>
    </w:p>
    <w:p>
      <w:pPr>
        <w:jc w:val="both"/>
        <w:ind w:firstLine="496"/>
        <w:spacing w:after="0" w:line="239" w:lineRule="auto"/>
        <w:rPr>
          <w:sz w:val="20"/>
          <w:szCs w:val="20"/>
          <w:color w:val="auto"/>
        </w:rPr>
      </w:pPr>
      <w:r>
        <w:rPr>
          <w:rFonts w:ascii="Arial" w:cs="Arial" w:eastAsia="Arial" w:hAnsi="Arial"/>
          <w:sz w:val="17"/>
          <w:szCs w:val="17"/>
          <w:b w:val="1"/>
          <w:bCs w:val="1"/>
          <w:color w:val="auto"/>
        </w:rPr>
        <w:t xml:space="preserve">Power Charges </w:t>
      </w:r>
      <w:r>
        <w:rPr>
          <w:rFonts w:ascii="Arial" w:cs="Arial" w:eastAsia="Arial" w:hAnsi="Arial"/>
          <w:sz w:val="17"/>
          <w:szCs w:val="17"/>
          <w:color w:val="auto"/>
        </w:rPr>
        <w:t>- Power Charges shall have the meaning set forth in the Rate Agreement, and shall include Energy Payments as referred to in Exhibit C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Order and shall further include the ongoing DWR power charge component of the CRS imposed by the Commission upon certain customers for the above-market costs of DWR Power.</w:t>
      </w:r>
    </w:p>
    <w:p>
      <w:pPr>
        <w:spacing w:after="0" w:line="140" w:lineRule="exact"/>
        <w:rPr>
          <w:sz w:val="20"/>
          <w:szCs w:val="20"/>
          <w:color w:val="auto"/>
        </w:rPr>
      </w:pPr>
    </w:p>
    <w:p>
      <w:pPr>
        <w:jc w:val="both"/>
        <w:ind w:firstLine="496"/>
        <w:spacing w:after="0" w:line="239" w:lineRule="auto"/>
        <w:rPr>
          <w:sz w:val="20"/>
          <w:szCs w:val="20"/>
          <w:color w:val="auto"/>
        </w:rPr>
      </w:pPr>
      <w:r>
        <w:rPr>
          <w:rFonts w:ascii="Arial" w:cs="Arial" w:eastAsia="Arial" w:hAnsi="Arial"/>
          <w:sz w:val="17"/>
          <w:szCs w:val="17"/>
          <w:b w:val="1"/>
          <w:bCs w:val="1"/>
          <w:color w:val="auto"/>
        </w:rPr>
        <w:t xml:space="preserve">Prime Rate </w:t>
      </w:r>
      <w:r>
        <w:rPr>
          <w:rFonts w:ascii="Arial" w:cs="Arial" w:eastAsia="Arial" w:hAnsi="Arial"/>
          <w:sz w:val="17"/>
          <w:szCs w:val="17"/>
          <w:color w:val="auto"/>
        </w:rPr>
        <w:t>- The rate which Morgan Guaranty Trust Company of New York, or its successor, announces from time to time in New York, New York as its prime</w:t>
      </w:r>
      <w:r>
        <w:rPr>
          <w:rFonts w:ascii="Arial" w:cs="Arial" w:eastAsia="Arial" w:hAnsi="Arial"/>
          <w:sz w:val="17"/>
          <w:szCs w:val="17"/>
          <w:b w:val="1"/>
          <w:bCs w:val="1"/>
          <w:color w:val="auto"/>
        </w:rPr>
        <w:t xml:space="preserve"> </w:t>
      </w:r>
      <w:r>
        <w:rPr>
          <w:rFonts w:ascii="Arial" w:cs="Arial" w:eastAsia="Arial" w:hAnsi="Arial"/>
          <w:sz w:val="17"/>
          <w:szCs w:val="17"/>
          <w:color w:val="auto"/>
        </w:rPr>
        <w:t>lending rate, the Prime Rate to change when and as such prime lending rate changes. The Prime Rate is a reference rate and does not necessarily represent the lowest or best rate actually charged to any customer.</w:t>
      </w:r>
    </w:p>
    <w:p>
      <w:pPr>
        <w:spacing w:after="0" w:line="140" w:lineRule="exact"/>
        <w:rPr>
          <w:sz w:val="20"/>
          <w:szCs w:val="20"/>
          <w:color w:val="auto"/>
        </w:rPr>
      </w:pPr>
    </w:p>
    <w:p>
      <w:pPr>
        <w:jc w:val="both"/>
        <w:ind w:firstLine="496"/>
        <w:spacing w:after="0" w:line="250" w:lineRule="auto"/>
        <w:rPr>
          <w:sz w:val="20"/>
          <w:szCs w:val="20"/>
          <w:color w:val="auto"/>
        </w:rPr>
      </w:pPr>
      <w:r>
        <w:rPr>
          <w:rFonts w:ascii="Arial" w:cs="Arial" w:eastAsia="Arial" w:hAnsi="Arial"/>
          <w:sz w:val="17"/>
          <w:szCs w:val="17"/>
          <w:b w:val="1"/>
          <w:bCs w:val="1"/>
          <w:color w:val="auto"/>
        </w:rPr>
        <w:t xml:space="preserve">Rate Agreement </w:t>
      </w:r>
      <w:r>
        <w:rPr>
          <w:rFonts w:ascii="Arial" w:cs="Arial" w:eastAsia="Arial" w:hAnsi="Arial"/>
          <w:sz w:val="17"/>
          <w:szCs w:val="17"/>
          <w:color w:val="auto"/>
        </w:rPr>
        <w:t>- The Rate Agreement between DWR and the Commission adopted by the Commission on February 21, 2002 pursuant to D.02-02-051, as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may be amended and adopted by subsequent Commission proceedings.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Recipient </w:t>
      </w:r>
      <w:r>
        <w:rPr>
          <w:rFonts w:ascii="Arial" w:cs="Arial" w:eastAsia="Arial" w:hAnsi="Arial"/>
          <w:sz w:val="17"/>
          <w:szCs w:val="17"/>
          <w:color w:val="auto"/>
        </w:rPr>
        <w:t>- Recipient shall have the meaning set forth in Section 6.1(c).</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Recurring Fees </w:t>
      </w:r>
      <w:r>
        <w:rPr>
          <w:rFonts w:ascii="Arial" w:cs="Arial" w:eastAsia="Arial" w:hAnsi="Arial"/>
          <w:sz w:val="17"/>
          <w:szCs w:val="17"/>
          <w:color w:val="auto"/>
        </w:rPr>
        <w:t>- Recurring Fees shall have the meaning set forth in Section 7.1.</w:t>
      </w:r>
    </w:p>
    <w:p>
      <w:pPr>
        <w:spacing w:after="0" w:line="156" w:lineRule="exact"/>
        <w:rPr>
          <w:sz w:val="20"/>
          <w:szCs w:val="20"/>
          <w:color w:val="auto"/>
        </w:rPr>
      </w:pPr>
    </w:p>
    <w:p>
      <w:pPr>
        <w:jc w:val="both"/>
        <w:ind w:firstLine="496"/>
        <w:spacing w:after="0" w:line="250" w:lineRule="auto"/>
        <w:rPr>
          <w:sz w:val="20"/>
          <w:szCs w:val="20"/>
          <w:color w:val="auto"/>
        </w:rPr>
      </w:pPr>
      <w:r>
        <w:rPr>
          <w:rFonts w:ascii="Arial" w:cs="Arial" w:eastAsia="Arial" w:hAnsi="Arial"/>
          <w:sz w:val="17"/>
          <w:szCs w:val="17"/>
          <w:b w:val="1"/>
          <w:bCs w:val="1"/>
          <w:color w:val="auto"/>
        </w:rPr>
        <w:t xml:space="preserve">Remittance </w:t>
      </w:r>
      <w:r>
        <w:rPr>
          <w:rFonts w:ascii="Arial" w:cs="Arial" w:eastAsia="Arial" w:hAnsi="Arial"/>
          <w:sz w:val="17"/>
          <w:szCs w:val="17"/>
          <w:color w:val="auto"/>
        </w:rPr>
        <w:t>- A payment of DWR Charges by Utility to DWR or its Assign(s) and, prior to the MRTU Effective Date, all DWR Surplus Energy Sales Revenues,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this Servicing Order.</w:t>
      </w:r>
    </w:p>
    <w:p>
      <w:pPr>
        <w:spacing w:after="0" w:line="130" w:lineRule="exact"/>
        <w:rPr>
          <w:sz w:val="20"/>
          <w:szCs w:val="20"/>
          <w:color w:val="auto"/>
        </w:rPr>
      </w:pPr>
    </w:p>
    <w:p>
      <w:pPr>
        <w:jc w:val="both"/>
        <w:ind w:firstLine="496"/>
        <w:spacing w:after="0" w:line="250" w:lineRule="auto"/>
        <w:rPr>
          <w:sz w:val="20"/>
          <w:szCs w:val="20"/>
          <w:color w:val="auto"/>
        </w:rPr>
      </w:pPr>
      <w:r>
        <w:rPr>
          <w:rFonts w:ascii="Arial" w:cs="Arial" w:eastAsia="Arial" w:hAnsi="Arial"/>
          <w:sz w:val="17"/>
          <w:szCs w:val="17"/>
          <w:b w:val="1"/>
          <w:bCs w:val="1"/>
          <w:color w:val="auto"/>
        </w:rPr>
        <w:t xml:space="preserve">Scheduling Coordinator-to-Scheduling Coordinator Trade </w:t>
      </w:r>
      <w:r>
        <w:rPr>
          <w:rFonts w:ascii="Arial" w:cs="Arial" w:eastAsia="Arial" w:hAnsi="Arial"/>
          <w:sz w:val="17"/>
          <w:szCs w:val="17"/>
          <w:color w:val="auto"/>
        </w:rPr>
        <w:t>- Schedules for energy transferred from one ISO scheduling coordinator to another. Such schedules</w:t>
      </w:r>
      <w:r>
        <w:rPr>
          <w:rFonts w:ascii="Arial" w:cs="Arial" w:eastAsia="Arial" w:hAnsi="Arial"/>
          <w:sz w:val="17"/>
          <w:szCs w:val="17"/>
          <w:b w:val="1"/>
          <w:bCs w:val="1"/>
          <w:color w:val="auto"/>
        </w:rPr>
        <w:t xml:space="preserve"> </w:t>
      </w:r>
      <w:r>
        <w:rPr>
          <w:rFonts w:ascii="Arial" w:cs="Arial" w:eastAsia="Arial" w:hAnsi="Arial"/>
          <w:sz w:val="17"/>
          <w:szCs w:val="17"/>
          <w:color w:val="auto"/>
        </w:rPr>
        <w:t>are deemed delivered by the ISO upon publication by the ISO of the Final Hour-Ahead Schedules.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Service Area </w:t>
      </w:r>
      <w:r>
        <w:rPr>
          <w:rFonts w:ascii="Arial" w:cs="Arial" w:eastAsia="Arial" w:hAnsi="Arial"/>
          <w:sz w:val="17"/>
          <w:szCs w:val="17"/>
          <w:color w:val="auto"/>
        </w:rPr>
        <w:t>- Service Area means the geographic area in which an Electrical Corporation distributes electricity.</w:t>
      </w:r>
    </w:p>
    <w:p>
      <w:pPr>
        <w:sectPr>
          <w:pgSz w:w="11900" w:h="16838" w:orient="portrait"/>
          <w:cols w:equalWidth="0" w:num="1">
            <w:col w:w="11460"/>
          </w:cols>
          <w:pgMar w:left="220" w:top="118" w:right="219" w:bottom="21" w:gutter="0" w:footer="0" w:header="0"/>
        </w:sectPr>
      </w:pPr>
    </w:p>
    <w:bookmarkStart w:id="108" w:name="page109"/>
    <w:bookmarkEnd w:id="108"/>
    <w:p>
      <w:pPr>
        <w:jc w:val="both"/>
        <w:ind w:firstLine="496"/>
        <w:spacing w:after="0" w:line="251" w:lineRule="auto"/>
        <w:rPr>
          <w:sz w:val="20"/>
          <w:szCs w:val="20"/>
          <w:color w:val="auto"/>
        </w:rPr>
      </w:pPr>
      <w:r>
        <w:rPr>
          <w:rFonts w:ascii="Arial" w:cs="Arial" w:eastAsia="Arial" w:hAnsi="Arial"/>
          <w:sz w:val="17"/>
          <w:szCs w:val="17"/>
          <w:b w:val="1"/>
          <w:bCs w:val="1"/>
          <w:color w:val="auto"/>
        </w:rPr>
        <w:t xml:space="preserve">Services </w:t>
      </w:r>
      <w:r>
        <w:rPr>
          <w:rFonts w:ascii="Arial" w:cs="Arial" w:eastAsia="Arial" w:hAnsi="Arial"/>
          <w:sz w:val="17"/>
          <w:szCs w:val="17"/>
          <w:color w:val="auto"/>
        </w:rPr>
        <w:t>- Billing Services, metering services and meter reading services which may be performed by Utility or Non-Utility, as the case may be, and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collection, remittance and other services provided by Utility for DWR pursuant to this Servicing Order.</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Servicing Order </w:t>
      </w:r>
      <w:r>
        <w:rPr>
          <w:rFonts w:ascii="Arial" w:cs="Arial" w:eastAsia="Arial" w:hAnsi="Arial"/>
          <w:sz w:val="17"/>
          <w:szCs w:val="17"/>
          <w:color w:val="auto"/>
        </w:rPr>
        <w:t>or</w:t>
      </w:r>
      <w:r>
        <w:rPr>
          <w:rFonts w:ascii="Arial" w:cs="Arial" w:eastAsia="Arial" w:hAnsi="Arial"/>
          <w:sz w:val="17"/>
          <w:szCs w:val="17"/>
          <w:b w:val="1"/>
          <w:bCs w:val="1"/>
          <w:color w:val="auto"/>
        </w:rPr>
        <w:t xml:space="preserve"> 2010 Servicing Order </w:t>
      </w:r>
      <w:r>
        <w:rPr>
          <w:rFonts w:ascii="Arial" w:cs="Arial" w:eastAsia="Arial" w:hAnsi="Arial"/>
          <w:sz w:val="17"/>
          <w:szCs w:val="17"/>
          <w:color w:val="auto"/>
        </w:rPr>
        <w:t>- This 2010 Servicing Order including all attachments hereto.</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State </w:t>
      </w:r>
      <w:r>
        <w:rPr>
          <w:rFonts w:ascii="Arial" w:cs="Arial" w:eastAsia="Arial" w:hAnsi="Arial"/>
          <w:sz w:val="17"/>
          <w:szCs w:val="17"/>
          <w:color w:val="auto"/>
        </w:rPr>
        <w:t>- The State of California.</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Set-Up Fee </w:t>
      </w:r>
      <w:r>
        <w:rPr>
          <w:rFonts w:ascii="Arial" w:cs="Arial" w:eastAsia="Arial" w:hAnsi="Arial"/>
          <w:sz w:val="17"/>
          <w:szCs w:val="17"/>
          <w:color w:val="auto"/>
        </w:rPr>
        <w:t>- Set-Up Fee shall have the meaning set forth in Section 7.1.</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Term </w:t>
      </w:r>
      <w:r>
        <w:rPr>
          <w:rFonts w:ascii="Arial" w:cs="Arial" w:eastAsia="Arial" w:hAnsi="Arial"/>
          <w:sz w:val="17"/>
          <w:szCs w:val="17"/>
          <w:color w:val="auto"/>
        </w:rPr>
        <w:t>- The term of this Servicing Order as set forth in Section 5.1.</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20/20 Program </w:t>
      </w:r>
      <w:r>
        <w:rPr>
          <w:rFonts w:ascii="Arial" w:cs="Arial" w:eastAsia="Arial" w:hAnsi="Arial"/>
          <w:sz w:val="17"/>
          <w:szCs w:val="17"/>
          <w:color w:val="auto"/>
        </w:rPr>
        <w:t>- 20/20 Program shall have the meaning set forth in Section 4.3.</w:t>
      </w:r>
    </w:p>
    <w:p>
      <w:pPr>
        <w:spacing w:after="0" w:line="156" w:lineRule="exact"/>
        <w:rPr>
          <w:sz w:val="20"/>
          <w:szCs w:val="20"/>
          <w:color w:val="auto"/>
        </w:rPr>
      </w:pPr>
    </w:p>
    <w:p>
      <w:pPr>
        <w:jc w:val="both"/>
        <w:ind w:firstLine="496"/>
        <w:spacing w:after="0" w:line="355" w:lineRule="auto"/>
        <w:rPr>
          <w:sz w:val="20"/>
          <w:szCs w:val="20"/>
          <w:color w:val="auto"/>
        </w:rPr>
      </w:pPr>
      <w:r>
        <w:rPr>
          <w:rFonts w:ascii="Arial" w:cs="Arial" w:eastAsia="Arial" w:hAnsi="Arial"/>
          <w:sz w:val="14"/>
          <w:szCs w:val="14"/>
          <w:b w:val="1"/>
          <w:bCs w:val="1"/>
          <w:color w:val="auto"/>
        </w:rPr>
        <w:t xml:space="preserve">Utility Bill </w:t>
      </w:r>
      <w:r>
        <w:rPr>
          <w:rFonts w:ascii="Arial" w:cs="Arial" w:eastAsia="Arial" w:hAnsi="Arial"/>
          <w:sz w:val="14"/>
          <w:szCs w:val="14"/>
          <w:color w:val="auto"/>
        </w:rPr>
        <w:t>- A bill calculated, prepared and presented by Utility to a Customer that includes both the Customer’s Utility Charges and DWR Charges; provided,</w:t>
      </w:r>
      <w:r>
        <w:rPr>
          <w:rFonts w:ascii="Arial" w:cs="Arial" w:eastAsia="Arial" w:hAnsi="Arial"/>
          <w:sz w:val="14"/>
          <w:szCs w:val="14"/>
          <w:b w:val="1"/>
          <w:bCs w:val="1"/>
          <w:color w:val="auto"/>
        </w:rPr>
        <w:t xml:space="preserve"> </w:t>
      </w:r>
      <w:r>
        <w:rPr>
          <w:rFonts w:ascii="Arial" w:cs="Arial" w:eastAsia="Arial" w:hAnsi="Arial"/>
          <w:sz w:val="14"/>
          <w:szCs w:val="14"/>
          <w:color w:val="auto"/>
        </w:rPr>
        <w:t>however, that to the extent appropriate under Applicable Commission Orders, all Utility Bills sent to Customers shall reflect DWR Charges on a consolidated basis.</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 xml:space="preserve">Utility Billing Service </w:t>
      </w:r>
      <w:r>
        <w:rPr>
          <w:rFonts w:ascii="Arial" w:cs="Arial" w:eastAsia="Arial" w:hAnsi="Arial"/>
          <w:sz w:val="16"/>
          <w:szCs w:val="16"/>
          <w:color w:val="auto"/>
        </w:rPr>
        <w:t>- Billing service through the use of Utility Bills or Non-Utility Bills as described in Service Attachment 1 to this Servicing Order.</w:t>
      </w:r>
    </w:p>
    <w:p>
      <w:pPr>
        <w:spacing w:after="0" w:line="167" w:lineRule="exact"/>
        <w:rPr>
          <w:sz w:val="20"/>
          <w:szCs w:val="20"/>
          <w:color w:val="auto"/>
        </w:rPr>
      </w:pPr>
    </w:p>
    <w:p>
      <w:pPr>
        <w:jc w:val="both"/>
        <w:ind w:firstLine="496"/>
        <w:spacing w:after="0" w:line="236" w:lineRule="auto"/>
        <w:rPr>
          <w:sz w:val="20"/>
          <w:szCs w:val="20"/>
          <w:color w:val="auto"/>
        </w:rPr>
      </w:pPr>
      <w:r>
        <w:rPr>
          <w:rFonts w:ascii="Arial" w:cs="Arial" w:eastAsia="Arial" w:hAnsi="Arial"/>
          <w:sz w:val="17"/>
          <w:szCs w:val="17"/>
          <w:b w:val="1"/>
          <w:bCs w:val="1"/>
          <w:color w:val="auto"/>
        </w:rPr>
        <w:t xml:space="preserve">Utility Charges </w:t>
      </w:r>
      <w:r>
        <w:rPr>
          <w:rFonts w:ascii="Arial" w:cs="Arial" w:eastAsia="Arial" w:hAnsi="Arial"/>
          <w:sz w:val="17"/>
          <w:szCs w:val="17"/>
          <w:color w:val="auto"/>
        </w:rPr>
        <w:t>- Charges incurred by a Customer for electricity-related services and products provided by Utility to the Customer, as approved by the Commission</w:t>
      </w:r>
      <w:r>
        <w:rPr>
          <w:rFonts w:ascii="Arial" w:cs="Arial" w:eastAsia="Arial" w:hAnsi="Arial"/>
          <w:sz w:val="17"/>
          <w:szCs w:val="17"/>
          <w:b w:val="1"/>
          <w:bCs w:val="1"/>
          <w:color w:val="auto"/>
        </w:rPr>
        <w:t xml:space="preserve"> </w:t>
      </w:r>
      <w:r>
        <w:rPr>
          <w:rFonts w:ascii="Arial" w:cs="Arial" w:eastAsia="Arial" w:hAnsi="Arial"/>
          <w:sz w:val="17"/>
          <w:szCs w:val="17"/>
          <w:color w:val="auto"/>
        </w:rPr>
        <w:t>and, as applicable, the Federal Energy Regulatory Commission or other Governmental Authority (including, but not limited to, any Competition Transition Charges or Fixed Transition Amount Charges owing to Utility or its affiliates, as those terms are defined under the California Public Utilities Code). Utility Charges shall not include DWR Revenues or charges for retail natural gas sales.</w:t>
      </w:r>
    </w:p>
    <w:p>
      <w:pPr>
        <w:spacing w:after="0" w:line="141" w:lineRule="exact"/>
        <w:rPr>
          <w:sz w:val="20"/>
          <w:szCs w:val="20"/>
          <w:color w:val="auto"/>
        </w:rPr>
      </w:pPr>
    </w:p>
    <w:p>
      <w:pPr>
        <w:jc w:val="both"/>
        <w:ind w:firstLine="496"/>
        <w:spacing w:after="0" w:line="355" w:lineRule="auto"/>
        <w:rPr>
          <w:sz w:val="20"/>
          <w:szCs w:val="20"/>
          <w:color w:val="auto"/>
        </w:rPr>
      </w:pPr>
      <w:r>
        <w:rPr>
          <w:rFonts w:ascii="Arial" w:cs="Arial" w:eastAsia="Arial" w:hAnsi="Arial"/>
          <w:sz w:val="14"/>
          <w:szCs w:val="14"/>
          <w:b w:val="1"/>
          <w:bCs w:val="1"/>
          <w:color w:val="auto"/>
        </w:rPr>
        <w:t xml:space="preserve">Utility-Provided Electric Power </w:t>
      </w:r>
      <w:r>
        <w:rPr>
          <w:rFonts w:ascii="Arial" w:cs="Arial" w:eastAsia="Arial" w:hAnsi="Arial"/>
          <w:sz w:val="14"/>
          <w:szCs w:val="14"/>
          <w:color w:val="auto"/>
        </w:rPr>
        <w:t>- Utility-Provided Electric Power shall refer to electricity from Utility’s own generation, qualifying facility contracts, other power</w:t>
      </w:r>
      <w:r>
        <w:rPr>
          <w:rFonts w:ascii="Arial" w:cs="Arial" w:eastAsia="Arial" w:hAnsi="Arial"/>
          <w:sz w:val="14"/>
          <w:szCs w:val="14"/>
          <w:b w:val="1"/>
          <w:bCs w:val="1"/>
          <w:color w:val="auto"/>
        </w:rPr>
        <w:t xml:space="preserve"> </w:t>
      </w:r>
      <w:r>
        <w:rPr>
          <w:rFonts w:ascii="Arial" w:cs="Arial" w:eastAsia="Arial" w:hAnsi="Arial"/>
          <w:sz w:val="14"/>
          <w:szCs w:val="14"/>
          <w:color w:val="auto"/>
        </w:rPr>
        <w:t>purchase agreements and bilateral contracts. Utility-Provided Electric Power shall not include DWR Power, ESP Power or any third-party provided power for Customers.</w:t>
      </w:r>
    </w:p>
    <w:p>
      <w:pPr>
        <w:spacing w:after="0" w:line="65" w:lineRule="exact"/>
        <w:rPr>
          <w:sz w:val="20"/>
          <w:szCs w:val="20"/>
          <w:color w:val="auto"/>
        </w:rPr>
      </w:pPr>
    </w:p>
    <w:p>
      <w:pPr>
        <w:jc w:val="both"/>
        <w:ind w:firstLine="992"/>
        <w:spacing w:after="0" w:line="245" w:lineRule="auto"/>
        <w:rPr>
          <w:sz w:val="20"/>
          <w:szCs w:val="20"/>
          <w:color w:val="auto"/>
        </w:rPr>
      </w:pPr>
      <w:r>
        <w:rPr>
          <w:rFonts w:ascii="Arial" w:cs="Arial" w:eastAsia="Arial" w:hAnsi="Arial"/>
          <w:sz w:val="17"/>
          <w:szCs w:val="17"/>
          <w:color w:val="auto"/>
        </w:rPr>
        <w:t>The terms used in the attachments, but not specifically defined herein or elsewhere in this Servicing Order, should be understood by the Parties to have their ordinary meanings.</w:t>
      </w:r>
    </w:p>
    <w:p>
      <w:pPr>
        <w:spacing w:after="0" w:line="124"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4"/>
          <w:szCs w:val="14"/>
          <w:b w:val="1"/>
          <w:bCs w:val="1"/>
          <w:color w:val="auto"/>
        </w:rPr>
        <w:t>Energy Delivery, Surplus Energy Sales and Ownership.</w:t>
      </w:r>
    </w:p>
    <w:p>
      <w:pPr>
        <w:spacing w:after="0" w:line="156"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2.1.</w:t>
      </w:r>
      <w:r>
        <w:rPr>
          <w:sz w:val="20"/>
          <w:szCs w:val="20"/>
          <w:color w:val="auto"/>
        </w:rPr>
        <w:tab/>
      </w:r>
      <w:r>
        <w:rPr>
          <w:rFonts w:ascii="Arial" w:cs="Arial" w:eastAsia="Arial" w:hAnsi="Arial"/>
          <w:sz w:val="14"/>
          <w:szCs w:val="14"/>
          <w:b w:val="1"/>
          <w:bCs w:val="1"/>
          <w:color w:val="auto"/>
        </w:rPr>
        <w:t>Delivery of Power.</w:t>
      </w:r>
    </w:p>
    <w:p>
      <w:pPr>
        <w:spacing w:after="0" w:line="160" w:lineRule="exact"/>
        <w:rPr>
          <w:sz w:val="20"/>
          <w:szCs w:val="20"/>
          <w:color w:val="auto"/>
        </w:rPr>
      </w:pPr>
    </w:p>
    <w:p>
      <w:pPr>
        <w:ind w:left="500"/>
        <w:spacing w:after="0" w:line="349" w:lineRule="auto"/>
        <w:rPr>
          <w:sz w:val="20"/>
          <w:szCs w:val="20"/>
          <w:color w:val="auto"/>
        </w:rPr>
      </w:pPr>
      <w:r>
        <w:rPr>
          <w:rFonts w:ascii="Arial" w:cs="Arial" w:eastAsia="Arial" w:hAnsi="Arial"/>
          <w:sz w:val="14"/>
          <w:szCs w:val="14"/>
          <w:color w:val="auto"/>
        </w:rPr>
        <w:t>Pursuant to the Act and Applicable Commission Orders, Utility is ordered to transmit, or provide for the transmission of, and distribute DWR Power to Bundled Customers over Utility’s transmission and distribution system in accordance with Applicable Law, Applicable Tariffs and any agreements between the Parties.</w:t>
      </w:r>
    </w:p>
    <w:p>
      <w:pPr>
        <w:spacing w:after="0" w:line="55"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2.2.</w:t>
      </w:r>
      <w:r>
        <w:rPr>
          <w:sz w:val="20"/>
          <w:szCs w:val="20"/>
          <w:color w:val="auto"/>
        </w:rPr>
        <w:tab/>
      </w:r>
      <w:r>
        <w:rPr>
          <w:rFonts w:ascii="Arial" w:cs="Arial" w:eastAsia="Arial" w:hAnsi="Arial"/>
          <w:sz w:val="14"/>
          <w:szCs w:val="14"/>
          <w:b w:val="1"/>
          <w:bCs w:val="1"/>
          <w:color w:val="auto"/>
        </w:rPr>
        <w:t>Data and Information Communications Procedures.</w:t>
      </w:r>
    </w:p>
    <w:p>
      <w:pPr>
        <w:spacing w:after="0" w:line="150" w:lineRule="exact"/>
        <w:rPr>
          <w:sz w:val="20"/>
          <w:szCs w:val="20"/>
          <w:color w:val="auto"/>
        </w:rPr>
      </w:pPr>
    </w:p>
    <w:p>
      <w:pPr>
        <w:jc w:val="both"/>
        <w:ind w:left="500" w:hanging="1"/>
        <w:spacing w:after="0" w:line="295" w:lineRule="auto"/>
        <w:tabs>
          <w:tab w:leader="none" w:pos="996" w:val="left"/>
        </w:tabs>
        <w:numPr>
          <w:ilvl w:val="0"/>
          <w:numId w:val="124"/>
        </w:numPr>
        <w:rPr>
          <w:rFonts w:ascii="Arial" w:cs="Arial" w:eastAsia="Arial" w:hAnsi="Arial"/>
          <w:sz w:val="14"/>
          <w:szCs w:val="14"/>
          <w:color w:val="auto"/>
        </w:rPr>
      </w:pPr>
      <w:r>
        <w:rPr>
          <w:rFonts w:ascii="Arial" w:cs="Arial" w:eastAsia="Arial" w:hAnsi="Arial"/>
          <w:sz w:val="14"/>
          <w:szCs w:val="14"/>
          <w:color w:val="auto"/>
        </w:rPr>
        <w:t>Prior to the Operating Order Effective Date, Utility estimated customer usage and Utility-retained generation for a given trade day and communicated the net of such estimate to DWR by 7:00 a.m. on the preceding Utility Business Day. In the event that DWR observed a persistent deviation between estimated customer usage and actual customer usage, or between estimated Utility-retained generation and actual Utility-retained generation, DWR requested Utility to review, and Utility promptly commenced the review of, Utility’s forecast methodology and reported the results of such review to DWR; provided, however, that Utility had no obligation to correct or minimize such deviation except as provided in Attachment H of the 2003 Servicing Order.</w:t>
      </w:r>
    </w:p>
    <w:p>
      <w:pPr>
        <w:spacing w:after="0" w:line="106" w:lineRule="exact"/>
        <w:rPr>
          <w:rFonts w:ascii="Arial" w:cs="Arial" w:eastAsia="Arial" w:hAnsi="Arial"/>
          <w:sz w:val="14"/>
          <w:szCs w:val="14"/>
          <w:color w:val="auto"/>
        </w:rPr>
      </w:pPr>
    </w:p>
    <w:p>
      <w:pPr>
        <w:jc w:val="both"/>
        <w:ind w:left="500" w:hanging="1"/>
        <w:spacing w:after="0" w:line="286" w:lineRule="auto"/>
        <w:tabs>
          <w:tab w:leader="none" w:pos="996" w:val="left"/>
        </w:tabs>
        <w:numPr>
          <w:ilvl w:val="0"/>
          <w:numId w:val="124"/>
        </w:numPr>
        <w:rPr>
          <w:rFonts w:ascii="Arial" w:cs="Arial" w:eastAsia="Arial" w:hAnsi="Arial"/>
          <w:sz w:val="14"/>
          <w:szCs w:val="14"/>
          <w:color w:val="auto"/>
        </w:rPr>
      </w:pPr>
      <w:r>
        <w:rPr>
          <w:rFonts w:ascii="Arial" w:cs="Arial" w:eastAsia="Arial" w:hAnsi="Arial"/>
          <w:sz w:val="14"/>
          <w:szCs w:val="14"/>
          <w:color w:val="auto"/>
        </w:rPr>
        <w:t>Prior to the Operating Order Effective Date, DWR agreed to send to Utility in writing each day the Scheduling Coordinator-to-Scheduling Coordinator Trade between DWR and Utility. This information was delivered no later than 9:30 a.m. for trades in the Day-Ahead Market for the following day, and no later than two hours and twenty minutes prior to the start of the delivery hour for trades in the Hour-Ahead Market. Utility was ordered, and DWR agreed to separately provide these schedules to the ISO prior to the close of the respective markets. The above deadlines for DWR were set because the ISO Day-Ahead Market closed at 10:00 a.m. on the day before delivery and the ISO Hour-Ahead Market closed two hours before the delivery hour. If these closing times should change, the deadlines for submission of DWR data to Utility were to have changed proportionately, which revised deadlines were to be confirmed in writing by DWR and Utility. DWR agreed that, upon Utility’s request, DWR would supply information to Utility substantiating to Utility’s reasonable satisfaction (i) the total amount of energy purchased by DWR in the Day-Ahead Market and Hour-Ahead Market; and (ii) other such information that may be required for Utility to verify the DWR Charges, or any component thereof, including information regarding the allocation of such energy among Customers and other third parties to the extent so required.</w:t>
      </w:r>
    </w:p>
    <w:p>
      <w:pPr>
        <w:spacing w:after="0" w:line="113" w:lineRule="exact"/>
        <w:rPr>
          <w:sz w:val="20"/>
          <w:szCs w:val="20"/>
          <w:color w:val="auto"/>
        </w:rPr>
      </w:pPr>
    </w:p>
    <w:p>
      <w:pPr>
        <w:jc w:val="both"/>
        <w:ind w:left="500" w:firstLine="496"/>
        <w:spacing w:after="0" w:line="237" w:lineRule="auto"/>
        <w:rPr>
          <w:sz w:val="20"/>
          <w:szCs w:val="20"/>
          <w:color w:val="auto"/>
        </w:rPr>
      </w:pPr>
      <w:r>
        <w:rPr>
          <w:rFonts w:ascii="Arial" w:cs="Arial" w:eastAsia="Arial" w:hAnsi="Arial"/>
          <w:sz w:val="17"/>
          <w:szCs w:val="17"/>
          <w:color w:val="auto"/>
        </w:rPr>
        <w:t>Notwithstanding the provisions of paragraphs (a) and (b) of this Section 2.2, upon the Operating Order Effective Date, Utility is to schedule and dispatch Power as provided in the Operating Order and the Utility is directed to comply with the data and information communications procedures set forth in the Operating Order.</w:t>
      </w:r>
    </w:p>
    <w:p>
      <w:pPr>
        <w:spacing w:after="0" w:line="134" w:lineRule="exact"/>
        <w:rPr>
          <w:sz w:val="20"/>
          <w:szCs w:val="20"/>
          <w:color w:val="auto"/>
        </w:rPr>
      </w:pPr>
    </w:p>
    <w:p>
      <w:pPr>
        <w:jc w:val="both"/>
        <w:ind w:left="500" w:hanging="1"/>
        <w:spacing w:after="0" w:line="246" w:lineRule="auto"/>
        <w:tabs>
          <w:tab w:leader="none" w:pos="99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Consistent with Applicable Commission Orders and as provided elsewhere in this Servicing Order, on and after the Effective Date of the 2007 Servicing Order, Utility was ordered to remit each component of DWR Charges from each Customer Type, all as further provided in Attachment B hereto and each of the Appendices appended thereto. Each component of DWR Charges was ordered to be remitted at the applicable Commission-approved rate. The basis for remittance of DWR Charges shall be amounts collected from Customers, consistent with Applicable Commission Orders. If either Party obtains actual knowledge of a material flaw in the procedures or methods set forth in this Servicing Order, and such flaw has a material adverse effect on (i) the delivery of Services (including, without limitation, the timely and accurate remittance of DWR Charges and DWR Surplus Energy Sales Revenues to DWR), or (ii) the timely and accurate payment to Utility of compensation for Services hereunder, the discovering Party shall bring such flaw to the attention of the other Party within a reasonable time. Upon the delivery of such notice, the Parties shall conduct good faith negotiations to resolve such flaw. Without limiting any other terms, express or implied, of this Servicing Order or any other agreement between the Parties, the Parties acknowledge that the two preceding sentences do not impose an independent obligation to perform any investigation or monitoring to discover any such flaw.</w:t>
      </w:r>
    </w:p>
    <w:p>
      <w:pPr>
        <w:spacing w:after="0" w:line="129" w:lineRule="exact"/>
        <w:rPr>
          <w:rFonts w:ascii="Arial" w:cs="Arial" w:eastAsia="Arial" w:hAnsi="Arial"/>
          <w:sz w:val="16"/>
          <w:szCs w:val="16"/>
          <w:color w:val="auto"/>
        </w:rPr>
      </w:pPr>
    </w:p>
    <w:p>
      <w:pPr>
        <w:jc w:val="both"/>
        <w:ind w:left="500" w:hanging="1"/>
        <w:spacing w:after="0" w:line="301" w:lineRule="auto"/>
        <w:tabs>
          <w:tab w:leader="none" w:pos="996" w:val="left"/>
        </w:tabs>
        <w:numPr>
          <w:ilvl w:val="0"/>
          <w:numId w:val="125"/>
        </w:numPr>
        <w:rPr>
          <w:rFonts w:ascii="Arial" w:cs="Arial" w:eastAsia="Arial" w:hAnsi="Arial"/>
          <w:sz w:val="14"/>
          <w:szCs w:val="14"/>
          <w:color w:val="auto"/>
        </w:rPr>
      </w:pPr>
      <w:r>
        <w:rPr>
          <w:rFonts w:ascii="Arial" w:cs="Arial" w:eastAsia="Arial" w:hAnsi="Arial"/>
          <w:sz w:val="14"/>
          <w:szCs w:val="14"/>
          <w:color w:val="auto"/>
        </w:rPr>
        <w:t>Prior to the MRTU Effective Date, Utility shall perform surplus Power sales consistent with the Contract Allocation Order and the Operating Order. Utility shall also calculate and remit DWR Surplus Energy Sales Revenues consistent with the Contract Allocation Order and the Operating Order. The basis for remittance of DWR Surplus Energy Sales Revenues shall be amounts collected by Utility from third parties for sales of surplus Power, consistent with the principles set forth in Exhibit C of the Operating Order and in accordance with the Contract Allocation Order, all as further provided in Service Attachment 2 hereto.</w:t>
      </w:r>
    </w:p>
    <w:p>
      <w:pPr>
        <w:spacing w:after="0" w:line="101" w:lineRule="exact"/>
        <w:rPr>
          <w:rFonts w:ascii="Arial" w:cs="Arial" w:eastAsia="Arial" w:hAnsi="Arial"/>
          <w:sz w:val="14"/>
          <w:szCs w:val="14"/>
          <w:color w:val="auto"/>
        </w:rPr>
      </w:pPr>
    </w:p>
    <w:p>
      <w:pPr>
        <w:jc w:val="both"/>
        <w:ind w:left="500" w:hanging="1"/>
        <w:spacing w:after="0" w:line="259" w:lineRule="auto"/>
        <w:tabs>
          <w:tab w:leader="none" w:pos="99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On and after the MRTU Effective Date, Utility shall remit each component of DWR Charges from each Customer Type, all as further provided in this 2010 Servicing Order, consistent with the amendments set forth in the Operating Order submitted to the Commission concurrently with this 2010 Servicing Order. These amendments are consistent with the principles set forth in that certain Memorandum of Understanding, dated as of February 4, 2009.</w:t>
      </w:r>
    </w:p>
    <w:p>
      <w:pPr>
        <w:spacing w:after="0" w:line="117" w:lineRule="exact"/>
        <w:rPr>
          <w:rFonts w:ascii="Arial" w:cs="Arial" w:eastAsia="Arial" w:hAnsi="Arial"/>
          <w:sz w:val="16"/>
          <w:szCs w:val="16"/>
          <w:color w:val="auto"/>
        </w:rPr>
      </w:pPr>
    </w:p>
    <w:p>
      <w:pPr>
        <w:jc w:val="both"/>
        <w:ind w:left="500" w:hanging="1"/>
        <w:spacing w:after="0" w:line="247" w:lineRule="auto"/>
        <w:tabs>
          <w:tab w:leader="none" w:pos="99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All data and information to be exchanged between the Parties in connection with scheduling and settlement of transactions shall be in the format agreed to by Utility and DWR and shall, except as otherwise provided by this Servicing Order or Applicable Tariffs, or as may be approved by Utility in its reasonable discretion, be submitted electronically. If a Party receives any information that is unreadable, or contains data that cannot be processed by the receiving Party’s system, or is otherwise damaged, such receiving Party shall inform the sending Party of such problem. Until any such problem is corrected, the receiving Party shall not be responsible for processing information received in this condition. The foregoing notwithstanding, a receiving Party shall not be excused from its obligation to process information if the receiving Party cannot read or otherwise process the information sent by the sending Party as a result of defects, errors, bugs, or viruses in the receiving Party’s systems or software or due to negligence or wrongful act(s) or failure(s) to act on the part of the receiving Party’s employees, agents, independent contractors, subcontractors or assigns.</w:t>
      </w:r>
    </w:p>
    <w:p>
      <w:pPr>
        <w:spacing w:after="0" w:line="125"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4"/>
          <w:szCs w:val="14"/>
          <w:b w:val="1"/>
          <w:bCs w:val="1"/>
          <w:color w:val="auto"/>
        </w:rPr>
        <w:t>Ownership of DWR Power, Surplus Power, Utility-Provided Electric Power and DWR Revenues.</w:t>
      </w:r>
    </w:p>
    <w:p>
      <w:pPr>
        <w:spacing w:after="0" w:line="160" w:lineRule="exact"/>
        <w:rPr>
          <w:sz w:val="20"/>
          <w:szCs w:val="20"/>
          <w:color w:val="auto"/>
        </w:rPr>
      </w:pPr>
    </w:p>
    <w:p>
      <w:pPr>
        <w:ind w:left="500"/>
        <w:spacing w:after="0" w:line="349" w:lineRule="auto"/>
        <w:rPr>
          <w:sz w:val="20"/>
          <w:szCs w:val="20"/>
          <w:color w:val="auto"/>
        </w:rPr>
      </w:pPr>
      <w:r>
        <w:rPr>
          <w:rFonts w:ascii="Arial" w:cs="Arial" w:eastAsia="Arial" w:hAnsi="Arial"/>
          <w:sz w:val="14"/>
          <w:szCs w:val="14"/>
          <w:color w:val="auto"/>
        </w:rPr>
        <w:t>Notwithstanding any other provision herein, and in accordance with the Act and Section 80110 of the California Water Code, DWR shall retain title to all DWR Power sold by DWR to Bundled Customers or, prior to the MRTU Effective Date, any surplus Power sold by Utility on DWR’s behalf, in accordance with the terms</w:t>
      </w:r>
    </w:p>
    <w:p>
      <w:pPr>
        <w:sectPr>
          <w:pgSz w:w="11900" w:h="16838" w:orient="portrait"/>
          <w:cols w:equalWidth="0" w:num="1">
            <w:col w:w="11460"/>
          </w:cols>
          <w:pgMar w:left="220" w:top="118" w:right="219" w:bottom="0" w:gutter="0" w:footer="0" w:header="0"/>
        </w:sectPr>
      </w:pPr>
    </w:p>
    <w:bookmarkStart w:id="109" w:name="page110"/>
    <w:bookmarkEnd w:id="109"/>
    <w:p>
      <w:pPr>
        <w:jc w:val="both"/>
        <w:ind w:left="500"/>
        <w:spacing w:after="0" w:line="253" w:lineRule="auto"/>
        <w:rPr>
          <w:sz w:val="20"/>
          <w:szCs w:val="20"/>
          <w:color w:val="auto"/>
        </w:rPr>
      </w:pPr>
      <w:r>
        <w:rPr>
          <w:rFonts w:ascii="Arial" w:cs="Arial" w:eastAsia="Arial" w:hAnsi="Arial"/>
          <w:sz w:val="16"/>
          <w:szCs w:val="16"/>
          <w:color w:val="auto"/>
        </w:rPr>
        <w:t>of the Operating Order and consistent with the Contract Allocation Order. In accordance with the terms hereof and the Operating Order, as the case may be, Utility is acting solely as the servicing agent for DWR with respect to all components of DWR Charges collected from Customers and, prior to the MRTU Effective Date, with respect to sales of surplus Power to third-party purchasers, and nothing in this Servicing Order should be construed to suggest other than that DWR shall retain title to all DWR Charges and, prior to the MRTU Effective Date, DWR Surplus Energy Sales Revenues.</w:t>
      </w:r>
    </w:p>
    <w:p>
      <w:pPr>
        <w:spacing w:after="0" w:line="133" w:lineRule="exact"/>
        <w:rPr>
          <w:sz w:val="20"/>
          <w:szCs w:val="20"/>
          <w:color w:val="auto"/>
        </w:rPr>
      </w:pPr>
    </w:p>
    <w:p>
      <w:pPr>
        <w:jc w:val="both"/>
        <w:ind w:left="500"/>
        <w:spacing w:after="0" w:line="249" w:lineRule="auto"/>
        <w:rPr>
          <w:sz w:val="20"/>
          <w:szCs w:val="20"/>
          <w:color w:val="auto"/>
        </w:rPr>
      </w:pPr>
      <w:r>
        <w:rPr>
          <w:rFonts w:ascii="Arial" w:cs="Arial" w:eastAsia="Arial" w:hAnsi="Arial"/>
          <w:sz w:val="16"/>
          <w:szCs w:val="16"/>
          <w:color w:val="auto"/>
        </w:rPr>
        <w:t>In accordance with the Act and Section 80104 of the California Water Code, upon the delivery of DWR Power to Bundled Customers or, prior to the MRTU Effective Date, the sale of surplus Power to third-party power purchasers made by Utility on behalf of DWR, those Bundled Customers and third-party power purchasers, shall be deemed to have purchased that power from DWR, and payment for any such sale shall be a direct obligation of such Customers or third-party purchasers, as the case may be, to DWR. In accordance with Applicable Law, Cost Responsibility Surcharges are recovered from Direct Access Customers, Customer Generation Departing Load Customers, Municipal Departing Load Customers or Community Choice Aggregation Customers. Utility shall collect and remit such Cost Responsibility Surcharges, all as further provided in this Servicing Order.</w:t>
      </w:r>
    </w:p>
    <w:p>
      <w:pPr>
        <w:spacing w:after="0" w:line="136" w:lineRule="exact"/>
        <w:rPr>
          <w:sz w:val="20"/>
          <w:szCs w:val="20"/>
          <w:color w:val="auto"/>
        </w:rPr>
      </w:pPr>
    </w:p>
    <w:p>
      <w:pPr>
        <w:jc w:val="both"/>
        <w:ind w:left="500"/>
        <w:spacing w:after="0" w:line="253" w:lineRule="auto"/>
        <w:rPr>
          <w:sz w:val="20"/>
          <w:szCs w:val="20"/>
          <w:color w:val="auto"/>
        </w:rPr>
      </w:pPr>
      <w:r>
        <w:rPr>
          <w:rFonts w:ascii="Arial" w:cs="Arial" w:eastAsia="Arial" w:hAnsi="Arial"/>
          <w:sz w:val="16"/>
          <w:szCs w:val="16"/>
          <w:color w:val="auto"/>
        </w:rPr>
        <w:t>All DWR Revenues and DWR Charges shall constitute property of DWR. To the extent any monies are received by the Utility during the process of collection, and pending their transfer to DWR, including any amounts collected under Non-Utility Bills and remitted to Utility by a Non-Utility, the monies shall be held by the Utility in trust for the benefit of DWR (whether or not held together with other monies). Notwithstanding any other provision herein, Utility shall retain title to all Utility-Provided Electric Power supplied by Utility to Customers and all surplus Power provided by Utility.</w:t>
      </w:r>
    </w:p>
    <w:p>
      <w:pPr>
        <w:spacing w:after="0" w:line="119"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2.4.</w:t>
      </w:r>
      <w:r>
        <w:rPr>
          <w:sz w:val="20"/>
          <w:szCs w:val="20"/>
          <w:color w:val="auto"/>
        </w:rPr>
        <w:tab/>
      </w:r>
      <w:r>
        <w:rPr>
          <w:rFonts w:ascii="Arial" w:cs="Arial" w:eastAsia="Arial" w:hAnsi="Arial"/>
          <w:sz w:val="14"/>
          <w:szCs w:val="14"/>
          <w:b w:val="1"/>
          <w:bCs w:val="1"/>
          <w:color w:val="auto"/>
        </w:rPr>
        <w:t>Allocation of DWR Power and DWR Surplus Energy Sales Revenues.</w:t>
      </w:r>
    </w:p>
    <w:p>
      <w:pPr>
        <w:spacing w:after="0" w:line="160" w:lineRule="exact"/>
        <w:rPr>
          <w:sz w:val="20"/>
          <w:szCs w:val="20"/>
          <w:color w:val="auto"/>
        </w:rPr>
      </w:pPr>
    </w:p>
    <w:p>
      <w:pPr>
        <w:jc w:val="both"/>
        <w:ind w:left="500"/>
        <w:spacing w:after="0" w:line="237" w:lineRule="auto"/>
        <w:rPr>
          <w:sz w:val="20"/>
          <w:szCs w:val="20"/>
          <w:color w:val="auto"/>
        </w:rPr>
      </w:pPr>
      <w:r>
        <w:rPr>
          <w:rFonts w:ascii="Arial" w:cs="Arial" w:eastAsia="Arial" w:hAnsi="Arial"/>
          <w:sz w:val="17"/>
          <w:szCs w:val="17"/>
          <w:color w:val="auto"/>
        </w:rPr>
        <w:t>DWR Power will be allocated pursuant to the Act and other Applicable Law and Applicable Tariffs. On and after the Operating Order Effective Date, DWR Power and, prior to the MRTU Effective Date, DWR Surplus Energy Sales Revenues shall be allocated consistent with the Contract Allocation Order, and as provided in the Operating Order and the Servicing Order then in effect.</w:t>
      </w:r>
    </w:p>
    <w:p>
      <w:pPr>
        <w:spacing w:after="0" w:line="144" w:lineRule="exact"/>
        <w:rPr>
          <w:sz w:val="20"/>
          <w:szCs w:val="20"/>
          <w:color w:val="auto"/>
        </w:rPr>
      </w:pPr>
    </w:p>
    <w:p>
      <w:pPr>
        <w:jc w:val="both"/>
        <w:ind w:left="500"/>
        <w:spacing w:after="0" w:line="245" w:lineRule="auto"/>
        <w:rPr>
          <w:sz w:val="20"/>
          <w:szCs w:val="20"/>
          <w:color w:val="auto"/>
        </w:rPr>
      </w:pPr>
      <w:r>
        <w:rPr>
          <w:rFonts w:ascii="Arial" w:cs="Arial" w:eastAsia="Arial" w:hAnsi="Arial"/>
          <w:sz w:val="17"/>
          <w:szCs w:val="17"/>
          <w:color w:val="auto"/>
        </w:rPr>
        <w:t>On and after the MRTU Effective Date, DWR Power shall be allocated consistent with the amendments to the Operating Order, implementing the principles set forth in that certain Memorandum of Understanding, dated as of February 4, 2009.</w:t>
      </w:r>
    </w:p>
    <w:p>
      <w:pPr>
        <w:spacing w:after="0" w:line="134"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2.5.</w:t>
      </w:r>
      <w:r>
        <w:rPr>
          <w:sz w:val="20"/>
          <w:szCs w:val="20"/>
          <w:color w:val="auto"/>
        </w:rPr>
        <w:tab/>
      </w:r>
      <w:r>
        <w:rPr>
          <w:rFonts w:ascii="Arial" w:cs="Arial" w:eastAsia="Arial" w:hAnsi="Arial"/>
          <w:sz w:val="14"/>
          <w:szCs w:val="14"/>
          <w:b w:val="1"/>
          <w:bCs w:val="1"/>
          <w:color w:val="auto"/>
        </w:rPr>
        <w:t>Treatment of ISO Charges.</w:t>
      </w:r>
    </w:p>
    <w:p>
      <w:pPr>
        <w:spacing w:after="0" w:line="160" w:lineRule="exact"/>
        <w:rPr>
          <w:sz w:val="20"/>
          <w:szCs w:val="20"/>
          <w:color w:val="auto"/>
        </w:rPr>
      </w:pPr>
    </w:p>
    <w:p>
      <w:pPr>
        <w:jc w:val="both"/>
        <w:ind w:left="500"/>
        <w:spacing w:after="0" w:line="237" w:lineRule="auto"/>
        <w:rPr>
          <w:sz w:val="20"/>
          <w:szCs w:val="20"/>
          <w:color w:val="auto"/>
        </w:rPr>
      </w:pPr>
      <w:r>
        <w:rPr>
          <w:rFonts w:ascii="Arial" w:cs="Arial" w:eastAsia="Arial" w:hAnsi="Arial"/>
          <w:sz w:val="17"/>
          <w:szCs w:val="17"/>
          <w:color w:val="auto"/>
        </w:rPr>
        <w:t>Prior to the Operating Order Effective Date, the allocation of cost responsibility with respect to certain ISO charges, as between the Parties, have been governed by the Restated Letter Agreement described in Attachment E. On and after the Operating Order Effective Date, this Section shall be superseded by the provisions relating to such ISO charges provided in the Operating Order, including Exhibit D of the Operating Order.</w:t>
      </w:r>
    </w:p>
    <w:p>
      <w:pPr>
        <w:spacing w:after="0" w:line="130"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2.6.</w:t>
      </w:r>
      <w:r>
        <w:rPr>
          <w:sz w:val="20"/>
          <w:szCs w:val="20"/>
          <w:color w:val="auto"/>
        </w:rPr>
        <w:tab/>
      </w:r>
      <w:r>
        <w:rPr>
          <w:rFonts w:ascii="Arial" w:cs="Arial" w:eastAsia="Arial" w:hAnsi="Arial"/>
          <w:sz w:val="14"/>
          <w:szCs w:val="14"/>
          <w:b w:val="1"/>
          <w:bCs w:val="1"/>
          <w:color w:val="auto"/>
        </w:rPr>
        <w:t>DWR Surplus Energy Sales Revenues.</w:t>
      </w:r>
    </w:p>
    <w:p>
      <w:pPr>
        <w:spacing w:after="0" w:line="160" w:lineRule="exact"/>
        <w:rPr>
          <w:sz w:val="20"/>
          <w:szCs w:val="20"/>
          <w:color w:val="auto"/>
        </w:rPr>
      </w:pPr>
    </w:p>
    <w:p>
      <w:pPr>
        <w:jc w:val="both"/>
        <w:ind w:left="500"/>
        <w:spacing w:after="0" w:line="245" w:lineRule="auto"/>
        <w:rPr>
          <w:sz w:val="20"/>
          <w:szCs w:val="20"/>
          <w:color w:val="auto"/>
        </w:rPr>
      </w:pPr>
      <w:r>
        <w:rPr>
          <w:rFonts w:ascii="Arial" w:cs="Arial" w:eastAsia="Arial" w:hAnsi="Arial"/>
          <w:sz w:val="17"/>
          <w:szCs w:val="17"/>
          <w:color w:val="auto"/>
        </w:rPr>
        <w:t>Prior to the MRTU Effective Date, the treatment of surplus Power shall be governed by the Contract Allocation Order and the Operating Order, and as further provided in Service Attachment 2 hereto.</w:t>
      </w:r>
    </w:p>
    <w:p>
      <w:pPr>
        <w:spacing w:after="0" w:line="124"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4"/>
          <w:szCs w:val="14"/>
          <w:b w:val="1"/>
          <w:bCs w:val="1"/>
          <w:color w:val="auto"/>
        </w:rPr>
        <w:t>Billing Services.</w:t>
      </w:r>
    </w:p>
    <w:p>
      <w:pPr>
        <w:spacing w:after="0" w:line="156"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3.1.</w:t>
      </w:r>
      <w:r>
        <w:rPr>
          <w:sz w:val="20"/>
          <w:szCs w:val="20"/>
          <w:color w:val="auto"/>
        </w:rPr>
        <w:tab/>
      </w:r>
      <w:r>
        <w:rPr>
          <w:rFonts w:ascii="Arial" w:cs="Arial" w:eastAsia="Arial" w:hAnsi="Arial"/>
          <w:sz w:val="14"/>
          <w:szCs w:val="14"/>
          <w:b w:val="1"/>
          <w:bCs w:val="1"/>
          <w:color w:val="auto"/>
        </w:rPr>
        <w:t>Provision of Services by Utility.</w:t>
      </w:r>
    </w:p>
    <w:p>
      <w:pPr>
        <w:spacing w:after="0" w:line="150" w:lineRule="exact"/>
        <w:rPr>
          <w:sz w:val="20"/>
          <w:szCs w:val="20"/>
          <w:color w:val="auto"/>
        </w:rPr>
      </w:pPr>
    </w:p>
    <w:p>
      <w:pPr>
        <w:jc w:val="both"/>
        <w:ind w:left="500" w:hanging="1"/>
        <w:spacing w:after="0" w:line="291" w:lineRule="auto"/>
        <w:tabs>
          <w:tab w:leader="none" w:pos="996" w:val="left"/>
        </w:tabs>
        <w:numPr>
          <w:ilvl w:val="0"/>
          <w:numId w:val="126"/>
        </w:numPr>
        <w:rPr>
          <w:rFonts w:ascii="Arial" w:cs="Arial" w:eastAsia="Arial" w:hAnsi="Arial"/>
          <w:sz w:val="14"/>
          <w:szCs w:val="14"/>
          <w:color w:val="auto"/>
        </w:rPr>
      </w:pPr>
      <w:r>
        <w:rPr>
          <w:rFonts w:ascii="Arial" w:cs="Arial" w:eastAsia="Arial" w:hAnsi="Arial"/>
          <w:sz w:val="14"/>
          <w:szCs w:val="14"/>
          <w:color w:val="auto"/>
        </w:rPr>
        <w:t>Except to the extent that such Services are provided by a third-party, Utility shall provide metering services, meter reading services and Billing Services relating to (i) the Power Charge remittances with respect to each applicable Customer Type provided in the Appendices to Attachment B hereto, and (ii) the Bond Charge remittances with respect to each applicable Customer Type provided in the Appendices to Attachment B hereto. If Non-Utility Bills are involved in the Utility’s performance of Billing Services, Utility shall calculate the amount of any applicable DWR Charges to be collected through Non-Utility Bills, all as further provided in this Servicing Order. Utility-provided metering services, meter reading services and Billing Services shall be provided in accordance with Applicable Law, Applicable Commission Orders, Applicable Tariffs and Service Attachment 1 hereto, as well as Attachment B and its Appendices.</w:t>
      </w:r>
    </w:p>
    <w:p>
      <w:pPr>
        <w:spacing w:after="0" w:line="100" w:lineRule="exact"/>
        <w:rPr>
          <w:rFonts w:ascii="Arial" w:cs="Arial" w:eastAsia="Arial" w:hAnsi="Arial"/>
          <w:sz w:val="14"/>
          <w:szCs w:val="14"/>
          <w:color w:val="auto"/>
        </w:rPr>
      </w:pPr>
    </w:p>
    <w:p>
      <w:pPr>
        <w:jc w:val="both"/>
        <w:ind w:left="500" w:hanging="1"/>
        <w:spacing w:after="0" w:line="248" w:lineRule="auto"/>
        <w:tabs>
          <w:tab w:leader="none" w:pos="99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 the case where Non-Utility Bills are used by the Utility in the billing and collection of any component of DWR Charges under Applicable Law, Utility shall include such necessary and appropriate provisions in the Applicable Tariffs and any applicable servicing arrangements so that any component of DWR Charges billed and collected by such Non-Utility are remitted to Utility. Utility is directed to accept payment from such Non-Utility in respect of each applicable component of DWR Charges billed and collected through Non-Utility Bills in such forms and methods and at such times and places as the Utility and each Non-Utility shall mutually agree in accordance with Applicable Commission Orders and Applicable Tariffs. Upon remittance of any amounts by the Non-Utility to Utility for any applicable component of DWR Charges, Utility is directed to hold such charges in trust for the benefit of DWR (whether or not held together with other monies) and promptly remit and account for such amounts to DWR consistent with Applicable Law.</w:t>
      </w:r>
    </w:p>
    <w:p>
      <w:pPr>
        <w:spacing w:after="0" w:line="136" w:lineRule="exact"/>
        <w:rPr>
          <w:rFonts w:ascii="Arial" w:cs="Arial" w:eastAsia="Arial" w:hAnsi="Arial"/>
          <w:sz w:val="16"/>
          <w:szCs w:val="16"/>
          <w:color w:val="auto"/>
        </w:rPr>
      </w:pPr>
    </w:p>
    <w:p>
      <w:pPr>
        <w:jc w:val="both"/>
        <w:ind w:left="500" w:hanging="1"/>
        <w:spacing w:after="0" w:line="301" w:lineRule="auto"/>
        <w:tabs>
          <w:tab w:leader="none" w:pos="996" w:val="left"/>
        </w:tabs>
        <w:numPr>
          <w:ilvl w:val="0"/>
          <w:numId w:val="126"/>
        </w:numPr>
        <w:rPr>
          <w:rFonts w:ascii="Arial" w:cs="Arial" w:eastAsia="Arial" w:hAnsi="Arial"/>
          <w:sz w:val="14"/>
          <w:szCs w:val="14"/>
          <w:color w:val="auto"/>
        </w:rPr>
      </w:pPr>
      <w:r>
        <w:rPr>
          <w:rFonts w:ascii="Arial" w:cs="Arial" w:eastAsia="Arial" w:hAnsi="Arial"/>
          <w:sz w:val="14"/>
          <w:szCs w:val="14"/>
          <w:color w:val="auto"/>
        </w:rPr>
        <w:t>Prior to the MRTU Effective Date, Utility shall sell surplus Power on behalf of DWR, and provide invoicing and collection of amounts owed by third parties for such surplus Power sales made by Utility on DWR’s behalf and the allocation of such revenues to DWR. Surplus Power sales made by Utility on DWR’s behalf, including the invoicing and collection of amounts owed by third parties and credit risk management, shall be conducted by Utility in accordance with Applicable Commission Orders, including but not limited to, the Contract Allocation Order, Applicable Tariffs, the Operating Order and Service Attachment 2 hereto.</w:t>
      </w:r>
    </w:p>
    <w:p>
      <w:pPr>
        <w:spacing w:after="0" w:line="91" w:lineRule="exact"/>
        <w:rPr>
          <w:rFonts w:ascii="Arial" w:cs="Arial" w:eastAsia="Arial" w:hAnsi="Arial"/>
          <w:sz w:val="14"/>
          <w:szCs w:val="14"/>
          <w:color w:val="auto"/>
        </w:rPr>
      </w:pPr>
    </w:p>
    <w:p>
      <w:pPr>
        <w:ind w:left="500" w:hanging="1"/>
        <w:spacing w:after="0" w:line="245" w:lineRule="auto"/>
        <w:tabs>
          <w:tab w:leader="none" w:pos="99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On behalf of DWR, Utility shall (i) follow its customary standards, policies and procedures in performing its duties hereunder and (ii) perform its duties hereunder using the same degree of care and diligence that Utility exercises for its own account.</w:t>
      </w:r>
    </w:p>
    <w:p>
      <w:pPr>
        <w:spacing w:after="0" w:line="128" w:lineRule="exact"/>
        <w:rPr>
          <w:rFonts w:ascii="Arial" w:cs="Arial" w:eastAsia="Arial" w:hAnsi="Arial"/>
          <w:sz w:val="17"/>
          <w:szCs w:val="17"/>
          <w:color w:val="auto"/>
        </w:rPr>
      </w:pPr>
    </w:p>
    <w:p>
      <w:pPr>
        <w:jc w:val="both"/>
        <w:ind w:left="500" w:hanging="1"/>
        <w:spacing w:after="0" w:line="259" w:lineRule="auto"/>
        <w:tabs>
          <w:tab w:leader="none" w:pos="99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For surplus Power sales to third parties, prior to the MRTU Effective Date, Utility shall apply prudent credit risk management criteria to ensure that such purchasers meet or exceed DWR credit criteria, or in the absence of such DWR designated criteria, and then consistent with industry accepted credit standards. If Utility sells surplus Power to an entity that requires collateral, the cost and obligation to post such collateral shall be Utility’s responsibility.</w:t>
      </w:r>
    </w:p>
    <w:p>
      <w:pPr>
        <w:spacing w:after="0" w:line="127" w:lineRule="exact"/>
        <w:rPr>
          <w:rFonts w:ascii="Arial" w:cs="Arial" w:eastAsia="Arial" w:hAnsi="Arial"/>
          <w:sz w:val="16"/>
          <w:szCs w:val="16"/>
          <w:color w:val="auto"/>
        </w:rPr>
      </w:pPr>
    </w:p>
    <w:p>
      <w:pPr>
        <w:ind w:left="500" w:hanging="1"/>
        <w:spacing w:after="0" w:line="245" w:lineRule="auto"/>
        <w:tabs>
          <w:tab w:leader="none" w:pos="99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Prior to the MRTU Effective Date, Utility shall be responsible for all transaction fees or other costs associated with the sale of surplus Power imposed by third-party purchasers or any agents of Utility or such purchaser, all as further provided in Exhibit C of the Operating Order.</w:t>
      </w:r>
    </w:p>
    <w:p>
      <w:pPr>
        <w:spacing w:after="0" w:line="124"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3.2.</w:t>
      </w:r>
      <w:r>
        <w:rPr>
          <w:sz w:val="20"/>
          <w:szCs w:val="20"/>
          <w:color w:val="auto"/>
        </w:rPr>
        <w:tab/>
      </w:r>
      <w:r>
        <w:rPr>
          <w:rFonts w:ascii="Arial" w:cs="Arial" w:eastAsia="Arial" w:hAnsi="Arial"/>
          <w:sz w:val="14"/>
          <w:szCs w:val="14"/>
          <w:b w:val="1"/>
          <w:bCs w:val="1"/>
          <w:color w:val="auto"/>
        </w:rPr>
        <w:t>Modification of Billing and Metering Systems.</w:t>
      </w:r>
    </w:p>
    <w:p>
      <w:pPr>
        <w:spacing w:after="0" w:line="160" w:lineRule="exact"/>
        <w:rPr>
          <w:sz w:val="20"/>
          <w:szCs w:val="20"/>
          <w:color w:val="auto"/>
        </w:rPr>
      </w:pPr>
    </w:p>
    <w:p>
      <w:pPr>
        <w:jc w:val="both"/>
        <w:ind w:left="500"/>
        <w:spacing w:after="0" w:line="291" w:lineRule="auto"/>
        <w:rPr>
          <w:sz w:val="20"/>
          <w:szCs w:val="20"/>
          <w:color w:val="auto"/>
        </w:rPr>
      </w:pPr>
      <w:r>
        <w:rPr>
          <w:rFonts w:ascii="Arial" w:cs="Arial" w:eastAsia="Arial" w:hAnsi="Arial"/>
          <w:sz w:val="14"/>
          <w:szCs w:val="14"/>
          <w:color w:val="auto"/>
        </w:rPr>
        <w:t>Utility shall have the right to modify and replace its billing and metering systems, subject to the requirements of Applicable Law, if any. However, to the extent that such modifications and replacements materially interrupt Services provided by Utility to DWR, Utility shall provide to DWR, as soon as reasonably practicable, prior written notice of any such changes, including, but not limited to, such changes as are required by Applicable Law or Applicable Commission Order(s). Moreover, to the extent any such modifications would affect the collection of DWR Charges or, prior to the MRTU Effective Date, DWR Surplus Energy Sales Revenues, in a manner which is different from the collection of Utility Charges or other Utility revenues, such as revenue from the sale of Power, Utility shall obtain DWR’s prior written consent to such modifications, which consent DWR agrees shall not be unreasonably withheld or delayed.</w:t>
      </w:r>
    </w:p>
    <w:p>
      <w:pPr>
        <w:spacing w:after="0" w:line="96"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3.3.</w:t>
      </w:r>
      <w:r>
        <w:rPr>
          <w:sz w:val="20"/>
          <w:szCs w:val="20"/>
          <w:color w:val="auto"/>
        </w:rPr>
        <w:tab/>
      </w:r>
      <w:r>
        <w:rPr>
          <w:rFonts w:ascii="Arial" w:cs="Arial" w:eastAsia="Arial" w:hAnsi="Arial"/>
          <w:sz w:val="14"/>
          <w:szCs w:val="14"/>
          <w:b w:val="1"/>
          <w:bCs w:val="1"/>
          <w:color w:val="auto"/>
        </w:rPr>
        <w:t>Customer Inquiries.</w:t>
      </w:r>
    </w:p>
    <w:p>
      <w:pPr>
        <w:spacing w:after="0" w:line="160" w:lineRule="exact"/>
        <w:rPr>
          <w:sz w:val="20"/>
          <w:szCs w:val="20"/>
          <w:color w:val="auto"/>
        </w:rPr>
      </w:pPr>
    </w:p>
    <w:p>
      <w:pPr>
        <w:jc w:val="both"/>
        <w:ind w:left="500"/>
        <w:spacing w:after="0" w:line="233" w:lineRule="auto"/>
        <w:rPr>
          <w:sz w:val="20"/>
          <w:szCs w:val="20"/>
          <w:color w:val="auto"/>
        </w:rPr>
      </w:pPr>
      <w:r>
        <w:rPr>
          <w:rFonts w:ascii="Arial" w:cs="Arial" w:eastAsia="Arial" w:hAnsi="Arial"/>
          <w:sz w:val="17"/>
          <w:szCs w:val="17"/>
          <w:color w:val="auto"/>
        </w:rPr>
        <w:t>Utility shall address all Customer inquiries regarding DWR Charges. DWR agrees to provide all necessary information to Utility in order to permit Utility to respond to all Customer inquiries on a timely basis. In extraordinary circumstances, Utility will refer Customer inquiries to DWR in a manner to be agreed upon by the Parties. In the event that either (i) DWR’s failure to provide all such necessary information to Utility, (ii) DWR’s provision of inaccurate information or (iii) DWR’s failure to handle Customer inquiries referred to it by Utility in extraordinary circumstances in the manner agreed upon by the Parties results in Utility’s non-compliance with its obligations under this Section 3.3, such non-compliance will not constitute a material breach of this Servicing Order and will not give DWR the right to terminate this Servicing Order.</w:t>
      </w:r>
    </w:p>
    <w:p>
      <w:pPr>
        <w:spacing w:after="0" w:line="139"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3.4.</w:t>
      </w:r>
      <w:r>
        <w:rPr>
          <w:sz w:val="20"/>
          <w:szCs w:val="20"/>
          <w:color w:val="auto"/>
        </w:rPr>
        <w:tab/>
      </w:r>
      <w:r>
        <w:rPr>
          <w:rFonts w:ascii="Arial" w:cs="Arial" w:eastAsia="Arial" w:hAnsi="Arial"/>
          <w:sz w:val="14"/>
          <w:szCs w:val="14"/>
          <w:b w:val="1"/>
          <w:bCs w:val="1"/>
          <w:color w:val="auto"/>
        </w:rPr>
        <w:t>Inquiries from Third Party Power Purchasers.</w:t>
      </w:r>
    </w:p>
    <w:p>
      <w:pPr>
        <w:sectPr>
          <w:pgSz w:w="11900" w:h="16838" w:orient="portrait"/>
          <w:cols w:equalWidth="0" w:num="1">
            <w:col w:w="11460"/>
          </w:cols>
          <w:pgMar w:left="220" w:top="124" w:right="219" w:bottom="0" w:gutter="0" w:footer="0" w:header="0"/>
        </w:sectPr>
      </w:pPr>
    </w:p>
    <w:bookmarkStart w:id="110" w:name="page111"/>
    <w:bookmarkEnd w:id="110"/>
    <w:p>
      <w:pPr>
        <w:spacing w:after="0" w:line="74" w:lineRule="exact"/>
        <w:rPr>
          <w:sz w:val="20"/>
          <w:szCs w:val="20"/>
          <w:color w:val="auto"/>
        </w:rPr>
      </w:pPr>
    </w:p>
    <w:p>
      <w:pPr>
        <w:jc w:val="both"/>
        <w:ind w:left="500"/>
        <w:spacing w:after="0" w:line="312" w:lineRule="auto"/>
        <w:rPr>
          <w:sz w:val="20"/>
          <w:szCs w:val="20"/>
          <w:color w:val="auto"/>
        </w:rPr>
      </w:pPr>
      <w:r>
        <w:rPr>
          <w:rFonts w:ascii="Arial" w:cs="Arial" w:eastAsia="Arial" w:hAnsi="Arial"/>
          <w:sz w:val="14"/>
          <w:szCs w:val="14"/>
          <w:color w:val="auto"/>
        </w:rPr>
        <w:t>So long as Utility, as agent to DWR, sells surplus Power to third-party purchasers, Utility shall address all third-party purchasers’ inquiries regarding such surplus Power sales. If Utility and any third-party purchaser should have a dispute with respect to the sale of surplus Power, Utility shall resolve all such disputes. Utility shall apply the same practices to the resolution of such disputes as Utility uses to resolve disputes related to any other transaction with such third-party purchaser.</w:t>
      </w:r>
    </w:p>
    <w:p>
      <w:pPr>
        <w:spacing w:after="0" w:line="81"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4"/>
          <w:szCs w:val="14"/>
          <w:b w:val="1"/>
          <w:bCs w:val="1"/>
          <w:color w:val="auto"/>
        </w:rPr>
        <w:t>DWR Revenues; Remittance of DWR Revenues.</w:t>
      </w:r>
    </w:p>
    <w:p>
      <w:pPr>
        <w:spacing w:after="0" w:line="156"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4.1.</w:t>
      </w:r>
      <w:r>
        <w:rPr>
          <w:sz w:val="20"/>
          <w:szCs w:val="20"/>
          <w:color w:val="auto"/>
        </w:rPr>
        <w:tab/>
      </w:r>
      <w:r>
        <w:rPr>
          <w:rFonts w:ascii="Arial" w:cs="Arial" w:eastAsia="Arial" w:hAnsi="Arial"/>
          <w:sz w:val="14"/>
          <w:szCs w:val="14"/>
          <w:b w:val="1"/>
          <w:bCs w:val="1"/>
          <w:color w:val="auto"/>
        </w:rPr>
        <w:t>DWR Revenues.</w:t>
      </w:r>
    </w:p>
    <w:p>
      <w:pPr>
        <w:spacing w:after="0" w:line="160" w:lineRule="exact"/>
        <w:rPr>
          <w:sz w:val="20"/>
          <w:szCs w:val="20"/>
          <w:color w:val="auto"/>
        </w:rPr>
      </w:pPr>
    </w:p>
    <w:p>
      <w:pPr>
        <w:jc w:val="both"/>
        <w:ind w:left="500"/>
        <w:spacing w:after="0" w:line="235" w:lineRule="auto"/>
        <w:rPr>
          <w:sz w:val="20"/>
          <w:szCs w:val="20"/>
          <w:color w:val="auto"/>
        </w:rPr>
      </w:pPr>
      <w:r>
        <w:rPr>
          <w:rFonts w:ascii="Arial" w:cs="Arial" w:eastAsia="Arial" w:hAnsi="Arial"/>
          <w:sz w:val="17"/>
          <w:szCs w:val="17"/>
          <w:color w:val="auto"/>
        </w:rPr>
        <w:t>DWR Revenues required to be remitted to DWR under this Servicing Order shall be based upon DWR Charges in effect from time to time pursuant to Applicable Law and Attachment B to this Servicing Order and the Appendices to such Attachment B. Prior to the MRTU Effective Date, in addition to the remittance of DWR Charges, DWR Surplus Energy Sales Revenues also shall be remitted based upon the principles set forth in Exhibit C of the Operating Order and as further provided in Service Attachment 2 hereto.</w:t>
      </w:r>
    </w:p>
    <w:p>
      <w:pPr>
        <w:spacing w:after="0" w:line="130"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4.2.</w:t>
      </w:r>
      <w:r>
        <w:rPr>
          <w:sz w:val="20"/>
          <w:szCs w:val="20"/>
          <w:color w:val="auto"/>
        </w:rPr>
        <w:tab/>
      </w:r>
      <w:r>
        <w:rPr>
          <w:rFonts w:ascii="Arial" w:cs="Arial" w:eastAsia="Arial" w:hAnsi="Arial"/>
          <w:sz w:val="14"/>
          <w:szCs w:val="14"/>
          <w:b w:val="1"/>
          <w:bCs w:val="1"/>
          <w:color w:val="auto"/>
        </w:rPr>
        <w:t>Remittance of DWR Revenues.</w:t>
      </w:r>
    </w:p>
    <w:p>
      <w:pPr>
        <w:spacing w:after="0" w:line="150" w:lineRule="exact"/>
        <w:rPr>
          <w:sz w:val="20"/>
          <w:szCs w:val="20"/>
          <w:color w:val="auto"/>
        </w:rPr>
      </w:pPr>
    </w:p>
    <w:p>
      <w:pPr>
        <w:jc w:val="both"/>
        <w:ind w:left="500" w:hanging="1"/>
        <w:spacing w:after="0" w:line="253" w:lineRule="auto"/>
        <w:tabs>
          <w:tab w:leader="none" w:pos="99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Utility shall determine the Daily Remittance amount for each Fund Type and for each applicable Customer Type, consistent with the provisions of the Appendices of Attachment B hereto. As of the Effective Date of the 2007 Servicing Order, DWR Charge components relating to the following Fund Types for the Customer Types have been identified by DWR and Utility; however, the collection and remittance of DWR Charges from the Customer Types identified below will not begin until Applicable Commission Orders that require the Utility to perform such services are final and effective:</w:t>
      </w:r>
    </w:p>
    <w:p>
      <w:pPr>
        <w:spacing w:after="0" w:line="133" w:lineRule="exact"/>
        <w:rPr>
          <w:rFonts w:ascii="Arial" w:cs="Arial" w:eastAsia="Arial" w:hAnsi="Arial"/>
          <w:sz w:val="16"/>
          <w:szCs w:val="16"/>
          <w:color w:val="auto"/>
        </w:rPr>
      </w:pPr>
    </w:p>
    <w:p>
      <w:pPr>
        <w:ind w:left="1000" w:hanging="5"/>
        <w:spacing w:after="0" w:line="245" w:lineRule="auto"/>
        <w:tabs>
          <w:tab w:leader="none" w:pos="1496" w:val="left"/>
        </w:tabs>
        <w:numPr>
          <w:ilvl w:val="1"/>
          <w:numId w:val="127"/>
        </w:numPr>
        <w:rPr>
          <w:rFonts w:ascii="Arial" w:cs="Arial" w:eastAsia="Arial" w:hAnsi="Arial"/>
          <w:sz w:val="17"/>
          <w:szCs w:val="17"/>
          <w:color w:val="auto"/>
        </w:rPr>
      </w:pPr>
      <w:r>
        <w:rPr>
          <w:rFonts w:ascii="Arial" w:cs="Arial" w:eastAsia="Arial" w:hAnsi="Arial"/>
          <w:sz w:val="17"/>
          <w:szCs w:val="17"/>
          <w:u w:val="single" w:color="auto"/>
          <w:color w:val="auto"/>
        </w:rPr>
        <w:t>Bundled Customers - Bond Charge</w:t>
      </w:r>
      <w:r>
        <w:rPr>
          <w:rFonts w:ascii="Arial" w:cs="Arial" w:eastAsia="Arial" w:hAnsi="Arial"/>
          <w:sz w:val="17"/>
          <w:szCs w:val="17"/>
          <w:color w:val="auto"/>
        </w:rPr>
        <w:t>. Utility is directed to remit Bond Charge for Bundled Customers to DWR, all as further provided in Attachment B and as further provided in Appendix A-1 to Attachment B of this Servicing Order.</w:t>
      </w:r>
    </w:p>
    <w:p>
      <w:pPr>
        <w:spacing w:after="0" w:line="128" w:lineRule="exact"/>
        <w:rPr>
          <w:rFonts w:ascii="Arial" w:cs="Arial" w:eastAsia="Arial" w:hAnsi="Arial"/>
          <w:sz w:val="17"/>
          <w:szCs w:val="17"/>
          <w:color w:val="auto"/>
        </w:rPr>
      </w:pPr>
    </w:p>
    <w:p>
      <w:pPr>
        <w:jc w:val="both"/>
        <w:ind w:left="1000" w:hanging="5"/>
        <w:spacing w:after="0" w:line="301" w:lineRule="auto"/>
        <w:tabs>
          <w:tab w:leader="none" w:pos="1496" w:val="left"/>
        </w:tabs>
        <w:numPr>
          <w:ilvl w:val="1"/>
          <w:numId w:val="127"/>
        </w:numPr>
        <w:rPr>
          <w:rFonts w:ascii="Arial" w:cs="Arial" w:eastAsia="Arial" w:hAnsi="Arial"/>
          <w:sz w:val="14"/>
          <w:szCs w:val="14"/>
          <w:color w:val="auto"/>
        </w:rPr>
      </w:pPr>
      <w:r>
        <w:rPr>
          <w:rFonts w:ascii="Arial" w:cs="Arial" w:eastAsia="Arial" w:hAnsi="Arial"/>
          <w:sz w:val="14"/>
          <w:szCs w:val="14"/>
          <w:u w:val="single" w:color="auto"/>
          <w:color w:val="auto"/>
        </w:rPr>
        <w:t>Bundled Customers - Power Charge</w:t>
      </w:r>
      <w:r>
        <w:rPr>
          <w:rFonts w:ascii="Arial" w:cs="Arial" w:eastAsia="Arial" w:hAnsi="Arial"/>
          <w:sz w:val="14"/>
          <w:szCs w:val="14"/>
          <w:color w:val="auto"/>
        </w:rPr>
        <w:t>. Prior to the Operating Order Effective Date, Utility remitted Power Charge for Bundled Customers to DWR based on the amounts collected from Bundled Customers for actual DWR Power supplied, all as further described in Attachment B of the 2003 Servicing Order. On and after the Operating Order Effective Date, Utility is directed to remit Power Charge for Bundled Customers, consistent with the principles set forth in Exhibit C of the Operating Order and as further provided in Attachment B and in Appendix A-2 to Attachment B of this Servicing Order.</w:t>
      </w:r>
    </w:p>
    <w:p>
      <w:pPr>
        <w:spacing w:after="0" w:line="91" w:lineRule="exact"/>
        <w:rPr>
          <w:rFonts w:ascii="Arial" w:cs="Arial" w:eastAsia="Arial" w:hAnsi="Arial"/>
          <w:sz w:val="14"/>
          <w:szCs w:val="14"/>
          <w:color w:val="auto"/>
        </w:rPr>
      </w:pPr>
    </w:p>
    <w:p>
      <w:pPr>
        <w:ind w:left="1000" w:hanging="5"/>
        <w:spacing w:after="0" w:line="245" w:lineRule="auto"/>
        <w:tabs>
          <w:tab w:leader="none" w:pos="1496" w:val="left"/>
        </w:tabs>
        <w:numPr>
          <w:ilvl w:val="1"/>
          <w:numId w:val="127"/>
        </w:numPr>
        <w:rPr>
          <w:rFonts w:ascii="Arial" w:cs="Arial" w:eastAsia="Arial" w:hAnsi="Arial"/>
          <w:sz w:val="17"/>
          <w:szCs w:val="17"/>
          <w:color w:val="auto"/>
        </w:rPr>
      </w:pPr>
      <w:r>
        <w:rPr>
          <w:rFonts w:ascii="Arial" w:cs="Arial" w:eastAsia="Arial" w:hAnsi="Arial"/>
          <w:sz w:val="17"/>
          <w:szCs w:val="17"/>
          <w:u w:val="single" w:color="auto"/>
          <w:color w:val="auto"/>
        </w:rPr>
        <w:t>Direct Access Customers - Bond Charge</w:t>
      </w:r>
      <w:r>
        <w:rPr>
          <w:rFonts w:ascii="Arial" w:cs="Arial" w:eastAsia="Arial" w:hAnsi="Arial"/>
          <w:sz w:val="17"/>
          <w:szCs w:val="17"/>
          <w:color w:val="auto"/>
        </w:rPr>
        <w:t>. Utility is directed to remit Bond Charge for Direct Access Customers to DWR, all as further provided in Attachment B and as further provided in Appendix B-1 to Attachment B of this Servicing Order.</w:t>
      </w:r>
    </w:p>
    <w:p>
      <w:pPr>
        <w:spacing w:after="0" w:line="138" w:lineRule="exact"/>
        <w:rPr>
          <w:rFonts w:ascii="Arial" w:cs="Arial" w:eastAsia="Arial" w:hAnsi="Arial"/>
          <w:sz w:val="17"/>
          <w:szCs w:val="17"/>
          <w:color w:val="auto"/>
        </w:rPr>
      </w:pPr>
    </w:p>
    <w:p>
      <w:pPr>
        <w:ind w:left="1000" w:hanging="5"/>
        <w:spacing w:after="0" w:line="245" w:lineRule="auto"/>
        <w:tabs>
          <w:tab w:leader="none" w:pos="1496" w:val="left"/>
        </w:tabs>
        <w:numPr>
          <w:ilvl w:val="1"/>
          <w:numId w:val="127"/>
        </w:numPr>
        <w:rPr>
          <w:rFonts w:ascii="Arial" w:cs="Arial" w:eastAsia="Arial" w:hAnsi="Arial"/>
          <w:sz w:val="17"/>
          <w:szCs w:val="17"/>
          <w:color w:val="auto"/>
        </w:rPr>
      </w:pPr>
      <w:r>
        <w:rPr>
          <w:rFonts w:ascii="Arial" w:cs="Arial" w:eastAsia="Arial" w:hAnsi="Arial"/>
          <w:sz w:val="17"/>
          <w:szCs w:val="17"/>
          <w:u w:val="single" w:color="auto"/>
          <w:color w:val="auto"/>
        </w:rPr>
        <w:t>Direct Access Customers - Power Charge</w:t>
      </w:r>
      <w:r>
        <w:rPr>
          <w:rFonts w:ascii="Arial" w:cs="Arial" w:eastAsia="Arial" w:hAnsi="Arial"/>
          <w:sz w:val="17"/>
          <w:szCs w:val="17"/>
          <w:color w:val="auto"/>
        </w:rPr>
        <w:t>. Utility is directed to remit Power Charge for Direct Access Customers to DWR, all as further provided in Attachment B and as further provided in Appendix B-2 to Attachment B of this Servicing Order.</w:t>
      </w:r>
    </w:p>
    <w:p>
      <w:pPr>
        <w:spacing w:after="0" w:line="128" w:lineRule="exact"/>
        <w:rPr>
          <w:rFonts w:ascii="Arial" w:cs="Arial" w:eastAsia="Arial" w:hAnsi="Arial"/>
          <w:sz w:val="17"/>
          <w:szCs w:val="17"/>
          <w:color w:val="auto"/>
        </w:rPr>
      </w:pPr>
    </w:p>
    <w:p>
      <w:pPr>
        <w:ind w:left="1000" w:hanging="5"/>
        <w:spacing w:after="0" w:line="245" w:lineRule="auto"/>
        <w:tabs>
          <w:tab w:leader="none" w:pos="1496" w:val="left"/>
        </w:tabs>
        <w:numPr>
          <w:ilvl w:val="1"/>
          <w:numId w:val="127"/>
        </w:numPr>
        <w:rPr>
          <w:rFonts w:ascii="Arial" w:cs="Arial" w:eastAsia="Arial" w:hAnsi="Arial"/>
          <w:sz w:val="17"/>
          <w:szCs w:val="17"/>
          <w:color w:val="auto"/>
        </w:rPr>
      </w:pPr>
      <w:r>
        <w:rPr>
          <w:rFonts w:ascii="Arial" w:cs="Arial" w:eastAsia="Arial" w:hAnsi="Arial"/>
          <w:sz w:val="17"/>
          <w:szCs w:val="17"/>
          <w:u w:val="single" w:color="auto"/>
          <w:color w:val="auto"/>
        </w:rPr>
        <w:t>Customer Generation Departing Load - Bond Charge</w:t>
      </w:r>
      <w:r>
        <w:rPr>
          <w:rFonts w:ascii="Arial" w:cs="Arial" w:eastAsia="Arial" w:hAnsi="Arial"/>
          <w:sz w:val="17"/>
          <w:szCs w:val="17"/>
          <w:color w:val="auto"/>
        </w:rPr>
        <w:t>. Utility is directed to remit Bond Charge for Customer Generation Departing Load to DWR, all as further provided in Attachment B and as further provided in Appendix C-1 to Attachment B of this Servicing Order.</w:t>
      </w:r>
    </w:p>
    <w:p>
      <w:pPr>
        <w:spacing w:after="0" w:line="128" w:lineRule="exact"/>
        <w:rPr>
          <w:rFonts w:ascii="Arial" w:cs="Arial" w:eastAsia="Arial" w:hAnsi="Arial"/>
          <w:sz w:val="17"/>
          <w:szCs w:val="17"/>
          <w:color w:val="auto"/>
        </w:rPr>
      </w:pPr>
    </w:p>
    <w:p>
      <w:pPr>
        <w:ind w:left="1000" w:hanging="5"/>
        <w:spacing w:after="0" w:line="245" w:lineRule="auto"/>
        <w:tabs>
          <w:tab w:leader="none" w:pos="1496" w:val="left"/>
        </w:tabs>
        <w:numPr>
          <w:ilvl w:val="1"/>
          <w:numId w:val="127"/>
        </w:numPr>
        <w:rPr>
          <w:rFonts w:ascii="Arial" w:cs="Arial" w:eastAsia="Arial" w:hAnsi="Arial"/>
          <w:sz w:val="17"/>
          <w:szCs w:val="17"/>
          <w:color w:val="auto"/>
        </w:rPr>
      </w:pPr>
      <w:r>
        <w:rPr>
          <w:rFonts w:ascii="Arial" w:cs="Arial" w:eastAsia="Arial" w:hAnsi="Arial"/>
          <w:sz w:val="17"/>
          <w:szCs w:val="17"/>
          <w:u w:val="single" w:color="auto"/>
          <w:color w:val="auto"/>
        </w:rPr>
        <w:t>Customer Generation Departing Load -Power Charge</w:t>
      </w:r>
      <w:r>
        <w:rPr>
          <w:rFonts w:ascii="Arial" w:cs="Arial" w:eastAsia="Arial" w:hAnsi="Arial"/>
          <w:sz w:val="17"/>
          <w:szCs w:val="17"/>
          <w:color w:val="auto"/>
        </w:rPr>
        <w:t>. Utility is directed to remit Power Charge for Customer Generation Departing Load to DWR, all as further provided in Attachment B and as further provided in Appendix C-2 to Attachment B of this Servicing Order.</w:t>
      </w:r>
    </w:p>
    <w:p>
      <w:pPr>
        <w:spacing w:after="0" w:line="138" w:lineRule="exact"/>
        <w:rPr>
          <w:rFonts w:ascii="Arial" w:cs="Arial" w:eastAsia="Arial" w:hAnsi="Arial"/>
          <w:sz w:val="17"/>
          <w:szCs w:val="17"/>
          <w:color w:val="auto"/>
        </w:rPr>
      </w:pPr>
    </w:p>
    <w:p>
      <w:pPr>
        <w:jc w:val="both"/>
        <w:ind w:left="1000" w:hanging="5"/>
        <w:spacing w:after="0" w:line="237" w:lineRule="auto"/>
        <w:tabs>
          <w:tab w:leader="none" w:pos="1496" w:val="left"/>
        </w:tabs>
        <w:numPr>
          <w:ilvl w:val="1"/>
          <w:numId w:val="127"/>
        </w:numPr>
        <w:rPr>
          <w:rFonts w:ascii="Arial" w:cs="Arial" w:eastAsia="Arial" w:hAnsi="Arial"/>
          <w:sz w:val="17"/>
          <w:szCs w:val="17"/>
          <w:color w:val="auto"/>
        </w:rPr>
      </w:pPr>
      <w:r>
        <w:rPr>
          <w:rFonts w:ascii="Arial" w:cs="Arial" w:eastAsia="Arial" w:hAnsi="Arial"/>
          <w:sz w:val="17"/>
          <w:szCs w:val="17"/>
          <w:u w:val="single" w:color="auto"/>
          <w:color w:val="auto"/>
        </w:rPr>
        <w:t>Municipal Departing Load - Bond Charge</w:t>
      </w:r>
      <w:r>
        <w:rPr>
          <w:rFonts w:ascii="Arial" w:cs="Arial" w:eastAsia="Arial" w:hAnsi="Arial"/>
          <w:sz w:val="17"/>
          <w:szCs w:val="17"/>
          <w:color w:val="auto"/>
        </w:rPr>
        <w:t>. Upon commencement of billing and collection of Bond Charge for Municipal Departing Load, to the extent that Utility is involved, the Parties intend to revise and update Appendix D-1 to Attachment B of this Servicing Order and reflect applicable remittance methods as an event contemplated under Section 10(a)(vi) of this Servicing Order.</w:t>
      </w:r>
    </w:p>
    <w:p>
      <w:pPr>
        <w:spacing w:after="0" w:line="134" w:lineRule="exact"/>
        <w:rPr>
          <w:rFonts w:ascii="Arial" w:cs="Arial" w:eastAsia="Arial" w:hAnsi="Arial"/>
          <w:sz w:val="17"/>
          <w:szCs w:val="17"/>
          <w:color w:val="auto"/>
        </w:rPr>
      </w:pPr>
    </w:p>
    <w:p>
      <w:pPr>
        <w:jc w:val="both"/>
        <w:ind w:left="1000" w:hanging="5"/>
        <w:spacing w:after="0" w:line="237" w:lineRule="auto"/>
        <w:tabs>
          <w:tab w:leader="none" w:pos="1496" w:val="left"/>
        </w:tabs>
        <w:numPr>
          <w:ilvl w:val="1"/>
          <w:numId w:val="127"/>
        </w:numPr>
        <w:rPr>
          <w:rFonts w:ascii="Arial" w:cs="Arial" w:eastAsia="Arial" w:hAnsi="Arial"/>
          <w:sz w:val="17"/>
          <w:szCs w:val="17"/>
          <w:color w:val="auto"/>
        </w:rPr>
      </w:pPr>
      <w:r>
        <w:rPr>
          <w:rFonts w:ascii="Arial" w:cs="Arial" w:eastAsia="Arial" w:hAnsi="Arial"/>
          <w:sz w:val="17"/>
          <w:szCs w:val="17"/>
          <w:u w:val="single" w:color="auto"/>
          <w:color w:val="auto"/>
        </w:rPr>
        <w:t>Municipal Departing Load - Power Charge</w:t>
      </w:r>
      <w:r>
        <w:rPr>
          <w:rFonts w:ascii="Arial" w:cs="Arial" w:eastAsia="Arial" w:hAnsi="Arial"/>
          <w:sz w:val="17"/>
          <w:szCs w:val="17"/>
          <w:color w:val="auto"/>
        </w:rPr>
        <w:t>. Upon commencement of billing and collection of Power Charge for Municipal Departing Load, to the extent that Utility is involved, the Parties intend to revise and update Appendix D2 to Attachment B of this Servicing Order and reflect applicable remittance methods as an event contemplated under Section 10(a)(vi) of this Servicing Order.</w:t>
      </w:r>
    </w:p>
    <w:p>
      <w:pPr>
        <w:spacing w:after="0" w:line="134" w:lineRule="exact"/>
        <w:rPr>
          <w:rFonts w:ascii="Arial" w:cs="Arial" w:eastAsia="Arial" w:hAnsi="Arial"/>
          <w:sz w:val="17"/>
          <w:szCs w:val="17"/>
          <w:color w:val="auto"/>
        </w:rPr>
      </w:pPr>
    </w:p>
    <w:p>
      <w:pPr>
        <w:jc w:val="both"/>
        <w:ind w:left="1000" w:hanging="5"/>
        <w:spacing w:after="0" w:line="237" w:lineRule="auto"/>
        <w:tabs>
          <w:tab w:leader="none" w:pos="1496" w:val="left"/>
        </w:tabs>
        <w:numPr>
          <w:ilvl w:val="1"/>
          <w:numId w:val="127"/>
        </w:numPr>
        <w:rPr>
          <w:rFonts w:ascii="Arial" w:cs="Arial" w:eastAsia="Arial" w:hAnsi="Arial"/>
          <w:sz w:val="17"/>
          <w:szCs w:val="17"/>
          <w:color w:val="auto"/>
        </w:rPr>
      </w:pPr>
      <w:r>
        <w:rPr>
          <w:rFonts w:ascii="Arial" w:cs="Arial" w:eastAsia="Arial" w:hAnsi="Arial"/>
          <w:sz w:val="17"/>
          <w:szCs w:val="17"/>
          <w:u w:val="single" w:color="auto"/>
          <w:color w:val="auto"/>
        </w:rPr>
        <w:t>Community Choice Aggregation - Bond Charge</w:t>
      </w:r>
      <w:r>
        <w:rPr>
          <w:rFonts w:ascii="Arial" w:cs="Arial" w:eastAsia="Arial" w:hAnsi="Arial"/>
          <w:sz w:val="17"/>
          <w:szCs w:val="17"/>
          <w:color w:val="auto"/>
        </w:rPr>
        <w:t>. Upon commencement of billing and collection of Bond Charge for Community Choice Aggregation, the Parties intend to revise and update Appendix E-1 to Attachment B of this Servicing Order and reflect applicable remittance methods, as an event contemplated under Section 10(a)(vi) of this Servicing Order.</w:t>
      </w:r>
    </w:p>
    <w:p>
      <w:pPr>
        <w:spacing w:after="0" w:line="144" w:lineRule="exact"/>
        <w:rPr>
          <w:rFonts w:ascii="Arial" w:cs="Arial" w:eastAsia="Arial" w:hAnsi="Arial"/>
          <w:sz w:val="17"/>
          <w:szCs w:val="17"/>
          <w:color w:val="auto"/>
        </w:rPr>
      </w:pPr>
    </w:p>
    <w:p>
      <w:pPr>
        <w:jc w:val="both"/>
        <w:ind w:left="1000" w:hanging="5"/>
        <w:spacing w:after="0" w:line="237" w:lineRule="auto"/>
        <w:tabs>
          <w:tab w:leader="none" w:pos="1496" w:val="left"/>
        </w:tabs>
        <w:numPr>
          <w:ilvl w:val="1"/>
          <w:numId w:val="127"/>
        </w:numPr>
        <w:rPr>
          <w:rFonts w:ascii="Arial" w:cs="Arial" w:eastAsia="Arial" w:hAnsi="Arial"/>
          <w:sz w:val="17"/>
          <w:szCs w:val="17"/>
          <w:color w:val="auto"/>
        </w:rPr>
      </w:pPr>
      <w:r>
        <w:rPr>
          <w:rFonts w:ascii="Arial" w:cs="Arial" w:eastAsia="Arial" w:hAnsi="Arial"/>
          <w:sz w:val="17"/>
          <w:szCs w:val="17"/>
          <w:u w:val="single" w:color="auto"/>
          <w:color w:val="auto"/>
        </w:rPr>
        <w:t>Community Choice Aggregation - Power Charge</w:t>
      </w:r>
      <w:r>
        <w:rPr>
          <w:rFonts w:ascii="Arial" w:cs="Arial" w:eastAsia="Arial" w:hAnsi="Arial"/>
          <w:sz w:val="17"/>
          <w:szCs w:val="17"/>
          <w:color w:val="auto"/>
        </w:rPr>
        <w:t>. Upon commencement of billing and collection of Power Charge for Community Choice Aggregation, the Parties intend to revise and update Appendix E-2 to Attachment B of this Servicing Order and reflect applicable remittance methods, as an event contemplated under Section 10(a)(vi) of this Servicing Order.</w:t>
      </w:r>
    </w:p>
    <w:p>
      <w:pPr>
        <w:spacing w:after="0" w:line="144" w:lineRule="exact"/>
        <w:rPr>
          <w:sz w:val="20"/>
          <w:szCs w:val="20"/>
          <w:color w:val="auto"/>
        </w:rPr>
      </w:pPr>
    </w:p>
    <w:p>
      <w:pPr>
        <w:jc w:val="both"/>
        <w:ind w:left="500" w:firstLine="496"/>
        <w:spacing w:after="0" w:line="235" w:lineRule="auto"/>
        <w:rPr>
          <w:sz w:val="20"/>
          <w:szCs w:val="20"/>
          <w:color w:val="auto"/>
        </w:rPr>
      </w:pPr>
      <w:r>
        <w:rPr>
          <w:rFonts w:ascii="Arial" w:cs="Arial" w:eastAsia="Arial" w:hAnsi="Arial"/>
          <w:sz w:val="17"/>
          <w:szCs w:val="17"/>
          <w:color w:val="auto"/>
        </w:rPr>
        <w:t>If the Utility determines that it has remitted amounts to DWR in error or DWR becomes aware of a material discrepancy in the remitted amounts, then DWR or the Utility, as the case may be, may provide notice of such event to the other Party (accompanied by an explanation of the facts surrounding such erroneous deposit), and the other Party will review such notice and information as soon as practicable and reach agreement as to such amount to be repaid. Such agreement shall not be unreasonably withheld or delayed by either Party.</w:t>
      </w:r>
    </w:p>
    <w:p>
      <w:pPr>
        <w:spacing w:after="0" w:line="134" w:lineRule="exact"/>
        <w:rPr>
          <w:sz w:val="20"/>
          <w:szCs w:val="20"/>
          <w:color w:val="auto"/>
        </w:rPr>
      </w:pPr>
    </w:p>
    <w:p>
      <w:pPr>
        <w:jc w:val="both"/>
        <w:ind w:left="500" w:hanging="1"/>
        <w:spacing w:after="0" w:line="237" w:lineRule="auto"/>
        <w:tabs>
          <w:tab w:leader="none" w:pos="996"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Each Remittance shall be accompanied by a Daily Remittance Report, substantially in the form set forth in Attachment C hereto. Utility will not be required at any time to advance or pay any of its own funds in the fulfillment of its responsibilities hereunder with respect to DWR Charges, except to the extent provided otherwise in the Attachments hereto.</w:t>
      </w:r>
    </w:p>
    <w:p>
      <w:pPr>
        <w:spacing w:after="0" w:line="144" w:lineRule="exact"/>
        <w:rPr>
          <w:rFonts w:ascii="Arial" w:cs="Arial" w:eastAsia="Arial" w:hAnsi="Arial"/>
          <w:sz w:val="17"/>
          <w:szCs w:val="17"/>
          <w:color w:val="auto"/>
        </w:rPr>
      </w:pPr>
    </w:p>
    <w:p>
      <w:pPr>
        <w:jc w:val="both"/>
        <w:ind w:left="500" w:hanging="1"/>
        <w:spacing w:after="0" w:line="237" w:lineRule="auto"/>
        <w:tabs>
          <w:tab w:leader="none" w:pos="996" w:val="left"/>
        </w:tabs>
        <w:numPr>
          <w:ilvl w:val="0"/>
          <w:numId w:val="128"/>
        </w:numPr>
        <w:rPr>
          <w:rFonts w:ascii="Arial" w:cs="Arial" w:eastAsia="Arial" w:hAnsi="Arial"/>
          <w:sz w:val="17"/>
          <w:szCs w:val="17"/>
          <w:color w:val="auto"/>
        </w:rPr>
      </w:pPr>
      <w:r>
        <w:rPr>
          <w:rFonts w:ascii="Arial" w:cs="Arial" w:eastAsia="Arial" w:hAnsi="Arial"/>
          <w:sz w:val="17"/>
          <w:szCs w:val="17"/>
          <w:color w:val="auto"/>
        </w:rPr>
        <w:t>Utility, from time to time, will make adjustments regarding amounts remitted as described in Attachment B and Appendices thereto. In addition, on and after the Effective Date, Monthly Billing Reports and Monthly Late Payment Charge Reports shall be filed with DWR by Utility, all as further provided in Attachments B and C hereto.</w:t>
      </w:r>
    </w:p>
    <w:p>
      <w:pPr>
        <w:spacing w:after="0" w:line="134" w:lineRule="exact"/>
        <w:rPr>
          <w:rFonts w:ascii="Arial" w:cs="Arial" w:eastAsia="Arial" w:hAnsi="Arial"/>
          <w:sz w:val="17"/>
          <w:szCs w:val="17"/>
          <w:color w:val="auto"/>
        </w:rPr>
      </w:pPr>
    </w:p>
    <w:p>
      <w:pPr>
        <w:jc w:val="both"/>
        <w:ind w:left="500" w:hanging="1"/>
        <w:spacing w:after="0" w:line="235" w:lineRule="auto"/>
        <w:tabs>
          <w:tab w:leader="none" w:pos="996"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Except as expressly provided in this Servicing Order (including Attachments hereto) or as otherwise expressly agreed to in writing by DWR, Utility shall not deduct from amounts due to DWR hereunder any amounts owing by DWR to Utility which relate to arrangements within or outside the scope of this Servicing Order, or any other amounts, and Utility expressly waives any right to do so. The foregoing shall not limit Utility’s rights to seek any other remedies permitted under other arrangements with DWR.</w:t>
      </w:r>
    </w:p>
    <w:p>
      <w:pPr>
        <w:spacing w:after="0" w:line="133" w:lineRule="exact"/>
        <w:rPr>
          <w:rFonts w:ascii="Arial" w:cs="Arial" w:eastAsia="Arial" w:hAnsi="Arial"/>
          <w:sz w:val="17"/>
          <w:szCs w:val="17"/>
          <w:color w:val="auto"/>
        </w:rPr>
      </w:pPr>
    </w:p>
    <w:p>
      <w:pPr>
        <w:jc w:val="both"/>
        <w:ind w:left="500" w:hanging="1"/>
        <w:spacing w:after="0" w:line="237" w:lineRule="auto"/>
        <w:tabs>
          <w:tab w:leader="none" w:pos="996" w:val="left"/>
        </w:tabs>
        <w:numPr>
          <w:ilvl w:val="0"/>
          <w:numId w:val="128"/>
        </w:numPr>
        <w:rPr>
          <w:rFonts w:ascii="Arial" w:cs="Arial" w:eastAsia="Arial" w:hAnsi="Arial"/>
          <w:sz w:val="17"/>
          <w:szCs w:val="17"/>
          <w:color w:val="auto"/>
        </w:rPr>
      </w:pPr>
      <w:r>
        <w:rPr>
          <w:rFonts w:ascii="Arial" w:cs="Arial" w:eastAsia="Arial" w:hAnsi="Arial"/>
          <w:sz w:val="17"/>
          <w:szCs w:val="17"/>
          <w:color w:val="auto"/>
        </w:rPr>
        <w:t>Prior to the MRTU Effective Date, Utility shall calculate and remit DWR Surplus Energy Sales Revenues determined consistent with the Contract Allocation Order and Exhibit C of the Operating Order and as further provided in Service Attachment 2 hereto. Each monthly Remittance for surplus Power sold on behalf of DWR shall be accompanied by written reports in forms set forth in Attachment C hereto.</w:t>
      </w:r>
    </w:p>
    <w:p>
      <w:pPr>
        <w:spacing w:after="0" w:line="140"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4.3.</w:t>
      </w:r>
      <w:r>
        <w:rPr>
          <w:sz w:val="20"/>
          <w:szCs w:val="20"/>
          <w:color w:val="auto"/>
        </w:rPr>
        <w:tab/>
      </w:r>
      <w:r>
        <w:rPr>
          <w:rFonts w:ascii="Arial" w:cs="Arial" w:eastAsia="Arial" w:hAnsi="Arial"/>
          <w:sz w:val="14"/>
          <w:szCs w:val="14"/>
          <w:b w:val="1"/>
          <w:bCs w:val="1"/>
          <w:color w:val="auto"/>
        </w:rPr>
        <w:t>20/20 Program and Future Similar Programs.</w:t>
      </w:r>
    </w:p>
    <w:p>
      <w:pPr>
        <w:spacing w:after="0" w:line="160" w:lineRule="exact"/>
        <w:rPr>
          <w:sz w:val="20"/>
          <w:szCs w:val="20"/>
          <w:color w:val="auto"/>
        </w:rPr>
      </w:pPr>
    </w:p>
    <w:p>
      <w:pPr>
        <w:jc w:val="both"/>
        <w:ind w:left="500"/>
        <w:spacing w:after="0" w:line="287" w:lineRule="auto"/>
        <w:rPr>
          <w:sz w:val="20"/>
          <w:szCs w:val="20"/>
          <w:color w:val="auto"/>
        </w:rPr>
      </w:pPr>
      <w:r>
        <w:rPr>
          <w:rFonts w:ascii="Arial" w:cs="Arial" w:eastAsia="Arial" w:hAnsi="Arial"/>
          <w:sz w:val="14"/>
          <w:szCs w:val="14"/>
          <w:color w:val="auto"/>
        </w:rPr>
        <w:t>To the extent that the program established in the California Governor’s Executive Order D-30-01, dated March 13, 2001, and Executive Order D-33-01, dated April 26, 2001, as the foregoing orders may be amended, supplemented, extended or otherwise modified (the “20/20 Program”), obligated DWR to make payments or extend credits to Customers or other third parties under such program, Remittances to DWR may have been reduced by such payments to the extent of DWR’s responsibility as required by Applicable Law and Applicable Tariffs. DWR acknowledges that Utility’s reasonable initial implementation and recurring administrative costs associated with such program has been paid by DWR in the same manner and at the same times as Utility’s Set-Up Fee and Recurring Fees, respectively, as described in Sections 7.2 and 7.3 below. Additionally, Utility has invoiced DWR for any other costs incurred by Utility under such program, and DWR has paid such invoices as Additional Charges, in the manner contemplated in Section 7 below. The method for calculating reduced Remittances to DWR under this Section 4.3, as well as Utility’s implementation and administration costs, shall be as set forth in Attachment F hereto.</w:t>
      </w:r>
    </w:p>
    <w:p>
      <w:pPr>
        <w:spacing w:after="0" w:line="114" w:lineRule="exact"/>
        <w:rPr>
          <w:sz w:val="20"/>
          <w:szCs w:val="20"/>
          <w:color w:val="auto"/>
        </w:rPr>
      </w:pPr>
    </w:p>
    <w:p>
      <w:pPr>
        <w:jc w:val="both"/>
        <w:ind w:left="500"/>
        <w:spacing w:after="0" w:line="313" w:lineRule="auto"/>
        <w:rPr>
          <w:sz w:val="20"/>
          <w:szCs w:val="20"/>
          <w:color w:val="auto"/>
        </w:rPr>
      </w:pPr>
      <w:r>
        <w:rPr>
          <w:rFonts w:ascii="Arial" w:cs="Arial" w:eastAsia="Arial" w:hAnsi="Arial"/>
          <w:sz w:val="14"/>
          <w:szCs w:val="14"/>
          <w:color w:val="auto"/>
        </w:rPr>
        <w:t>To the extent that, in the future, programs similar to the 20/20 Program are established which expressly obligate DWR under Applicable Law and Applicable Tariffs to make payments or extend credits to Customers or other third parties under such programs, DWR and Utility will implement processes similar to those used for the 20/20 Program as set forth in the immediately preceding paragraph or such other process, as may be mutually agreed upon by the Parties.</w:t>
      </w:r>
    </w:p>
    <w:p>
      <w:pPr>
        <w:sectPr>
          <w:pgSz w:w="11900" w:h="16912" w:orient="portrait"/>
          <w:cols w:equalWidth="0" w:num="1">
            <w:col w:w="11460"/>
          </w:cols>
          <w:pgMar w:left="220" w:top="124" w:right="219" w:bottom="0" w:gutter="0" w:footer="0" w:header="0"/>
        </w:sectPr>
      </w:pPr>
    </w:p>
    <w:bookmarkStart w:id="111" w:name="page112"/>
    <w:bookmarkEnd w:id="111"/>
    <w:p>
      <w:pPr>
        <w:spacing w:after="0"/>
        <w:tabs>
          <w:tab w:leader="none" w:pos="980" w:val="left"/>
        </w:tabs>
        <w:rPr>
          <w:sz w:val="20"/>
          <w:szCs w:val="20"/>
          <w:color w:val="auto"/>
        </w:rPr>
      </w:pPr>
      <w:r>
        <w:rPr>
          <w:rFonts w:ascii="Arial" w:cs="Arial" w:eastAsia="Arial" w:hAnsi="Arial"/>
          <w:sz w:val="17"/>
          <w:szCs w:val="17"/>
          <w:b w:val="1"/>
          <w:bCs w:val="1"/>
          <w:color w:val="auto"/>
        </w:rPr>
        <w:t>Section 5.</w:t>
      </w:r>
      <w:r>
        <w:rPr>
          <w:sz w:val="20"/>
          <w:szCs w:val="20"/>
          <w:color w:val="auto"/>
        </w:rPr>
        <w:tab/>
      </w:r>
      <w:r>
        <w:rPr>
          <w:rFonts w:ascii="Arial" w:cs="Arial" w:eastAsia="Arial" w:hAnsi="Arial"/>
          <w:sz w:val="14"/>
          <w:szCs w:val="14"/>
          <w:b w:val="1"/>
          <w:bCs w:val="1"/>
          <w:color w:val="auto"/>
        </w:rPr>
        <w:t>Term and Termination; Events of Default.</w:t>
      </w:r>
    </w:p>
    <w:p>
      <w:pPr>
        <w:spacing w:after="0" w:line="147"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5.1.</w:t>
      </w:r>
      <w:r>
        <w:rPr>
          <w:sz w:val="20"/>
          <w:szCs w:val="20"/>
          <w:color w:val="auto"/>
        </w:rPr>
        <w:tab/>
      </w:r>
      <w:r>
        <w:rPr>
          <w:rFonts w:ascii="Arial" w:cs="Arial" w:eastAsia="Arial" w:hAnsi="Arial"/>
          <w:sz w:val="14"/>
          <w:szCs w:val="14"/>
          <w:b w:val="1"/>
          <w:bCs w:val="1"/>
          <w:color w:val="auto"/>
        </w:rPr>
        <w:t>Term.</w:t>
      </w:r>
    </w:p>
    <w:p>
      <w:pPr>
        <w:spacing w:after="0" w:line="160" w:lineRule="exact"/>
        <w:rPr>
          <w:sz w:val="20"/>
          <w:szCs w:val="20"/>
          <w:color w:val="auto"/>
        </w:rPr>
      </w:pPr>
    </w:p>
    <w:p>
      <w:pPr>
        <w:jc w:val="both"/>
        <w:ind w:left="500"/>
        <w:spacing w:after="0" w:line="235" w:lineRule="auto"/>
        <w:rPr>
          <w:sz w:val="20"/>
          <w:szCs w:val="20"/>
          <w:color w:val="auto"/>
        </w:rPr>
      </w:pPr>
      <w:r>
        <w:rPr>
          <w:rFonts w:ascii="Arial" w:cs="Arial" w:eastAsia="Arial" w:hAnsi="Arial"/>
          <w:sz w:val="17"/>
          <w:szCs w:val="17"/>
          <w:color w:val="auto"/>
        </w:rPr>
        <w:t>The term of this Servicing Order (the “Term”) shall commence on the Effective Date and shall terminate on the earlier of (a) 180 calendar days after the last date DWR Charges are imposed on Customers, or (b) the earlier termination of this Servicing Order pursuant to this Section 5. This Servicing Order will also terminate as to each Contract, solely and individually, that is novated to Utility, without further action of either Party, but subject to Section 5.1(a) above with respect to such Contract.</w:t>
      </w:r>
    </w:p>
    <w:p>
      <w:pPr>
        <w:spacing w:after="0" w:line="140"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5.2.</w:t>
      </w:r>
      <w:r>
        <w:rPr>
          <w:sz w:val="20"/>
          <w:szCs w:val="20"/>
          <w:color w:val="auto"/>
        </w:rPr>
        <w:tab/>
      </w:r>
      <w:r>
        <w:rPr>
          <w:rFonts w:ascii="Arial" w:cs="Arial" w:eastAsia="Arial" w:hAnsi="Arial"/>
          <w:sz w:val="14"/>
          <w:szCs w:val="14"/>
          <w:b w:val="1"/>
          <w:bCs w:val="1"/>
          <w:color w:val="auto"/>
        </w:rPr>
        <w:t>Events of Default by Utility.</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events shall constitute “Events of Default” by Utility under this Servicing Order:</w:t>
      </w:r>
    </w:p>
    <w:p>
      <w:pPr>
        <w:spacing w:after="0" w:line="146" w:lineRule="exact"/>
        <w:rPr>
          <w:sz w:val="20"/>
          <w:szCs w:val="20"/>
          <w:color w:val="auto"/>
        </w:rPr>
      </w:pPr>
    </w:p>
    <w:p>
      <w:pPr>
        <w:jc w:val="both"/>
        <w:ind w:left="500" w:hanging="1"/>
        <w:spacing w:after="0" w:line="259" w:lineRule="auto"/>
        <w:tabs>
          <w:tab w:leader="none" w:pos="99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any failure by Utility to remit to DWR or its Assign(s) any required Remittance in the manner and at the time specified in this Servicing Order (except to the extent otherwise allowed under Sections 4.3 and 7.2) that continues unremedied for three (3) Utility Business Days after the earlier of the day Utility receives written notice thereof from DWR or the day the responsible manager at Utility first has actual knowledge of such failure; or</w:t>
      </w:r>
    </w:p>
    <w:p>
      <w:pPr>
        <w:spacing w:after="0" w:line="117" w:lineRule="exact"/>
        <w:rPr>
          <w:rFonts w:ascii="Arial" w:cs="Arial" w:eastAsia="Arial" w:hAnsi="Arial"/>
          <w:sz w:val="16"/>
          <w:szCs w:val="16"/>
          <w:color w:val="auto"/>
        </w:rPr>
      </w:pPr>
    </w:p>
    <w:p>
      <w:pPr>
        <w:ind w:left="1000" w:hanging="501"/>
        <w:spacing w:after="0"/>
        <w:tabs>
          <w:tab w:leader="none" w:pos="100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any failure by Utility to duly observe or perform in any material respect any other term or condition of Utility set forth in this Servicing Order, which failure</w:t>
      </w:r>
    </w:p>
    <w:p>
      <w:pPr>
        <w:spacing w:after="0" w:line="39" w:lineRule="exact"/>
        <w:rPr>
          <w:rFonts w:ascii="Arial" w:cs="Arial" w:eastAsia="Arial" w:hAnsi="Arial"/>
          <w:sz w:val="14"/>
          <w:szCs w:val="14"/>
          <w:color w:val="auto"/>
        </w:rPr>
      </w:pPr>
    </w:p>
    <w:p>
      <w:pPr>
        <w:ind w:left="500" w:hanging="1"/>
        <w:spacing w:after="0" w:line="234" w:lineRule="auto"/>
        <w:tabs>
          <w:tab w:leader="none" w:pos="699" w:val="left"/>
        </w:tabs>
        <w:numPr>
          <w:ilvl w:val="0"/>
          <w:numId w:val="130"/>
        </w:numPr>
        <w:rPr>
          <w:rFonts w:ascii="Arial" w:cs="Arial" w:eastAsia="Arial" w:hAnsi="Arial"/>
          <w:sz w:val="17"/>
          <w:szCs w:val="17"/>
          <w:color w:val="auto"/>
        </w:rPr>
      </w:pPr>
      <w:r>
        <w:rPr>
          <w:rFonts w:ascii="Arial" w:cs="Arial" w:eastAsia="Arial" w:hAnsi="Arial"/>
          <w:sz w:val="17"/>
          <w:szCs w:val="17"/>
          <w:color w:val="auto"/>
        </w:rPr>
        <w:t>materially and adversely affects the interests or rights of DWR or its Assign(s), and (ii) continues unremedied for a period of sixty (60) calendar days after written notice of such failure has been given to Utility by DWR or its Assign(s).</w:t>
      </w:r>
    </w:p>
    <w:p>
      <w:pPr>
        <w:spacing w:after="0" w:line="138"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5.3.</w:t>
      </w:r>
      <w:r>
        <w:rPr>
          <w:sz w:val="20"/>
          <w:szCs w:val="20"/>
          <w:color w:val="auto"/>
        </w:rPr>
        <w:tab/>
      </w:r>
      <w:r>
        <w:rPr>
          <w:rFonts w:ascii="Arial" w:cs="Arial" w:eastAsia="Arial" w:hAnsi="Arial"/>
          <w:sz w:val="14"/>
          <w:szCs w:val="14"/>
          <w:b w:val="1"/>
          <w:bCs w:val="1"/>
          <w:color w:val="auto"/>
        </w:rPr>
        <w:t>Consequences of Utility Events of Default.</w:t>
      </w:r>
    </w:p>
    <w:p>
      <w:pPr>
        <w:sectPr>
          <w:pgSz w:w="11900" w:h="16838" w:orient="portrait"/>
          <w:cols w:equalWidth="0" w:num="1">
            <w:col w:w="11460"/>
          </w:cols>
          <w:pgMar w:left="220" w:top="118" w:right="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5.5.</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both"/>
        <w:ind w:left="1"/>
        <w:spacing w:after="0" w:line="233" w:lineRule="auto"/>
        <w:rPr>
          <w:sz w:val="20"/>
          <w:szCs w:val="20"/>
          <w:color w:val="auto"/>
        </w:rPr>
      </w:pPr>
      <w:r>
        <w:rPr>
          <w:rFonts w:ascii="Arial" w:cs="Arial" w:eastAsia="Arial" w:hAnsi="Arial"/>
          <w:sz w:val="17"/>
          <w:szCs w:val="17"/>
          <w:color w:val="auto"/>
        </w:rPr>
        <w:t>Upon any Event of Default by Utility, DWR may, in addition to exercising any other remedies available under this Servicing Order or under Applicable Law, (i) apply to the Commission for appropriate relief, including but not limited to the termination of this Servicing Order in whole or in part (including Service Attachments); and (ii) apply to the Commission and, if necessary, any court of competent jurisdiction for sequestration and payment to DWR or its Assign(s) of DWR Revenues. Remittances not made to DWR by Utility on the date due (except to the extent Remittances were not made by operation of Sections 4.3, 7.2, 14.4 or Attachment B hereto) shall bear interest at the Prime Rate from the first day after the due date until the third Utility Business Day after the due date, and at the Late Payment Rate thereafter until paid.</w:t>
      </w:r>
    </w:p>
    <w:p>
      <w:pPr>
        <w:spacing w:after="0" w:line="129"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Defaults by DWR.</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7"/>
          <w:szCs w:val="17"/>
          <w:color w:val="auto"/>
        </w:rPr>
        <w:t>DWR agrees that it shall be in default under this Servicing Order upon:</w:t>
      </w:r>
    </w:p>
    <w:p>
      <w:pPr>
        <w:spacing w:after="0" w:line="146" w:lineRule="exact"/>
        <w:rPr>
          <w:sz w:val="20"/>
          <w:szCs w:val="20"/>
          <w:color w:val="auto"/>
        </w:rPr>
      </w:pPr>
    </w:p>
    <w:p>
      <w:pPr>
        <w:ind w:left="1" w:hanging="1"/>
        <w:spacing w:after="0" w:line="245" w:lineRule="auto"/>
        <w:tabs>
          <w:tab w:leader="none" w:pos="497" w:val="left"/>
        </w:tabs>
        <w:numPr>
          <w:ilvl w:val="0"/>
          <w:numId w:val="131"/>
        </w:numPr>
        <w:rPr>
          <w:rFonts w:ascii="Arial" w:cs="Arial" w:eastAsia="Arial" w:hAnsi="Arial"/>
          <w:sz w:val="17"/>
          <w:szCs w:val="17"/>
          <w:color w:val="auto"/>
        </w:rPr>
      </w:pPr>
      <w:r>
        <w:rPr>
          <w:rFonts w:ascii="Arial" w:cs="Arial" w:eastAsia="Arial" w:hAnsi="Arial"/>
          <w:sz w:val="17"/>
          <w:szCs w:val="17"/>
          <w:color w:val="auto"/>
        </w:rPr>
        <w:t>subject to subsections (b), (c), (d) and (e) below, DWR’s failure to cure its material breach of any provision of this Servicing Order within sixty (60) calendar days after receiving written notice thereof from Utility;</w:t>
      </w:r>
    </w:p>
    <w:p>
      <w:pPr>
        <w:spacing w:after="0" w:line="138" w:lineRule="exact"/>
        <w:rPr>
          <w:rFonts w:ascii="Arial" w:cs="Arial" w:eastAsia="Arial" w:hAnsi="Arial"/>
          <w:sz w:val="17"/>
          <w:szCs w:val="17"/>
          <w:color w:val="auto"/>
        </w:rPr>
      </w:pPr>
    </w:p>
    <w:p>
      <w:pPr>
        <w:ind w:left="1" w:hanging="1"/>
        <w:spacing w:after="0" w:line="245" w:lineRule="auto"/>
        <w:tabs>
          <w:tab w:leader="none" w:pos="497"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Except for amounts to which DWR has objected in writing pursuant to Section 7.2, DWR’s failure to pay to Utility the Set-Up Fee or Recurring Fees within three (3) DWR Business Days after the date they are due hereunder, as provided in Section 7;</w:t>
      </w:r>
    </w:p>
    <w:p>
      <w:pPr>
        <w:spacing w:after="0" w:line="128" w:lineRule="exact"/>
        <w:rPr>
          <w:rFonts w:ascii="Arial" w:cs="Arial" w:eastAsia="Arial" w:hAnsi="Arial"/>
          <w:sz w:val="17"/>
          <w:szCs w:val="17"/>
          <w:color w:val="auto"/>
        </w:rPr>
      </w:pPr>
    </w:p>
    <w:p>
      <w:pPr>
        <w:ind w:left="1" w:hanging="1"/>
        <w:spacing w:after="0" w:line="245" w:lineRule="auto"/>
        <w:tabs>
          <w:tab w:leader="none" w:pos="497"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Except for amounts to which DWR has objected in writing pursuant to Section 7.2, DWR’s failure to pay to Utility the initial implementation and recurring administrative costs associated with Utility’s implementation of the 20/20 Program, as provided in Section 4.3;</w:t>
      </w:r>
    </w:p>
    <w:p>
      <w:pPr>
        <w:spacing w:after="0" w:line="128" w:lineRule="exact"/>
        <w:rPr>
          <w:rFonts w:ascii="Arial" w:cs="Arial" w:eastAsia="Arial" w:hAnsi="Arial"/>
          <w:sz w:val="17"/>
          <w:szCs w:val="17"/>
          <w:color w:val="auto"/>
        </w:rPr>
      </w:pPr>
    </w:p>
    <w:p>
      <w:pPr>
        <w:ind w:left="1" w:hanging="1"/>
        <w:spacing w:after="0" w:line="245" w:lineRule="auto"/>
        <w:tabs>
          <w:tab w:leader="none" w:pos="497"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Except for amounts to which DWR has objected in writing pursuant to Section 7.2, DWR’s failure to fulfill any other monetary obligation hereunder within fifteen (15) calendar days after receiving written notice from Utility that such obligation is past due; or</w:t>
      </w:r>
    </w:p>
    <w:p>
      <w:pPr>
        <w:spacing w:after="0" w:line="138" w:lineRule="exact"/>
        <w:rPr>
          <w:rFonts w:ascii="Arial" w:cs="Arial" w:eastAsia="Arial" w:hAnsi="Arial"/>
          <w:sz w:val="17"/>
          <w:szCs w:val="17"/>
          <w:color w:val="auto"/>
        </w:rPr>
      </w:pPr>
    </w:p>
    <w:p>
      <w:pPr>
        <w:ind w:left="501" w:hanging="501"/>
        <w:spacing w:after="0"/>
        <w:tabs>
          <w:tab w:leader="none" w:pos="501" w:val="left"/>
        </w:tabs>
        <w:numPr>
          <w:ilvl w:val="0"/>
          <w:numId w:val="131"/>
        </w:numPr>
        <w:rPr>
          <w:rFonts w:ascii="Arial" w:cs="Arial" w:eastAsia="Arial" w:hAnsi="Arial"/>
          <w:sz w:val="14"/>
          <w:szCs w:val="14"/>
          <w:color w:val="auto"/>
        </w:rPr>
      </w:pPr>
      <w:r>
        <w:rPr>
          <w:rFonts w:ascii="Arial" w:cs="Arial" w:eastAsia="Arial" w:hAnsi="Arial"/>
          <w:sz w:val="14"/>
          <w:szCs w:val="14"/>
          <w:color w:val="auto"/>
        </w:rPr>
        <w:t>DWR’s failure to comply with the terms and conditions of Section 2.2 within fifteen (15) calendar days after receiving written notice thereof from Utility.</w:t>
      </w:r>
    </w:p>
    <w:p>
      <w:pPr>
        <w:spacing w:after="0" w:line="190" w:lineRule="exact"/>
        <w:rPr>
          <w:sz w:val="20"/>
          <w:szCs w:val="20"/>
          <w:color w:val="auto"/>
        </w:rPr>
      </w:pPr>
    </w:p>
    <w:p>
      <w:pPr>
        <w:jc w:val="both"/>
        <w:ind w:left="1"/>
        <w:spacing w:after="0" w:line="285" w:lineRule="auto"/>
        <w:rPr>
          <w:sz w:val="20"/>
          <w:szCs w:val="20"/>
          <w:color w:val="auto"/>
        </w:rPr>
      </w:pPr>
      <w:r>
        <w:rPr>
          <w:rFonts w:ascii="Arial" w:cs="Arial" w:eastAsia="Arial" w:hAnsi="Arial"/>
          <w:sz w:val="14"/>
          <w:szCs w:val="14"/>
          <w:color w:val="auto"/>
        </w:rPr>
        <w:t>Upon any default by DWR under this Section 5.4, Utility may exercise any remedies available under this Servicing Order or under Applicable Law, provided that Utility shall have no right to terminate this Servicing Order either in whole or in part (including Service Attachment 1) or any obligation hereunder. DWR agrees that, except for amounts to which DWR has objected in writing pursuant to Section 7.2 and which are determined not to be owed, any Set-Up Fee or Recurring Fees, or any initial implementation and recurring administrative costs associated with Utility’s implementation of the 20/20 Program, as provided in Section 4.3, which are not paid to Utility on the date due shall bear interest at the Prime Rate from the first day after the due date until the third DWR Business Day after the date they are required to be made hereunder, and at the Late Payment Rate thereafter until paid. DWR further agrees that, except for amounts to which DWR has objected in writing pursuant to Section 7.2 and which are determined not to be owed, any other monetary obligation payable to Utility by DWR shall bear interest at the Prime Rate from the date due until 15 days after receiving written notice from Utility that such amount is overdue, and thereafter at the Late Payment Rate. DWR further agrees that when and to the extent that any amounts to which DWR has objected in writing pursuant to Section 7.2 are determined to be owing, such amounts shall bear interest from the due date at the rates described above for the applicable category of obligation.</w:t>
      </w:r>
    </w:p>
    <w:p>
      <w:pPr>
        <w:spacing w:after="0" w:line="291"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Survival of Payment Obligations.</w:t>
      </w:r>
    </w:p>
    <w:p>
      <w:pPr>
        <w:spacing w:after="0" w:line="160" w:lineRule="exact"/>
        <w:rPr>
          <w:sz w:val="20"/>
          <w:szCs w:val="20"/>
          <w:color w:val="auto"/>
        </w:rPr>
      </w:pPr>
    </w:p>
    <w:p>
      <w:pPr>
        <w:sectPr>
          <w:pgSz w:w="11900" w:h="16838" w:orient="portrait"/>
          <w:cols w:equalWidth="0" w:num="2">
            <w:col w:w="260" w:space="239"/>
            <w:col w:w="10961"/>
          </w:cols>
          <w:pgMar w:left="220" w:top="118" w:right="219" w:bottom="0" w:gutter="0" w:footer="0" w:header="0"/>
          <w:type w:val="continuous"/>
        </w:sectPr>
      </w:pPr>
    </w:p>
    <w:p>
      <w:pPr>
        <w:jc w:val="both"/>
        <w:ind w:left="500"/>
        <w:spacing w:after="0" w:line="301" w:lineRule="auto"/>
        <w:rPr>
          <w:sz w:val="20"/>
          <w:szCs w:val="20"/>
          <w:color w:val="auto"/>
        </w:rPr>
      </w:pPr>
      <w:r>
        <w:rPr>
          <w:rFonts w:ascii="Arial" w:cs="Arial" w:eastAsia="Arial" w:hAnsi="Arial"/>
          <w:sz w:val="14"/>
          <w:szCs w:val="14"/>
          <w:color w:val="auto"/>
        </w:rPr>
        <w:t>Upon termination of this Servicing Order, DWR agrees that it, and it is ordered that Utility, shall remain liable to the other Party for all amounts owing under this Servicing Order. Utility shall continue to collect or cause to be collected and, in each case, remit, pursuant to the terms of this Servicing Order, including but not limited to Attachment B and Service Attachments hereto, any DWR Charges billed to Customers before the effective date of termination, and DWR Surplus Energy Sales Revenues attributable to surplus Power sales made prior to the MRTU Effective Date, except as provided in Attachment B hereto.</w:t>
      </w:r>
    </w:p>
    <w:p>
      <w:pPr>
        <w:spacing w:after="0" w:line="88"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Section 6.</w:t>
      </w:r>
      <w:r>
        <w:rPr>
          <w:sz w:val="20"/>
          <w:szCs w:val="20"/>
          <w:color w:val="auto"/>
        </w:rPr>
        <w:tab/>
      </w:r>
      <w:r>
        <w:rPr>
          <w:rFonts w:ascii="Arial" w:cs="Arial" w:eastAsia="Arial" w:hAnsi="Arial"/>
          <w:sz w:val="14"/>
          <w:szCs w:val="14"/>
          <w:b w:val="1"/>
          <w:bCs w:val="1"/>
          <w:color w:val="auto"/>
        </w:rPr>
        <w:t>Confidentiality.</w:t>
      </w:r>
    </w:p>
    <w:p>
      <w:pPr>
        <w:spacing w:after="0" w:line="156"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6.1.</w:t>
      </w:r>
      <w:r>
        <w:rPr>
          <w:sz w:val="20"/>
          <w:szCs w:val="20"/>
          <w:color w:val="auto"/>
        </w:rPr>
        <w:tab/>
      </w:r>
      <w:r>
        <w:rPr>
          <w:rFonts w:ascii="Arial" w:cs="Arial" w:eastAsia="Arial" w:hAnsi="Arial"/>
          <w:sz w:val="14"/>
          <w:szCs w:val="14"/>
          <w:b w:val="1"/>
          <w:bCs w:val="1"/>
          <w:color w:val="auto"/>
        </w:rPr>
        <w:t>Proprietary Information.</w:t>
      </w:r>
    </w:p>
    <w:p>
      <w:pPr>
        <w:spacing w:after="0" w:line="150" w:lineRule="exact"/>
        <w:rPr>
          <w:sz w:val="20"/>
          <w:szCs w:val="20"/>
          <w:color w:val="auto"/>
        </w:rPr>
      </w:pPr>
    </w:p>
    <w:p>
      <w:pPr>
        <w:ind w:left="500" w:hanging="1"/>
        <w:spacing w:after="0" w:line="245" w:lineRule="auto"/>
        <w:tabs>
          <w:tab w:leader="none" w:pos="996" w:val="left"/>
        </w:tabs>
        <w:numPr>
          <w:ilvl w:val="0"/>
          <w:numId w:val="132"/>
        </w:numPr>
        <w:rPr>
          <w:rFonts w:ascii="Arial" w:cs="Arial" w:eastAsia="Arial" w:hAnsi="Arial"/>
          <w:sz w:val="17"/>
          <w:szCs w:val="17"/>
          <w:color w:val="auto"/>
        </w:rPr>
      </w:pPr>
      <w:r>
        <w:rPr>
          <w:rFonts w:ascii="Arial" w:cs="Arial" w:eastAsia="Arial" w:hAnsi="Arial"/>
          <w:sz w:val="17"/>
          <w:szCs w:val="17"/>
          <w:color w:val="auto"/>
        </w:rPr>
        <w:t>Nothing in this Servicing Order shall affect Utility’s obligations to observe any Applicable Law prohibiting the disclosure of Confidential Information regarding its Customers.</w:t>
      </w:r>
    </w:p>
    <w:p>
      <w:pPr>
        <w:spacing w:after="0" w:line="138" w:lineRule="exact"/>
        <w:rPr>
          <w:rFonts w:ascii="Arial" w:cs="Arial" w:eastAsia="Arial" w:hAnsi="Arial"/>
          <w:sz w:val="17"/>
          <w:szCs w:val="17"/>
          <w:color w:val="auto"/>
        </w:rPr>
      </w:pPr>
    </w:p>
    <w:p>
      <w:pPr>
        <w:jc w:val="both"/>
        <w:ind w:left="500" w:hanging="1"/>
        <w:spacing w:after="0" w:line="235" w:lineRule="auto"/>
        <w:tabs>
          <w:tab w:leader="none" w:pos="996" w:val="left"/>
        </w:tabs>
        <w:numPr>
          <w:ilvl w:val="0"/>
          <w:numId w:val="132"/>
        </w:numPr>
        <w:rPr>
          <w:rFonts w:ascii="Arial" w:cs="Arial" w:eastAsia="Arial" w:hAnsi="Arial"/>
          <w:sz w:val="17"/>
          <w:szCs w:val="17"/>
          <w:color w:val="auto"/>
        </w:rPr>
      </w:pPr>
      <w:r>
        <w:rPr>
          <w:rFonts w:ascii="Arial" w:cs="Arial" w:eastAsia="Arial" w:hAnsi="Arial"/>
          <w:sz w:val="17"/>
          <w:szCs w:val="17"/>
          <w:color w:val="auto"/>
        </w:rPr>
        <w:t>Nothing in this Servicing Order, and in particular nothing in Sections 6.1(e)(x) through 6.1(e)(z) of this Servicing Order, shall affect the rights of the Commission to obtain from Utility, pursuant to Applicable Law, information requested by the Commission, including Confidential Information provided by DWR to Utility. Applicable Law, and not this Servicing Order, will govern what information the Commission may disclose to third parties, subject to any confidentiality agreement between DWR and the Commission.</w:t>
      </w:r>
    </w:p>
    <w:p>
      <w:pPr>
        <w:spacing w:after="0" w:line="133" w:lineRule="exact"/>
        <w:rPr>
          <w:rFonts w:ascii="Arial" w:cs="Arial" w:eastAsia="Arial" w:hAnsi="Arial"/>
          <w:sz w:val="17"/>
          <w:szCs w:val="17"/>
          <w:color w:val="auto"/>
        </w:rPr>
      </w:pPr>
    </w:p>
    <w:p>
      <w:pPr>
        <w:jc w:val="both"/>
        <w:ind w:left="500" w:hanging="1"/>
        <w:spacing w:after="0" w:line="283" w:lineRule="auto"/>
        <w:tabs>
          <w:tab w:leader="none" w:pos="996" w:val="left"/>
        </w:tabs>
        <w:numPr>
          <w:ilvl w:val="0"/>
          <w:numId w:val="132"/>
        </w:numPr>
        <w:rPr>
          <w:rFonts w:ascii="Arial" w:cs="Arial" w:eastAsia="Arial" w:hAnsi="Arial"/>
          <w:sz w:val="14"/>
          <w:szCs w:val="14"/>
          <w:color w:val="auto"/>
        </w:rPr>
      </w:pPr>
      <w:r>
        <w:rPr>
          <w:rFonts w:ascii="Arial" w:cs="Arial" w:eastAsia="Arial" w:hAnsi="Arial"/>
          <w:sz w:val="14"/>
          <w:szCs w:val="14"/>
          <w:color w:val="auto"/>
        </w:rPr>
        <w:t>Each Party may acquire information and material that is the other Party’s confidential, proprietary or trade secret information. As used herein, “Confidential Information” means any and all technical, commercial, financial and customer information disclosed by one Party to the other (or obtained from one Party’s inspection of the other Party’s records or documents), including any patents, patent applications, copyrights, trade secrets and proprietary information, techniques, sketches, drawings, maps, reports, specifications, designs, records, data, models, inventions, know-how, processes, apparati, equipment, algorithms, software programs, software source documents, object code, source code, and information related to the current, future and proposed products and services of each of the Parties, and includes, without limitation, the Parties’ respective information concerning research, experimental work, development, design details and specifications, engineering, financial information, procurement requirements, purchasing, manufacturing, business forecasts, sales and merchandising, and marketing plans and information. In all cases, Confidential Information includes proprietary or confidential information of any third party disclosing such information to either Party in the course of such third party’s business or relationship with such Party. Utility’s Confidential Information also includes any and all lists of Customers, and any and all information about Customers, both individually and aggregated, including but not limited to Customers’ names, street addresses of Customer residences and/or facilities, email addresses, identification numbers, Utility account numbers and passwords, payment histories, energy usage, rate schedule history, allocation of energy uses among Customer residences and/or facilities, and usage of DWR Power. DWR agrees, and it is ordered with respect to Utility, that all Confidential Information disclosed by the disclosing Party (“Discloser”) will be considered Confidential Information by the receiving Party (“Recipient”) if identified as confidential and received from Discloser.</w:t>
      </w:r>
    </w:p>
    <w:p>
      <w:pPr>
        <w:sectPr>
          <w:pgSz w:w="11900" w:h="16838" w:orient="portrait"/>
          <w:cols w:equalWidth="0" w:num="1">
            <w:col w:w="11460"/>
          </w:cols>
          <w:pgMar w:left="220" w:top="118" w:right="219" w:bottom="0" w:gutter="0" w:footer="0" w:header="0"/>
          <w:type w:val="continuous"/>
        </w:sectPr>
      </w:pPr>
    </w:p>
    <w:bookmarkStart w:id="112" w:name="page113"/>
    <w:bookmarkEnd w:id="112"/>
    <w:p>
      <w:pPr>
        <w:spacing w:after="0" w:line="46" w:lineRule="exact"/>
        <w:rPr>
          <w:sz w:val="20"/>
          <w:szCs w:val="20"/>
          <w:color w:val="auto"/>
        </w:rPr>
      </w:pPr>
    </w:p>
    <w:p>
      <w:pPr>
        <w:jc w:val="both"/>
        <w:ind w:left="500" w:hanging="1"/>
        <w:spacing w:after="0" w:line="295" w:lineRule="auto"/>
        <w:tabs>
          <w:tab w:leader="none" w:pos="996" w:val="left"/>
        </w:tabs>
        <w:numPr>
          <w:ilvl w:val="0"/>
          <w:numId w:val="133"/>
        </w:numPr>
        <w:rPr>
          <w:rFonts w:ascii="Arial" w:cs="Arial" w:eastAsia="Arial" w:hAnsi="Arial"/>
          <w:sz w:val="14"/>
          <w:szCs w:val="14"/>
          <w:color w:val="auto"/>
        </w:rPr>
      </w:pPr>
      <w:r>
        <w:rPr>
          <w:rFonts w:ascii="Arial" w:cs="Arial" w:eastAsia="Arial" w:hAnsi="Arial"/>
          <w:sz w:val="14"/>
          <w:szCs w:val="14"/>
          <w:color w:val="auto"/>
        </w:rPr>
        <w:t>DWR agrees, and Utility is ordered to take all steps reasonably necessary to hold in trust and confidence the other Party’s Confidential Information. Without limiting the generality of the immediately preceding sentence, DWR agrees, and Utility is ordered (i) to hold the other Party’s Confidential Information in strict confidence, not to disclose it to third parties or to use it in any way, commercially or otherwise, other than as permitted under this Servicing Order; and (ii) to limit the disclosure of the Confidential Information to those of its employees, agents or directly related subcontractors with a need to know who have been advised of the confidential nature thereof and who have acknowledged their express obligation to maintain such confidentiality.</w:t>
      </w:r>
    </w:p>
    <w:p>
      <w:pPr>
        <w:spacing w:after="0" w:line="95" w:lineRule="exact"/>
        <w:rPr>
          <w:rFonts w:ascii="Arial" w:cs="Arial" w:eastAsia="Arial" w:hAnsi="Arial"/>
          <w:sz w:val="14"/>
          <w:szCs w:val="14"/>
          <w:color w:val="auto"/>
        </w:rPr>
      </w:pPr>
    </w:p>
    <w:p>
      <w:pPr>
        <w:jc w:val="both"/>
        <w:ind w:left="500" w:hanging="1"/>
        <w:spacing w:after="0" w:line="246" w:lineRule="auto"/>
        <w:tabs>
          <w:tab w:leader="none" w:pos="99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DWR agrees, and it is ordered with respect to Utility that the foregoing two paragraphs will not apply to any item of Confidential Information if: (i) it has been published or is otherwise readily available to the public other than by a breach of this Servicing Order ; (ii) it has been rightfully received by Recipient from a third party without breach of confidentiality obligations of such third party and outside the context of the provision of Services under this Servicing Order; (iii) it has been independently developed by Recipient personnel having no access to the Confidential Information; or (iv) it was known to Recipient prior to its first receipt from Discloser. DWR agrees, and it is ordered with respect to Utility that, in addition, Recipient may disclose Confidential Information if and to the extent required by law or a Governmental Authority, provided that (x) Recipient shall give Discloser a reasonable opportunity to review and object to the disclosure of such Confidential Information, (y) Discloser may seek a protective order or confidential treatment of such Confidential Information, and (z) Recipient shall make commercially reasonable efforts to cooperate with Discloser in seeking such protective order or confidential treatment. DWR agrees, and it is ordered with respect to Utility that Discloser shall pay Recipient its reasonable costs of cooperating.</w:t>
      </w:r>
    </w:p>
    <w:p>
      <w:pPr>
        <w:spacing w:after="0" w:line="139"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6.2.</w:t>
      </w:r>
      <w:r>
        <w:rPr>
          <w:sz w:val="20"/>
          <w:szCs w:val="20"/>
          <w:color w:val="auto"/>
        </w:rPr>
        <w:tab/>
      </w:r>
      <w:r>
        <w:rPr>
          <w:rFonts w:ascii="Arial" w:cs="Arial" w:eastAsia="Arial" w:hAnsi="Arial"/>
          <w:sz w:val="14"/>
          <w:szCs w:val="14"/>
          <w:b w:val="1"/>
          <w:bCs w:val="1"/>
          <w:color w:val="auto"/>
        </w:rPr>
        <w:t>No License.</w:t>
      </w:r>
    </w:p>
    <w:p>
      <w:pPr>
        <w:spacing w:after="0" w:line="160" w:lineRule="exact"/>
        <w:rPr>
          <w:sz w:val="20"/>
          <w:szCs w:val="20"/>
          <w:color w:val="auto"/>
        </w:rPr>
      </w:pPr>
    </w:p>
    <w:p>
      <w:pPr>
        <w:jc w:val="both"/>
        <w:ind w:left="500"/>
        <w:spacing w:after="0" w:line="237" w:lineRule="auto"/>
        <w:rPr>
          <w:sz w:val="20"/>
          <w:szCs w:val="20"/>
          <w:color w:val="auto"/>
        </w:rPr>
      </w:pPr>
      <w:r>
        <w:rPr>
          <w:rFonts w:ascii="Arial" w:cs="Arial" w:eastAsia="Arial" w:hAnsi="Arial"/>
          <w:sz w:val="17"/>
          <w:szCs w:val="17"/>
          <w:color w:val="auto"/>
        </w:rPr>
        <w:t>DWR agrees, and it is ordered with respect to Utility that nothing contained in this Servicing Order shall be construed as granting to a Party a license, either express or implied, under any patent, copyright, trademark, service mark, trade dress or other intellectual property right, or to any Confidential Information now or hereafter owned, obtained, controlled by, or which is or may be licensable by, the other Party.</w:t>
      </w:r>
    </w:p>
    <w:p>
      <w:pPr>
        <w:spacing w:after="0" w:line="130"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6.3.</w:t>
      </w:r>
      <w:r>
        <w:rPr>
          <w:sz w:val="20"/>
          <w:szCs w:val="20"/>
          <w:color w:val="auto"/>
        </w:rPr>
        <w:tab/>
      </w:r>
      <w:r>
        <w:rPr>
          <w:rFonts w:ascii="Arial" w:cs="Arial" w:eastAsia="Arial" w:hAnsi="Arial"/>
          <w:sz w:val="14"/>
          <w:szCs w:val="14"/>
          <w:b w:val="1"/>
          <w:bCs w:val="1"/>
          <w:color w:val="auto"/>
        </w:rPr>
        <w:t>Survival of Provisions.</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DWR agrees, and it is ordered with respect to Utility that the provisions of this Section 6 shall survive the termination of this Servicing Order.</w:t>
      </w:r>
    </w:p>
    <w:p>
      <w:pPr>
        <w:spacing w:after="0" w:line="142"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Section 7.</w:t>
      </w:r>
      <w:r>
        <w:rPr>
          <w:sz w:val="20"/>
          <w:szCs w:val="20"/>
          <w:color w:val="auto"/>
        </w:rPr>
        <w:tab/>
      </w:r>
      <w:r>
        <w:rPr>
          <w:rFonts w:ascii="Arial" w:cs="Arial" w:eastAsia="Arial" w:hAnsi="Arial"/>
          <w:sz w:val="14"/>
          <w:szCs w:val="14"/>
          <w:b w:val="1"/>
          <w:bCs w:val="1"/>
          <w:color w:val="auto"/>
        </w:rPr>
        <w:t>Payment of Fees and Charges.</w:t>
      </w:r>
    </w:p>
    <w:p>
      <w:pPr>
        <w:spacing w:after="0" w:line="156"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7.1.</w:t>
      </w:r>
      <w:r>
        <w:rPr>
          <w:sz w:val="20"/>
          <w:szCs w:val="20"/>
          <w:color w:val="auto"/>
        </w:rPr>
        <w:tab/>
      </w:r>
      <w:r>
        <w:rPr>
          <w:rFonts w:ascii="Arial" w:cs="Arial" w:eastAsia="Arial" w:hAnsi="Arial"/>
          <w:sz w:val="14"/>
          <w:szCs w:val="14"/>
          <w:b w:val="1"/>
          <w:bCs w:val="1"/>
          <w:color w:val="auto"/>
        </w:rPr>
        <w:t>Utility Fees.</w:t>
      </w:r>
    </w:p>
    <w:p>
      <w:pPr>
        <w:spacing w:after="0" w:line="160" w:lineRule="exact"/>
        <w:rPr>
          <w:sz w:val="20"/>
          <w:szCs w:val="20"/>
          <w:color w:val="auto"/>
        </w:rPr>
      </w:pPr>
    </w:p>
    <w:p>
      <w:pPr>
        <w:jc w:val="both"/>
        <w:ind w:left="500"/>
        <w:spacing w:after="0" w:line="283" w:lineRule="auto"/>
        <w:rPr>
          <w:sz w:val="20"/>
          <w:szCs w:val="20"/>
          <w:color w:val="auto"/>
        </w:rPr>
      </w:pPr>
      <w:r>
        <w:rPr>
          <w:rFonts w:ascii="Arial" w:cs="Arial" w:eastAsia="Arial" w:hAnsi="Arial"/>
          <w:sz w:val="14"/>
          <w:szCs w:val="14"/>
          <w:color w:val="auto"/>
        </w:rPr>
        <w:t>DWR agrees that it will pay to Utility a fee, calculated in accordance with Attachment G hereto (the “Set-Up Fee”), in order to cover Utility’s costs of establishing the procedures, systems, and mechanisms necessary to perform Services. In addition, DWR also agrees to pay to Utility an annual fee, calculated in accordance with Attachment G hereto, payable monthly in arrears (unless a different payment schedule is mutually agreed upon by the Parties) as provided in Section 7.2 hereof (the “Recurring Fees”) for Services rendered pursuant to Section 3.1, Section 3.4 and Service Attachments to this Servicing Order. Additional fees to cover changes in costs or the costs of other services provided hereunder shall be as set forth in Attachment G, which from time to time may be modified by mutual agreement of the Parties or as provided in Applicable Commission Order. In the event that additional fees or costs are identified by Utility which have not been identified and included in Attachment G hereto, the Parties hereby agree to negotiate in good faith to determine the amount of such fees or costs. Except to the extent provided otherwise in subsequent agreements between the Parties, if the Parties are unable to resolve any disputes relating to such additional fees, either Party may, upon giving seven calendar days advance written notice to the other, submit the dispute to the Commission for proposed resolution, in accordance with Applicable Law. However, in the event such a dispute is submitted to the Commission by either Party, and prior to the Commission’s action, DWR agrees to continue to pay to Utility fees that will permit recovery of the Utility’s incremental cost of establishing procedures, systems and mechanisms necessary to perform Services as set forth in Attachment G. The Utility shall file these fees with the Commission. Utility acknowledges that the Commission may adjust, with notice to Utility and an opportunity for Utility to be heard, Utility’s rates to avoid double recovery of any costs paid by DWR hereunder which have already been included in Utility’s rates.</w:t>
      </w:r>
    </w:p>
    <w:p>
      <w:pPr>
        <w:spacing w:after="0" w:line="292"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7.2.</w:t>
      </w:r>
      <w:r>
        <w:rPr>
          <w:sz w:val="20"/>
          <w:szCs w:val="20"/>
          <w:color w:val="auto"/>
        </w:rPr>
        <w:tab/>
      </w:r>
      <w:r>
        <w:rPr>
          <w:rFonts w:ascii="Arial" w:cs="Arial" w:eastAsia="Arial" w:hAnsi="Arial"/>
          <w:sz w:val="14"/>
          <w:szCs w:val="14"/>
          <w:b w:val="1"/>
          <w:bCs w:val="1"/>
          <w:color w:val="auto"/>
        </w:rPr>
        <w:t>Payment of Utility Fees and Charges.</w:t>
      </w:r>
    </w:p>
    <w:p>
      <w:pPr>
        <w:spacing w:after="0" w:line="160" w:lineRule="exact"/>
        <w:rPr>
          <w:sz w:val="20"/>
          <w:szCs w:val="20"/>
          <w:color w:val="auto"/>
        </w:rPr>
      </w:pPr>
    </w:p>
    <w:p>
      <w:pPr>
        <w:jc w:val="both"/>
        <w:ind w:left="500"/>
        <w:spacing w:after="0" w:line="284" w:lineRule="auto"/>
        <w:rPr>
          <w:sz w:val="20"/>
          <w:szCs w:val="20"/>
          <w:color w:val="auto"/>
        </w:rPr>
      </w:pPr>
      <w:r>
        <w:rPr>
          <w:rFonts w:ascii="Arial" w:cs="Arial" w:eastAsia="Arial" w:hAnsi="Arial"/>
          <w:sz w:val="14"/>
          <w:szCs w:val="14"/>
          <w:color w:val="auto"/>
        </w:rPr>
        <w:t>The Set-Up Fee was due and payable on the effective date of the Servicing Agreement approved by the Commission pursuant to D.01-09-013, and DWR has paid Utility the Set-Up Fee, in the manner provided in Section 7.3 below. After receipt of Utility’s invoice thirty (30) days in advance, DWR agrees to pay to Utility its Recurring Fees in monthly installments by the 10th day of each month in the manner provided in Section 7.3 below. Additionally, with respect to all other fees and charges which are expressly identified as owing by DWR to Utility under this Servicing Order or such other amounts as mutually agreed to by the Parties (the “Additional Charges”), unless a different payment schedule is mutually agreed upon by the Parties, Utility shall (in paper format or, at DWR’s option, electronically) submit to DWR an invoice reflecting such Additional Charges for such calendar month. Any invoiced amount for Recurring Fees or Additional Charges shall be due and payable within three (3) DWR Business Days after presentation, and any invoiced amount and the Set-Up Fee shall be considered past due thirty (30) calendar days after presentation, after which interest shall accrue as provided in Section 7.4. To the extent that any invoiced amounts described in this Section 7.2 are not fully paid within forty-five (45) days after presentation, and DWR has not objected to Utility in writing by such date, DWR agrees that Utility shall have the right to deduct from any future Remittance(s) the unpaid and overdue amount which is not the subject of any such objection by such date, until such invoice is paid in full or until the dispute over the amount due has been resolved. In addition, upon written agreement of DWR, any amount payable under this Servicing Order may be deducted from any future Remittance(s) or be paid in such other periodic basis, all as expressly directed by DWR.</w:t>
      </w:r>
    </w:p>
    <w:p>
      <w:pPr>
        <w:spacing w:after="0" w:line="288"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7.3.</w:t>
      </w:r>
      <w:r>
        <w:rPr>
          <w:sz w:val="20"/>
          <w:szCs w:val="20"/>
          <w:color w:val="auto"/>
        </w:rPr>
        <w:tab/>
      </w:r>
      <w:r>
        <w:rPr>
          <w:rFonts w:ascii="Arial" w:cs="Arial" w:eastAsia="Arial" w:hAnsi="Arial"/>
          <w:sz w:val="14"/>
          <w:szCs w:val="14"/>
          <w:b w:val="1"/>
          <w:bCs w:val="1"/>
          <w:color w:val="auto"/>
        </w:rPr>
        <w:t>Method of Payment.</w:t>
      </w:r>
    </w:p>
    <w:p>
      <w:pPr>
        <w:spacing w:after="0" w:line="160" w:lineRule="exact"/>
        <w:rPr>
          <w:sz w:val="20"/>
          <w:szCs w:val="20"/>
          <w:color w:val="auto"/>
        </w:rPr>
      </w:pPr>
    </w:p>
    <w:p>
      <w:pPr>
        <w:jc w:val="both"/>
        <w:ind w:left="500" w:hanging="1"/>
        <w:spacing w:after="0" w:line="289" w:lineRule="auto"/>
        <w:tabs>
          <w:tab w:leader="none" w:pos="996" w:val="left"/>
        </w:tabs>
        <w:numPr>
          <w:ilvl w:val="0"/>
          <w:numId w:val="134"/>
        </w:numPr>
        <w:rPr>
          <w:rFonts w:ascii="Arial" w:cs="Arial" w:eastAsia="Arial" w:hAnsi="Arial"/>
          <w:sz w:val="14"/>
          <w:szCs w:val="14"/>
          <w:color w:val="auto"/>
        </w:rPr>
      </w:pPr>
      <w:r>
        <w:rPr>
          <w:rFonts w:ascii="Arial" w:cs="Arial" w:eastAsia="Arial" w:hAnsi="Arial"/>
          <w:sz w:val="14"/>
          <w:szCs w:val="14"/>
          <w:color w:val="auto"/>
        </w:rPr>
        <w:t>Except as otherwise expressly provided herein or unless a different payment schedule is mutually agreed upon by the Parties, DWR agrees, and with respect to Utility it is ordered, that any payment from either Party to the other Party under this Servicing Order shall be made by ACH or, if ACH is unavailable, then by wire transfer of immediately available funds to the bank account designated by the receiving Party or, if mutually agreed, paid by means of a check or warrant sent to the recipient’s address indicated in accordance with Section 14.14 hereof. Where the Parties have made arrangements for a bank or other third party to remit funds from one Party to the other Party, DWR agrees, and with respect to Utility it is ordered that proper identification of the bank or third party, including the account number, shall be furnished in writing. DWR agrees, and with respect to Utility it is ordered that the remitting Party shall reasonably cooperate in correcting any bank or other third-party errors and shall not be relieved of its payment responsibilities because of such errors.</w:t>
      </w:r>
    </w:p>
    <w:p>
      <w:pPr>
        <w:spacing w:after="0" w:line="100" w:lineRule="exact"/>
        <w:rPr>
          <w:rFonts w:ascii="Arial" w:cs="Arial" w:eastAsia="Arial" w:hAnsi="Arial"/>
          <w:sz w:val="14"/>
          <w:szCs w:val="14"/>
          <w:color w:val="auto"/>
        </w:rPr>
      </w:pPr>
    </w:p>
    <w:p>
      <w:pPr>
        <w:jc w:val="both"/>
        <w:ind w:left="500" w:hanging="1"/>
        <w:spacing w:after="0" w:line="287" w:lineRule="auto"/>
        <w:tabs>
          <w:tab w:leader="none" w:pos="996" w:val="left"/>
        </w:tabs>
        <w:numPr>
          <w:ilvl w:val="0"/>
          <w:numId w:val="134"/>
        </w:numPr>
        <w:rPr>
          <w:rFonts w:ascii="Arial" w:cs="Arial" w:eastAsia="Arial" w:hAnsi="Arial"/>
          <w:sz w:val="14"/>
          <w:szCs w:val="14"/>
          <w:color w:val="auto"/>
        </w:rPr>
      </w:pPr>
      <w:r>
        <w:rPr>
          <w:rFonts w:ascii="Arial" w:cs="Arial" w:eastAsia="Arial" w:hAnsi="Arial"/>
          <w:sz w:val="14"/>
          <w:szCs w:val="14"/>
          <w:color w:val="auto"/>
        </w:rPr>
        <w:t>Except as expressly provided otherwise herein or under any Applicable Law, Utility shall be required to pay all expenses incurred by it in connection with its activities under this Servicing Order (including any fees to and disbursements by accountants, counsel, or any other person, any taxes, fees, surcharges or levies imposed on Utility, and any expenses incurred in connection with reports to be provided hereunder) out of the compensation paid to it pursuant to this Section 7, and Utility shall not be entitled to any extra payment or reimbursement therefor. Notwithstanding anything to the contrary above, if and to the extent any additional taxes (excluding taxes on Utility’s income), fees or charges are imposed on Utility due solely to Utility’s performance of Services hereunder with respect to DWR Charges (such as franchise fees or taxes on DWR Power, the State of California electric energy surcharge, local utility user taxes, or Commission fees), to the extent these taxes, fees, or charges are not already included in Utility’s rates and Utility has not been reimbursed therefor and is not authorized to seek reimbursement from Customers therefor, DWR agrees to reimburse Utility therefor as “Additional Charges” in accordance with Section 7.2.</w:t>
      </w:r>
    </w:p>
    <w:p>
      <w:pPr>
        <w:spacing w:after="0" w:line="99"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7.4.</w:t>
      </w:r>
      <w:r>
        <w:rPr>
          <w:sz w:val="20"/>
          <w:szCs w:val="20"/>
          <w:color w:val="auto"/>
        </w:rPr>
        <w:tab/>
      </w:r>
      <w:r>
        <w:rPr>
          <w:rFonts w:ascii="Arial" w:cs="Arial" w:eastAsia="Arial" w:hAnsi="Arial"/>
          <w:sz w:val="14"/>
          <w:szCs w:val="14"/>
          <w:b w:val="1"/>
          <w:bCs w:val="1"/>
          <w:color w:val="auto"/>
        </w:rPr>
        <w:t>Interest.</w:t>
      </w:r>
    </w:p>
    <w:p>
      <w:pPr>
        <w:spacing w:after="0" w:line="160" w:lineRule="exact"/>
        <w:rPr>
          <w:sz w:val="20"/>
          <w:szCs w:val="20"/>
          <w:color w:val="auto"/>
        </w:rPr>
      </w:pPr>
    </w:p>
    <w:p>
      <w:pPr>
        <w:jc w:val="both"/>
        <w:ind w:left="500"/>
        <w:spacing w:after="0" w:line="245" w:lineRule="auto"/>
        <w:rPr>
          <w:sz w:val="20"/>
          <w:szCs w:val="20"/>
          <w:color w:val="auto"/>
        </w:rPr>
      </w:pPr>
      <w:r>
        <w:rPr>
          <w:rFonts w:ascii="Arial" w:cs="Arial" w:eastAsia="Arial" w:hAnsi="Arial"/>
          <w:sz w:val="17"/>
          <w:szCs w:val="17"/>
          <w:color w:val="auto"/>
        </w:rPr>
        <w:t>DWR agrees, and with respect to Utility it is ordered that except as provided in Sections 5.3, 5.4 or 7.5, any Delinquent Payment under this Servicing Order (whether or not a regularly scheduled payment) shall bear interest at the Late Payment Rate.</w:t>
      </w:r>
    </w:p>
    <w:p>
      <w:pPr>
        <w:spacing w:after="0" w:line="134"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7.5.</w:t>
      </w:r>
      <w:r>
        <w:rPr>
          <w:sz w:val="20"/>
          <w:szCs w:val="20"/>
          <w:color w:val="auto"/>
        </w:rPr>
        <w:tab/>
      </w:r>
      <w:r>
        <w:rPr>
          <w:rFonts w:ascii="Arial" w:cs="Arial" w:eastAsia="Arial" w:hAnsi="Arial"/>
          <w:sz w:val="14"/>
          <w:szCs w:val="14"/>
          <w:b w:val="1"/>
          <w:bCs w:val="1"/>
          <w:color w:val="auto"/>
        </w:rPr>
        <w:t>Reconciliation Amounts.</w:t>
      </w:r>
    </w:p>
    <w:p>
      <w:pPr>
        <w:spacing w:after="0" w:line="160" w:lineRule="exact"/>
        <w:rPr>
          <w:sz w:val="20"/>
          <w:szCs w:val="20"/>
          <w:color w:val="auto"/>
        </w:rPr>
      </w:pPr>
    </w:p>
    <w:p>
      <w:pPr>
        <w:jc w:val="both"/>
        <w:ind w:left="500"/>
        <w:spacing w:after="0" w:line="291" w:lineRule="auto"/>
        <w:rPr>
          <w:sz w:val="20"/>
          <w:szCs w:val="20"/>
          <w:color w:val="auto"/>
        </w:rPr>
      </w:pPr>
      <w:r>
        <w:rPr>
          <w:rFonts w:ascii="Arial" w:cs="Arial" w:eastAsia="Arial" w:hAnsi="Arial"/>
          <w:sz w:val="14"/>
          <w:szCs w:val="14"/>
          <w:color w:val="auto"/>
        </w:rPr>
        <w:t>If a change in Applicable Law (but only if and to the extent such change is expressly intended to be retroactive in effect) or the discovery of a “Material Flaw” results in a discrepancy between any amount paid hereunder and the amount that would have been paid if the changed Applicable Law had been in effect or the Material Flaw had been corrected, such discrepancy (a “Reconciliation Amount”) shall be paid by the party that benefited from the superseded Applicable Law or Material Flaw to the other party. Reconciliation Amounts shall be paid in full within 30 days after receipt of an invoice therefore unless a different payment schedule is mutually agreed upon between the parties. Interest on any Reconciliation Amount shall accrue from the original date on which the incorrect payment or remittance produced by the Material Flaw was due until such Reconciliation Amount is paid. Interest on any Reconciliation Amount shall be calculated on the basis of a 365- or</w:t>
      </w:r>
    </w:p>
    <w:p>
      <w:pPr>
        <w:sectPr>
          <w:pgSz w:w="11900" w:h="16885" w:orient="portrait"/>
          <w:cols w:equalWidth="0" w:num="1">
            <w:col w:w="11460"/>
          </w:cols>
          <w:pgMar w:left="220" w:top="124" w:right="219" w:bottom="0" w:gutter="0" w:footer="0" w:header="0"/>
        </w:sectPr>
      </w:pPr>
    </w:p>
    <w:bookmarkStart w:id="113" w:name="page114"/>
    <w:bookmarkEnd w:id="113"/>
    <w:p>
      <w:pPr>
        <w:spacing w:after="0" w:line="107" w:lineRule="exact"/>
        <w:rPr>
          <w:sz w:val="20"/>
          <w:szCs w:val="20"/>
          <w:color w:val="auto"/>
        </w:rPr>
      </w:pPr>
    </w:p>
    <w:p>
      <w:pPr>
        <w:jc w:val="both"/>
        <w:ind w:left="500"/>
        <w:spacing w:after="0" w:line="286" w:lineRule="auto"/>
        <w:rPr>
          <w:sz w:val="20"/>
          <w:szCs w:val="20"/>
          <w:color w:val="auto"/>
        </w:rPr>
      </w:pPr>
      <w:r>
        <w:rPr>
          <w:rFonts w:ascii="Arial" w:cs="Arial" w:eastAsia="Arial" w:hAnsi="Arial"/>
          <w:sz w:val="14"/>
          <w:szCs w:val="14"/>
          <w:color w:val="auto"/>
        </w:rPr>
        <w:t>366- day year, as applicable, for the actual days elapsed. For a Reconciliation Amount due from Utility to DWR, interest shall accrue at the rate of interest on Commercial Paper (Financial, three-month maturity) published in the Federal Reserve Statistical Release H.15 as described in Utility’s Preliminary Statement, II. Balancing Accounts, Section L, Energy Resource Recovery Account (ERRA), Subsection 5(q), or such other superseding account then in effect. Should the publication of the interest rate on Commercial Paper (Financial, three-month maturity) be discontinued, interest shall accrue at the rate of the most recent monthly interest rate on commercial paper that most closely approximates the rate that was discontinued, and which is published in the Federal Reserve Statistical Release H.15, or its successor publication or such other rate as may be mutually agreed by the Parties. For a Reconciliation Amount due from DWR to Utility, interest shall accrue at the State’s Pooled Money Investment Account Rate in effect from time to time. If an outstanding Reconciliation Amount is not paid in full as of the date agreed upon by the Parties, any overdue amounts on and after such agreed upon date shall be considered Delinquent Payments and interest shall accrue at the Late Payment Rate from the date such overdue amount was due until paid, in accordance with Section 7.4.</w:t>
      </w:r>
    </w:p>
    <w:p>
      <w:pPr>
        <w:spacing w:after="0" w:line="304" w:lineRule="exact"/>
        <w:rPr>
          <w:sz w:val="20"/>
          <w:szCs w:val="20"/>
          <w:color w:val="auto"/>
        </w:rPr>
      </w:pPr>
    </w:p>
    <w:p>
      <w:pPr>
        <w:jc w:val="both"/>
        <w:ind w:left="500"/>
        <w:spacing w:after="0" w:line="234" w:lineRule="auto"/>
        <w:rPr>
          <w:sz w:val="20"/>
          <w:szCs w:val="20"/>
          <w:color w:val="auto"/>
        </w:rPr>
      </w:pPr>
      <w:r>
        <w:rPr>
          <w:rFonts w:ascii="Arial" w:cs="Arial" w:eastAsia="Arial" w:hAnsi="Arial"/>
          <w:sz w:val="17"/>
          <w:szCs w:val="17"/>
          <w:color w:val="auto"/>
        </w:rPr>
        <w:t>For purposes of this Section, a “Material Flaw” is a procedure or method set forth in this Servicing Order, or an aspect thereof, which results in the payment or remittance of amounts to either Party (or the failure so to remit or pay) in a time, manner or amount that is inconsistent with Applicable Law. It is expressly agreed and understood that the undercollection or overcollection of amounts required to be collected under Section 80134 of the California Water Code due to incorrect projections of DWR’s revenue requirements or due to incorrect projections in the setting of DWR Charges shall not constitute a Material Flaw and are intended to be trued-up in subsequent revenue requirements.</w:t>
      </w:r>
    </w:p>
    <w:p>
      <w:pPr>
        <w:spacing w:after="0" w:line="128"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Section 8.</w:t>
      </w:r>
      <w:r>
        <w:rPr>
          <w:sz w:val="20"/>
          <w:szCs w:val="20"/>
          <w:color w:val="auto"/>
        </w:rPr>
        <w:tab/>
      </w:r>
      <w:r>
        <w:rPr>
          <w:rFonts w:ascii="Arial" w:cs="Arial" w:eastAsia="Arial" w:hAnsi="Arial"/>
          <w:sz w:val="14"/>
          <w:szCs w:val="14"/>
          <w:b w:val="1"/>
          <w:bCs w:val="1"/>
          <w:color w:val="auto"/>
        </w:rPr>
        <w:t>Records; Audit Rights; Annual Certification.</w:t>
      </w:r>
    </w:p>
    <w:p>
      <w:pPr>
        <w:spacing w:after="0" w:line="156"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8.1.</w:t>
      </w:r>
      <w:r>
        <w:rPr>
          <w:sz w:val="20"/>
          <w:szCs w:val="20"/>
          <w:color w:val="auto"/>
        </w:rPr>
        <w:tab/>
      </w:r>
      <w:r>
        <w:rPr>
          <w:rFonts w:ascii="Arial" w:cs="Arial" w:eastAsia="Arial" w:hAnsi="Arial"/>
          <w:sz w:val="14"/>
          <w:szCs w:val="14"/>
          <w:b w:val="1"/>
          <w:bCs w:val="1"/>
          <w:color w:val="auto"/>
        </w:rPr>
        <w:t>Records.</w:t>
      </w:r>
    </w:p>
    <w:p>
      <w:pPr>
        <w:spacing w:after="0" w:line="160" w:lineRule="exact"/>
        <w:rPr>
          <w:sz w:val="20"/>
          <w:szCs w:val="20"/>
          <w:color w:val="auto"/>
        </w:rPr>
      </w:pPr>
    </w:p>
    <w:p>
      <w:pPr>
        <w:jc w:val="both"/>
        <w:ind w:left="500"/>
        <w:spacing w:after="0" w:line="285" w:lineRule="auto"/>
        <w:rPr>
          <w:sz w:val="20"/>
          <w:szCs w:val="20"/>
          <w:color w:val="auto"/>
        </w:rPr>
      </w:pPr>
      <w:r>
        <w:rPr>
          <w:rFonts w:ascii="Arial" w:cs="Arial" w:eastAsia="Arial" w:hAnsi="Arial"/>
          <w:sz w:val="14"/>
          <w:szCs w:val="14"/>
          <w:color w:val="auto"/>
        </w:rPr>
        <w:t>Utility shall maintain accurate records and accounts relating to DWR Revenues (including separate accounting of Bond Charges and Power Charges) in sufficient detail to permit recordation of Bond Charges and Power Charges billed to or caused to be billed to each Customer Type identified in the Appendices to Attachment B hereto and DWR Revenues from Bond Charges and Power Charges, respectively, remitted by Utility to DWR reflecting separate accounting with respect to each Customer Type. Prior to the MRTU Effective Date, Utility shall maintain accurate records and accounts relating to DWR Surplus Energy Sales Revenues (including separate accounting of surplus Power sales transactions by counterparty) in sufficient detail to permit recordation of DWR Surplus Energy Sales Revenues separate from other DWR Revenues, remitted by Utility to DWR. Utility shall provide to DWR and its Assign(s) access to such records. Access shall be afforded without charge, upon reasonable request made pursuant to Section 8.2. DWR agrees that access shall be afforded only during Business Hours and in such a manner so as not to interfere unreasonably with Utility’s normal operations. Utility shall not treat DWR Revenues as income or assets of the Utility or any affiliate for any tax, financial reporting or regulatory purposes, and the financial books or records of Utility and affiliates shall be maintained in a manner consistent with the absolute ownership of DWR Revenues by DWR and Utility’s holding of DWR Revenues in trust for DWR (whether or not held together with other monies).</w:t>
      </w:r>
    </w:p>
    <w:p>
      <w:pPr>
        <w:spacing w:after="0" w:line="100"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8.2.</w:t>
      </w:r>
      <w:r>
        <w:rPr>
          <w:sz w:val="20"/>
          <w:szCs w:val="20"/>
          <w:color w:val="auto"/>
        </w:rPr>
        <w:tab/>
      </w:r>
      <w:r>
        <w:rPr>
          <w:rFonts w:ascii="Arial" w:cs="Arial" w:eastAsia="Arial" w:hAnsi="Arial"/>
          <w:sz w:val="14"/>
          <w:szCs w:val="14"/>
          <w:b w:val="1"/>
          <w:bCs w:val="1"/>
          <w:color w:val="auto"/>
        </w:rPr>
        <w:t>Audit Rights.</w:t>
      </w:r>
    </w:p>
    <w:p>
      <w:pPr>
        <w:spacing w:after="0" w:line="150" w:lineRule="exact"/>
        <w:rPr>
          <w:sz w:val="20"/>
          <w:szCs w:val="20"/>
          <w:color w:val="auto"/>
        </w:rPr>
      </w:pPr>
    </w:p>
    <w:p>
      <w:pPr>
        <w:jc w:val="both"/>
        <w:ind w:left="500" w:hanging="1"/>
        <w:spacing w:after="0" w:line="286" w:lineRule="auto"/>
        <w:tabs>
          <w:tab w:leader="none" w:pos="996" w:val="left"/>
        </w:tabs>
        <w:numPr>
          <w:ilvl w:val="0"/>
          <w:numId w:val="135"/>
        </w:numPr>
        <w:rPr>
          <w:rFonts w:ascii="Arial" w:cs="Arial" w:eastAsia="Arial" w:hAnsi="Arial"/>
          <w:sz w:val="14"/>
          <w:szCs w:val="14"/>
          <w:color w:val="auto"/>
        </w:rPr>
      </w:pPr>
      <w:r>
        <w:rPr>
          <w:rFonts w:ascii="Arial" w:cs="Arial" w:eastAsia="Arial" w:hAnsi="Arial"/>
          <w:sz w:val="14"/>
          <w:szCs w:val="14"/>
          <w:color w:val="auto"/>
        </w:rPr>
        <w:t>Upon thirty (30) calendar days’ prior written notice, DWR may request an audit, conducted by DWR or its agents (at DWR’s expense), of Utility’s records and procedures, which shall be limited to records and procedures containing information bearing upon: (i) DWR Charges being billed or caused to be billed to each Customer Type identified in the Appendices to Attachment B hereto by Utility (and payments of DWR Charges separately accounted for each Customer Type); (ii) fees to Utility for Services provided by Utility pursuant to this Servicing Order; (iii) Utility’s performance of its obligations under this Servicing Order; (iv) amount of Aggregate Power that is the basis for DWR Charges with respect to each Customer Type pursuant hereto or Applicable Law; (v) projection or calculation of DWR’s revenue requirements as described in Sections 80110 and 80134 of the California Water Code from time to time; (vi) prior to the MRTU Effective Date, DWR Surplus Energy Sales Revenues collected from third-party purchasers and the collection and allocation of such revenues; and (vii) such other matters as may be permitted by Applicable Commission Orders, Applicable Tariffs or as DWR or its Assign(s) may reasonably request. The audit shall be conducted during Business Hours without interference with Utility’s normal operations, and in compliance with Utility’s security procedures.</w:t>
      </w:r>
    </w:p>
    <w:p>
      <w:pPr>
        <w:spacing w:after="0" w:line="113" w:lineRule="exact"/>
        <w:rPr>
          <w:rFonts w:ascii="Arial" w:cs="Arial" w:eastAsia="Arial" w:hAnsi="Arial"/>
          <w:sz w:val="14"/>
          <w:szCs w:val="14"/>
          <w:color w:val="auto"/>
        </w:rPr>
      </w:pPr>
    </w:p>
    <w:p>
      <w:pPr>
        <w:jc w:val="both"/>
        <w:ind w:left="500" w:hanging="1"/>
        <w:spacing w:after="0" w:line="287" w:lineRule="auto"/>
        <w:tabs>
          <w:tab w:leader="none" w:pos="996" w:val="left"/>
        </w:tabs>
        <w:numPr>
          <w:ilvl w:val="0"/>
          <w:numId w:val="135"/>
        </w:numPr>
        <w:rPr>
          <w:rFonts w:ascii="Arial" w:cs="Arial" w:eastAsia="Arial" w:hAnsi="Arial"/>
          <w:sz w:val="14"/>
          <w:szCs w:val="14"/>
          <w:color w:val="auto"/>
        </w:rPr>
      </w:pPr>
      <w:r>
        <w:rPr>
          <w:rFonts w:ascii="Arial" w:cs="Arial" w:eastAsia="Arial" w:hAnsi="Arial"/>
          <w:sz w:val="14"/>
          <w:szCs w:val="14"/>
          <w:color w:val="auto"/>
        </w:rPr>
        <w:t>As provided in the Act, the State of California Bureau of State Audits (the “Bureau”) conducted a financial and performance audit of DWR’s implementation of Division 27 (commencing with Section 80000) of the California Water Code, such audit was to be completed prior to December 31, 2001, and the Bureau issued a final report on or before March 31, 2003. In addition, as provided in Section 8546.7 of the California Government Code, pursuant to this Section 8.2, Utility is ordered to permit DWR or the State of California Department of General Services, the Bureau, or their designated representative (“DWR’s Agent”) to review and to copy (at DWR’s expense) any non-confidential records and supporting documentation pertaining to the performance of this Servicing Order and to conduct an on site review of any Confidential Information pursuant to Sections 8.3 and 8.8 hereof. Utility shall maintain such records for such possible audit for three (3) years after final Remittance to DWR. Utility shall allow such auditor(s) access to such records during Business Hours and shall allow interviews of any employees who might reasonably have information related to such records. Further, Utility shall include a similar right for DWR or DWR’s Agent to audit records and interview staff in any contract between Utility and a subcontractor related to performance of this Servicing Order.</w:t>
      </w:r>
    </w:p>
    <w:p>
      <w:pPr>
        <w:spacing w:after="0" w:line="285"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8.3.</w:t>
      </w:r>
      <w:r>
        <w:rPr>
          <w:sz w:val="20"/>
          <w:szCs w:val="20"/>
          <w:color w:val="auto"/>
        </w:rPr>
        <w:tab/>
      </w:r>
      <w:r>
        <w:rPr>
          <w:rFonts w:ascii="Arial" w:cs="Arial" w:eastAsia="Arial" w:hAnsi="Arial"/>
          <w:sz w:val="14"/>
          <w:szCs w:val="14"/>
          <w:b w:val="1"/>
          <w:bCs w:val="1"/>
          <w:color w:val="auto"/>
        </w:rPr>
        <w:t>Confidentiality.</w:t>
      </w:r>
    </w:p>
    <w:p>
      <w:pPr>
        <w:spacing w:after="0" w:line="160" w:lineRule="exact"/>
        <w:rPr>
          <w:sz w:val="20"/>
          <w:szCs w:val="20"/>
          <w:color w:val="auto"/>
        </w:rPr>
      </w:pPr>
    </w:p>
    <w:p>
      <w:pPr>
        <w:jc w:val="both"/>
        <w:ind w:left="500"/>
        <w:spacing w:after="0" w:line="235" w:lineRule="auto"/>
        <w:rPr>
          <w:sz w:val="20"/>
          <w:szCs w:val="20"/>
          <w:color w:val="auto"/>
        </w:rPr>
      </w:pPr>
      <w:r>
        <w:rPr>
          <w:rFonts w:ascii="Arial" w:cs="Arial" w:eastAsia="Arial" w:hAnsi="Arial"/>
          <w:sz w:val="17"/>
          <w:szCs w:val="17"/>
          <w:color w:val="auto"/>
        </w:rPr>
        <w:t>Materials reviewed by either Party or its agents in the course of an audit may contain Confidential Information subject to Section 6 above. DWR agrees, and with respect to Utility it is ordered that the use of all materials provided to DWR or Utility or their agents, as the case may be pursuant to this Section 8, shall comply with the provisions in Section 6 and shall be limited to use in conjunction with the conduct of the audit and preparation of a report for appropriate distribution of the results of the audit consistent with Applicable Law.</w:t>
      </w:r>
    </w:p>
    <w:p>
      <w:pPr>
        <w:spacing w:after="0" w:line="130"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8.4.</w:t>
      </w:r>
      <w:r>
        <w:rPr>
          <w:sz w:val="20"/>
          <w:szCs w:val="20"/>
          <w:color w:val="auto"/>
        </w:rPr>
        <w:tab/>
      </w:r>
      <w:r>
        <w:rPr>
          <w:rFonts w:ascii="Arial" w:cs="Arial" w:eastAsia="Arial" w:hAnsi="Arial"/>
          <w:sz w:val="14"/>
          <w:szCs w:val="14"/>
          <w:b w:val="1"/>
          <w:bCs w:val="1"/>
          <w:color w:val="auto"/>
        </w:rPr>
        <w:t>DWR Requested Independent Reports.</w:t>
      </w:r>
    </w:p>
    <w:p>
      <w:pPr>
        <w:spacing w:after="0" w:line="160" w:lineRule="exact"/>
        <w:rPr>
          <w:sz w:val="20"/>
          <w:szCs w:val="20"/>
          <w:color w:val="auto"/>
        </w:rPr>
      </w:pPr>
    </w:p>
    <w:p>
      <w:pPr>
        <w:jc w:val="both"/>
        <w:ind w:left="500"/>
        <w:spacing w:after="0" w:line="232" w:lineRule="auto"/>
        <w:rPr>
          <w:sz w:val="20"/>
          <w:szCs w:val="20"/>
          <w:color w:val="auto"/>
        </w:rPr>
      </w:pPr>
      <w:r>
        <w:rPr>
          <w:rFonts w:ascii="Arial" w:cs="Arial" w:eastAsia="Arial" w:hAnsi="Arial"/>
          <w:sz w:val="17"/>
          <w:szCs w:val="17"/>
          <w:color w:val="auto"/>
        </w:rPr>
        <w:t>On or after the Effective Date of this Servicing Order and at the request and expense of DWR, Utility shall cause a firm of independent certified public accountants (which may provide other services to Utility) to prepare, and Utility will deliver to DWR and its Assign(s), a report addressed to Utility (which may be included as part of Utility’s customary auditing activities), for the information and use of DWR, to the effect that such firm has performed certain procedures (the scope of which shall be agreed upon with DWR) in connection with Utility’s compliance with its obligations under this Servicing Order during the preceding year, identifying the results of such procedures and including any exceptions noted. Utility will deliver a copy of each report prepared hereunder to the Commission (at the address specified in section 14.14) at the same time it delivers each such report to DWR. Utility shall not be obligated to complete more than one report per year under this Section.</w:t>
      </w:r>
    </w:p>
    <w:p>
      <w:pPr>
        <w:spacing w:after="0" w:line="141"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8.5.</w:t>
      </w:r>
      <w:r>
        <w:rPr>
          <w:sz w:val="20"/>
          <w:szCs w:val="20"/>
          <w:color w:val="auto"/>
        </w:rPr>
        <w:tab/>
      </w:r>
      <w:r>
        <w:rPr>
          <w:rFonts w:ascii="Arial" w:cs="Arial" w:eastAsia="Arial" w:hAnsi="Arial"/>
          <w:sz w:val="14"/>
          <w:szCs w:val="14"/>
          <w:b w:val="1"/>
          <w:bCs w:val="1"/>
          <w:color w:val="auto"/>
        </w:rPr>
        <w:t>Annual Certifications.</w:t>
      </w:r>
    </w:p>
    <w:p>
      <w:pPr>
        <w:spacing w:after="0" w:line="176" w:lineRule="exact"/>
        <w:rPr>
          <w:sz w:val="20"/>
          <w:szCs w:val="20"/>
          <w:color w:val="auto"/>
        </w:rPr>
      </w:pPr>
    </w:p>
    <w:p>
      <w:pPr>
        <w:jc w:val="both"/>
        <w:ind w:left="500"/>
        <w:spacing w:after="0" w:line="214" w:lineRule="auto"/>
        <w:rPr>
          <w:sz w:val="20"/>
          <w:szCs w:val="20"/>
          <w:color w:val="auto"/>
        </w:rPr>
      </w:pPr>
      <w:r>
        <w:rPr>
          <w:rFonts w:ascii="Arial" w:cs="Arial" w:eastAsia="Arial" w:hAnsi="Arial"/>
          <w:sz w:val="17"/>
          <w:szCs w:val="17"/>
          <w:color w:val="auto"/>
        </w:rPr>
        <w:t>On or after the Effective Date of this Servicing Order, at least annually, and in no event later than the 30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day after the end of the calendar year, Utility shall deliver to DWR, with a copy to the Commission, a certificate of an authorized representative certifying that to the best of such representative’s knowledge, after a review of Utility’s performance under this Servicing Order, Utility has fulfilled its obligations under this Servicing Order in all material respects and is in compliance herewith in all material respects.</w:t>
      </w:r>
    </w:p>
    <w:p>
      <w:pPr>
        <w:spacing w:after="0" w:line="131"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8.6.</w:t>
      </w:r>
      <w:r>
        <w:rPr>
          <w:sz w:val="20"/>
          <w:szCs w:val="20"/>
          <w:color w:val="auto"/>
        </w:rPr>
        <w:tab/>
      </w:r>
      <w:r>
        <w:rPr>
          <w:rFonts w:ascii="Arial" w:cs="Arial" w:eastAsia="Arial" w:hAnsi="Arial"/>
          <w:sz w:val="14"/>
          <w:szCs w:val="14"/>
          <w:b w:val="1"/>
          <w:bCs w:val="1"/>
          <w:color w:val="auto"/>
        </w:rPr>
        <w:t>Additional Applicable Laws.</w:t>
      </w:r>
    </w:p>
    <w:p>
      <w:pPr>
        <w:spacing w:after="0" w:line="160" w:lineRule="exact"/>
        <w:rPr>
          <w:sz w:val="20"/>
          <w:szCs w:val="20"/>
          <w:color w:val="auto"/>
        </w:rPr>
      </w:pPr>
    </w:p>
    <w:p>
      <w:pPr>
        <w:jc w:val="both"/>
        <w:ind w:left="500"/>
        <w:spacing w:after="0" w:line="234" w:lineRule="auto"/>
        <w:rPr>
          <w:sz w:val="20"/>
          <w:szCs w:val="20"/>
          <w:color w:val="auto"/>
        </w:rPr>
      </w:pPr>
      <w:r>
        <w:rPr>
          <w:rFonts w:ascii="Arial" w:cs="Arial" w:eastAsia="Arial" w:hAnsi="Arial"/>
          <w:sz w:val="17"/>
          <w:szCs w:val="17"/>
          <w:color w:val="auto"/>
        </w:rPr>
        <w:t>DWR agrees, and Utility is ordered to make an effort to promptly notify the other Party in writing to the extent such Party becomes aware of any new Applicable Laws or changes (or proposed changes) in Applicable Tariffs hereafter enacted, adopted or promulgated that may have a material adverse effect on either Party’s ability to perform its duties under this Servicing Order. DWR agrees, and with respect to Utility it is ordered that a Party’s failure to so notify the other Party pursuant to this Section 8.6 will not constitute a material breach of this Servicing Order, and will not give rise to any right to terminate this Servicing Order or cause either Party to incur any liability to the other Party or any third party.</w:t>
      </w:r>
    </w:p>
    <w:p>
      <w:pPr>
        <w:spacing w:after="0" w:line="128"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8.7.</w:t>
      </w:r>
      <w:r>
        <w:rPr>
          <w:sz w:val="20"/>
          <w:szCs w:val="20"/>
          <w:color w:val="auto"/>
        </w:rPr>
        <w:tab/>
      </w:r>
      <w:r>
        <w:rPr>
          <w:rFonts w:ascii="Arial" w:cs="Arial" w:eastAsia="Arial" w:hAnsi="Arial"/>
          <w:sz w:val="14"/>
          <w:szCs w:val="14"/>
          <w:b w:val="1"/>
          <w:bCs w:val="1"/>
          <w:color w:val="auto"/>
        </w:rPr>
        <w:t>Other Information.</w:t>
      </w:r>
    </w:p>
    <w:p>
      <w:pPr>
        <w:spacing w:after="0" w:line="160" w:lineRule="exact"/>
        <w:rPr>
          <w:sz w:val="20"/>
          <w:szCs w:val="20"/>
          <w:color w:val="auto"/>
        </w:rPr>
      </w:pPr>
    </w:p>
    <w:p>
      <w:pPr>
        <w:jc w:val="both"/>
        <w:ind w:left="500"/>
        <w:spacing w:after="0" w:line="301" w:lineRule="auto"/>
        <w:rPr>
          <w:sz w:val="20"/>
          <w:szCs w:val="20"/>
          <w:color w:val="auto"/>
        </w:rPr>
      </w:pPr>
      <w:r>
        <w:rPr>
          <w:rFonts w:ascii="Arial" w:cs="Arial" w:eastAsia="Arial" w:hAnsi="Arial"/>
          <w:sz w:val="14"/>
          <w:szCs w:val="14"/>
          <w:color w:val="auto"/>
        </w:rPr>
        <w:t>Upon the reasonable request of DWR or its Assign(s), Utility shall provide to the Commission and to DWR or its Assign(s) any public financial information in respect of the Utility applicable to Services provided by Utility under this Servicing Order, or any material information regarding the sale of DWR Power, surplus Power (prior to the MRTU Effective Date) or the collection of DWR Charges to the extent such information is reasonably available to Utility, which (i) is reasonably necessary and permitted by Applicable Law to monitor the performance by Utility hereunder, or (ii) otherwise relates to the exercise of DWR’s rights or the</w:t>
      </w:r>
    </w:p>
    <w:p>
      <w:pPr>
        <w:sectPr>
          <w:pgSz w:w="11900" w:h="16945" w:orient="portrait"/>
          <w:cols w:equalWidth="0" w:num="1">
            <w:col w:w="11460"/>
          </w:cols>
          <w:pgMar w:left="220" w:top="124" w:right="219" w:bottom="0" w:gutter="0" w:footer="0" w:header="0"/>
        </w:sectPr>
      </w:pPr>
    </w:p>
    <w:bookmarkStart w:id="114" w:name="page115"/>
    <w:bookmarkEnd w:id="114"/>
    <w:p>
      <w:pPr>
        <w:spacing w:after="0" w:line="49" w:lineRule="exact"/>
        <w:rPr>
          <w:sz w:val="20"/>
          <w:szCs w:val="20"/>
          <w:color w:val="auto"/>
        </w:rPr>
      </w:pPr>
    </w:p>
    <w:p>
      <w:pPr>
        <w:jc w:val="both"/>
        <w:ind w:left="500"/>
        <w:spacing w:after="0" w:line="258" w:lineRule="auto"/>
        <w:rPr>
          <w:sz w:val="20"/>
          <w:szCs w:val="20"/>
          <w:color w:val="auto"/>
        </w:rPr>
      </w:pPr>
      <w:r>
        <w:rPr>
          <w:rFonts w:ascii="Arial" w:cs="Arial" w:eastAsia="Arial" w:hAnsi="Arial"/>
          <w:sz w:val="16"/>
          <w:szCs w:val="16"/>
          <w:color w:val="auto"/>
        </w:rPr>
        <w:t>discharge of DWR’s duties under this Servicing Order or any Applicable Law. In particular, but without limiting the foregoing, Utility shall provide to DWR, with a copy to the Commission, any such information that is necessary or useful to calculate DWR’s revenue requirements (as described in Sections 80110 and 80134 of the California Water Code) or DWR Charges and, prior to the MRTU Effective Date, DWR Surplus Energy Sales Revenues.</w:t>
      </w:r>
    </w:p>
    <w:p>
      <w:pPr>
        <w:spacing w:after="0" w:line="115"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8.8.</w:t>
      </w:r>
      <w:r>
        <w:rPr>
          <w:sz w:val="20"/>
          <w:szCs w:val="20"/>
          <w:color w:val="auto"/>
        </w:rPr>
        <w:tab/>
      </w:r>
      <w:r>
        <w:rPr>
          <w:rFonts w:ascii="Arial" w:cs="Arial" w:eastAsia="Arial" w:hAnsi="Arial"/>
          <w:sz w:val="14"/>
          <w:szCs w:val="14"/>
          <w:b w:val="1"/>
          <w:bCs w:val="1"/>
          <w:color w:val="auto"/>
        </w:rPr>
        <w:t>Customer Confidentiality.</w:t>
      </w:r>
    </w:p>
    <w:p>
      <w:pPr>
        <w:spacing w:after="0" w:line="160" w:lineRule="exact"/>
        <w:rPr>
          <w:sz w:val="20"/>
          <w:szCs w:val="20"/>
          <w:color w:val="auto"/>
        </w:rPr>
      </w:pPr>
    </w:p>
    <w:p>
      <w:pPr>
        <w:jc w:val="both"/>
        <w:ind w:left="500"/>
        <w:spacing w:after="0" w:line="349" w:lineRule="auto"/>
        <w:rPr>
          <w:sz w:val="20"/>
          <w:szCs w:val="20"/>
          <w:color w:val="auto"/>
        </w:rPr>
      </w:pPr>
      <w:r>
        <w:rPr>
          <w:rFonts w:ascii="Arial" w:cs="Arial" w:eastAsia="Arial" w:hAnsi="Arial"/>
          <w:sz w:val="14"/>
          <w:szCs w:val="14"/>
          <w:color w:val="auto"/>
        </w:rPr>
        <w:t>Nothing in this Section 8 shall affect the obligation of Utility to observe any Applicable Law prohibiting disclosure of information regarding Customers, and the failure of Utility to provide access to such information as a result of such obligation shall not constitute a breach of this Section 8 or this Servicing Order.</w:t>
      </w:r>
    </w:p>
    <w:p>
      <w:pPr>
        <w:spacing w:after="0" w:line="65"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Section 9.</w:t>
      </w:r>
      <w:r>
        <w:rPr>
          <w:sz w:val="20"/>
          <w:szCs w:val="20"/>
          <w:color w:val="auto"/>
        </w:rPr>
        <w:tab/>
      </w:r>
      <w:r>
        <w:rPr>
          <w:rFonts w:ascii="Arial" w:cs="Arial" w:eastAsia="Arial" w:hAnsi="Arial"/>
          <w:sz w:val="14"/>
          <w:szCs w:val="14"/>
          <w:b w:val="1"/>
          <w:bCs w:val="1"/>
          <w:color w:val="auto"/>
        </w:rPr>
        <w:t>Reserved.</w:t>
      </w:r>
    </w:p>
    <w:p>
      <w:pPr>
        <w:spacing w:after="0" w:line="146"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Section 10.</w:t>
      </w:r>
      <w:r>
        <w:rPr>
          <w:sz w:val="20"/>
          <w:szCs w:val="20"/>
          <w:color w:val="auto"/>
        </w:rPr>
        <w:tab/>
      </w:r>
      <w:r>
        <w:rPr>
          <w:rFonts w:ascii="Arial" w:cs="Arial" w:eastAsia="Arial" w:hAnsi="Arial"/>
          <w:sz w:val="14"/>
          <w:szCs w:val="14"/>
          <w:b w:val="1"/>
          <w:bCs w:val="1"/>
          <w:color w:val="auto"/>
        </w:rPr>
        <w:t>Amendment Upon Changed Circumstances.</w:t>
      </w:r>
    </w:p>
    <w:p>
      <w:pPr>
        <w:spacing w:after="0" w:line="150" w:lineRule="exact"/>
        <w:rPr>
          <w:sz w:val="20"/>
          <w:szCs w:val="20"/>
          <w:color w:val="auto"/>
        </w:rPr>
      </w:pPr>
    </w:p>
    <w:p>
      <w:pPr>
        <w:jc w:val="both"/>
        <w:ind w:left="500" w:hanging="1"/>
        <w:spacing w:after="0" w:line="245" w:lineRule="auto"/>
        <w:tabs>
          <w:tab w:leader="none" w:pos="996"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Parties are informed that compliance with any Commission decision, legislative action or other governmental action (whether issued before or after the Effective Date of this Servicing Order) affecting the operation of this Servicing Order, including but not limited to (i) dissolution of the ISO, (ii) changes in the ISO market structure, including but not limited to the Market Redesign and Technology Upgrade or a reversion related thereto, (iii) a decision regarding the “Fixed Department of Water Resources Set-Aside” as such term is defined in Section 360.5 of the California Public Utilities Code, (iv) the establishment of other Governmental Programs, (v) the establishment or implementation of Bond Charge or related charges ordered by the Commission to additional Customer Types than currently reflected in the Appendices to Attachment B and as further contemplated in Section 2.4 of Service Attachment 1 hereto, (vi) the imposition or modification of a charge or similar DWR Charge upon customers of Electric Service Providers or upon any other third party, (vii) the modification of the Operating Order, or (viii) the modification of provisions related to the sales of surplus Power made on behalf of DWR to third parties by Utility, may require that amendment(s) be made to this Servicing Order. If either Party reasonably determines that such a decision or action would materially affect the Services to be provided hereunder or the reasonable costs thereof, then upon the issuance of such decision or the approval of such action (unless and until it is stayed), DWR agrees, and Utility is ordered to negotiate the amendment(s) to this Servicing Order that is (or are) appropriate in order to effectuate the required changes in Services to be provided or the reimbursement thereof.</w:t>
      </w:r>
    </w:p>
    <w:p>
      <w:pPr>
        <w:spacing w:after="0" w:line="144" w:lineRule="exact"/>
        <w:rPr>
          <w:sz w:val="20"/>
          <w:szCs w:val="20"/>
          <w:color w:val="auto"/>
        </w:rPr>
      </w:pPr>
    </w:p>
    <w:p>
      <w:pPr>
        <w:jc w:val="both"/>
        <w:ind w:left="500"/>
        <w:spacing w:after="0" w:line="235" w:lineRule="auto"/>
        <w:rPr>
          <w:sz w:val="20"/>
          <w:szCs w:val="20"/>
          <w:color w:val="auto"/>
        </w:rPr>
      </w:pPr>
      <w:r>
        <w:rPr>
          <w:rFonts w:ascii="Arial" w:cs="Arial" w:eastAsia="Arial" w:hAnsi="Arial"/>
          <w:sz w:val="17"/>
          <w:szCs w:val="17"/>
          <w:color w:val="auto"/>
        </w:rPr>
        <w:t>Notwithstanding Section 5.4, if the Parties are unable to reach agreement on such amendments within sixty (60) days after the issuance of such decision or approval of such action, DWR may, and Utility shall, submit the disagreement to the Commission for proposed resolution, in accordance with Applicable Law. Nothing herein shall preclude either Party from challenging the decision or action which such Party deems may adversely affect its interests in any appropriate forum of the Party’s choosing.</w:t>
      </w:r>
    </w:p>
    <w:p>
      <w:pPr>
        <w:spacing w:after="0" w:line="144" w:lineRule="exact"/>
        <w:rPr>
          <w:sz w:val="20"/>
          <w:szCs w:val="20"/>
          <w:color w:val="auto"/>
        </w:rPr>
      </w:pPr>
    </w:p>
    <w:p>
      <w:pPr>
        <w:jc w:val="both"/>
        <w:ind w:left="500" w:hanging="1"/>
        <w:spacing w:after="0" w:line="237" w:lineRule="auto"/>
        <w:tabs>
          <w:tab w:leader="none" w:pos="99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Parties are informed that this Servicing Order has not been reviewed by the rating agencies which are rating DWR’s bonds. If the rating agencies request changes to this Servicing Order, DWR agrees, and Utility is ordered to negotiate to amend this Servicing Order to accommodate the rating agency requests and will cooperate in obtaining approval of the Commission for such amendments.</w:t>
      </w:r>
    </w:p>
    <w:p>
      <w:pPr>
        <w:spacing w:after="0" w:line="134" w:lineRule="exact"/>
        <w:rPr>
          <w:rFonts w:ascii="Arial" w:cs="Arial" w:eastAsia="Arial" w:hAnsi="Arial"/>
          <w:sz w:val="17"/>
          <w:szCs w:val="17"/>
          <w:color w:val="auto"/>
        </w:rPr>
      </w:pPr>
    </w:p>
    <w:p>
      <w:pPr>
        <w:ind w:left="500" w:hanging="1"/>
        <w:spacing w:after="0" w:line="275" w:lineRule="auto"/>
        <w:tabs>
          <w:tab w:leader="none" w:pos="996"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Parties are informed that this Servicing Order has been modified to implement the California Governor’s Executive Order D-39-01, dated June 9, 2001, concerning load curtailment programs. Such previously negotiated amendments to this Servicing Order are incorporated in Attachment F hereto.</w:t>
      </w:r>
    </w:p>
    <w:p>
      <w:pPr>
        <w:spacing w:after="0" w:line="105" w:lineRule="exact"/>
        <w:rPr>
          <w:rFonts w:ascii="Arial" w:cs="Arial" w:eastAsia="Arial" w:hAnsi="Arial"/>
          <w:sz w:val="16"/>
          <w:szCs w:val="16"/>
          <w:color w:val="auto"/>
        </w:rPr>
      </w:pPr>
    </w:p>
    <w:p>
      <w:pPr>
        <w:jc w:val="both"/>
        <w:ind w:left="500" w:hanging="1"/>
        <w:spacing w:after="0" w:line="249" w:lineRule="auto"/>
        <w:tabs>
          <w:tab w:leader="none" w:pos="996" w:val="left"/>
        </w:tabs>
        <w:numPr>
          <w:ilvl w:val="0"/>
          <w:numId w:val="137"/>
        </w:numPr>
        <w:rPr>
          <w:rFonts w:ascii="Arial" w:cs="Arial" w:eastAsia="Arial" w:hAnsi="Arial"/>
          <w:sz w:val="16"/>
          <w:szCs w:val="16"/>
          <w:color w:val="auto"/>
        </w:rPr>
      </w:pPr>
      <w:r>
        <w:rPr>
          <w:rFonts w:ascii="Arial" w:cs="Arial" w:eastAsia="Arial" w:hAnsi="Arial"/>
          <w:sz w:val="16"/>
          <w:szCs w:val="16"/>
          <w:color w:val="auto"/>
        </w:rPr>
        <w:t>DWR agrees, and Utility is ordered to bring to the other Party’s attention any errors or discrepancies that are discovered affecting the operation or implementation of this Servicing Order, and DWR agrees, and Utility is ordered to meet and confer upon such event to negotiate any amendments to this Servicing Order that are appropriate to correct such errors or discrepancies. If the Parties are unable to reach agreement on such amendments within sixty (60) days after the discovery of such errors or discrepancies, either party may, in the exercise of its sole discretion, submit the disagreement to the Commission for proposed resolution, in accordance with Applicable Law. Nothing herein shall preclude either Party from challenging the decision or action which such Party deems may adversely affect its interests in any appropriate forum of the Party’s choosing.</w:t>
      </w:r>
    </w:p>
    <w:p>
      <w:pPr>
        <w:spacing w:after="0" w:line="132"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Section 11.</w:t>
      </w:r>
      <w:r>
        <w:rPr>
          <w:sz w:val="20"/>
          <w:szCs w:val="20"/>
          <w:color w:val="auto"/>
        </w:rPr>
        <w:tab/>
      </w:r>
      <w:r>
        <w:rPr>
          <w:rFonts w:ascii="Arial" w:cs="Arial" w:eastAsia="Arial" w:hAnsi="Arial"/>
          <w:sz w:val="14"/>
          <w:szCs w:val="14"/>
          <w:b w:val="1"/>
          <w:bCs w:val="1"/>
          <w:color w:val="auto"/>
        </w:rPr>
        <w:t>Data Retention.</w:t>
      </w:r>
    </w:p>
    <w:p>
      <w:pPr>
        <w:spacing w:after="0" w:line="160" w:lineRule="exact"/>
        <w:rPr>
          <w:sz w:val="20"/>
          <w:szCs w:val="20"/>
          <w:color w:val="auto"/>
        </w:rPr>
      </w:pPr>
    </w:p>
    <w:p>
      <w:pPr>
        <w:jc w:val="both"/>
        <w:ind w:left="500"/>
        <w:spacing w:after="0" w:line="275" w:lineRule="auto"/>
        <w:rPr>
          <w:sz w:val="20"/>
          <w:szCs w:val="20"/>
          <w:color w:val="auto"/>
        </w:rPr>
      </w:pPr>
      <w:r>
        <w:rPr>
          <w:rFonts w:ascii="Arial" w:cs="Arial" w:eastAsia="Arial" w:hAnsi="Arial"/>
          <w:sz w:val="16"/>
          <w:szCs w:val="16"/>
          <w:color w:val="auto"/>
        </w:rPr>
        <w:t>DWR agrees, and with respect to Utility is ordered that all data associated with the provision and receipt of services pursuant to this Servicing Order shall be maintained for the greater of (a) the retention time required by Applicable Law or Applicable Tariffs for maintaining such information, or (b) three years.</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Section 12.</w:t>
      </w:r>
      <w:r>
        <w:rPr>
          <w:sz w:val="20"/>
          <w:szCs w:val="20"/>
          <w:color w:val="auto"/>
        </w:rPr>
        <w:tab/>
      </w:r>
      <w:r>
        <w:rPr>
          <w:rFonts w:ascii="Arial" w:cs="Arial" w:eastAsia="Arial" w:hAnsi="Arial"/>
          <w:sz w:val="14"/>
          <w:szCs w:val="14"/>
          <w:b w:val="1"/>
          <w:bCs w:val="1"/>
          <w:color w:val="auto"/>
        </w:rPr>
        <w:t>Indemnity.</w:t>
      </w:r>
    </w:p>
    <w:p>
      <w:pPr>
        <w:spacing w:after="0" w:line="160" w:lineRule="exact"/>
        <w:rPr>
          <w:sz w:val="20"/>
          <w:szCs w:val="20"/>
          <w:color w:val="auto"/>
        </w:rPr>
      </w:pPr>
    </w:p>
    <w:p>
      <w:pPr>
        <w:jc w:val="both"/>
        <w:ind w:left="500"/>
        <w:spacing w:after="0" w:line="280" w:lineRule="auto"/>
        <w:rPr>
          <w:sz w:val="20"/>
          <w:szCs w:val="20"/>
          <w:color w:val="auto"/>
        </w:rPr>
      </w:pPr>
      <w:r>
        <w:rPr>
          <w:rFonts w:ascii="Arial" w:cs="Arial" w:eastAsia="Arial" w:hAnsi="Arial"/>
          <w:sz w:val="14"/>
          <w:szCs w:val="14"/>
          <w:color w:val="auto"/>
        </w:rPr>
        <w:t>It is ordered that Utility and, to the extent allowed under Applicable Law, DWR agrees that it (each, the “Indemnifying Party”) shall defend, indemnify, and hold the other Party, together with its affiliates, and each of their respective officers, agents, employees, assigns and successors in interest (collectively, the “Indemnified Party”), harmless from and against all claims, losses, demands, actions and expenses, damages and liabilities of any nature whatsoever (collectively “Claims”) with respect to the acts or omissions of the Indemnifying Party, or its officers, agents, contractors and employees, with respect to Indemnifying Party’s performance of its obligations under this Servicing Order. DWR agrees, and with respect to Utility it is ordered that notwithstanding the above, the provisions of this Section 12 shall not apply to any Claims to the extent they involve the negligence, gross negligence, recklessness, willful misconduct or breach of this Servicing Order by either Indemnified Party. DWR agrees, and with respect to Utility it is ordered that each Indemnified Party shall bear its own attorneys’ fees and costs under this Section</w:t>
      </w:r>
    </w:p>
    <w:p>
      <w:pPr>
        <w:spacing w:after="0" w:line="2" w:lineRule="exact"/>
        <w:rPr>
          <w:sz w:val="20"/>
          <w:szCs w:val="20"/>
          <w:color w:val="auto"/>
        </w:rPr>
      </w:pPr>
    </w:p>
    <w:p>
      <w:pPr>
        <w:jc w:val="both"/>
        <w:ind w:left="500" w:hanging="1"/>
        <w:spacing w:after="0" w:line="232" w:lineRule="auto"/>
        <w:tabs>
          <w:tab w:leader="none" w:pos="756" w:val="left"/>
        </w:tabs>
        <w:numPr>
          <w:ilvl w:val="0"/>
          <w:numId w:val="138"/>
        </w:numPr>
        <w:rPr>
          <w:rFonts w:ascii="Arial" w:cs="Arial" w:eastAsia="Arial" w:hAnsi="Arial"/>
          <w:sz w:val="17"/>
          <w:szCs w:val="17"/>
          <w:color w:val="auto"/>
        </w:rPr>
      </w:pPr>
      <w:r>
        <w:rPr>
          <w:rFonts w:ascii="Arial" w:cs="Arial" w:eastAsia="Arial" w:hAnsi="Arial"/>
          <w:sz w:val="17"/>
          <w:szCs w:val="17"/>
          <w:color w:val="auto"/>
        </w:rPr>
        <w:t>DWR agrees, and with respect to Utility it is ordered that the Indemnifying Party’s obligations under this Section 12 shall survive termination of this Servicing Order. This Section 12 notwithstanding, DWR has made no representation that it has the express or implied legal authority to perform any obligation under this Section 12.</w:t>
      </w:r>
    </w:p>
    <w:p>
      <w:pPr>
        <w:spacing w:after="0" w:line="128"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Section 13.</w:t>
      </w:r>
      <w:r>
        <w:rPr>
          <w:sz w:val="20"/>
          <w:szCs w:val="20"/>
          <w:color w:val="auto"/>
        </w:rPr>
        <w:tab/>
      </w:r>
      <w:r>
        <w:rPr>
          <w:rFonts w:ascii="Arial" w:cs="Arial" w:eastAsia="Arial" w:hAnsi="Arial"/>
          <w:sz w:val="14"/>
          <w:szCs w:val="14"/>
          <w:b w:val="1"/>
          <w:bCs w:val="1"/>
          <w:color w:val="auto"/>
        </w:rPr>
        <w:t>Limitations on Liability.</w:t>
      </w:r>
    </w:p>
    <w:p>
      <w:pPr>
        <w:spacing w:after="0" w:line="156"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13.1.</w:t>
      </w:r>
      <w:r>
        <w:rPr>
          <w:sz w:val="20"/>
          <w:szCs w:val="20"/>
          <w:color w:val="auto"/>
        </w:rPr>
        <w:tab/>
      </w:r>
      <w:r>
        <w:rPr>
          <w:rFonts w:ascii="Arial" w:cs="Arial" w:eastAsia="Arial" w:hAnsi="Arial"/>
          <w:sz w:val="14"/>
          <w:szCs w:val="14"/>
          <w:b w:val="1"/>
          <w:bCs w:val="1"/>
          <w:color w:val="auto"/>
        </w:rPr>
        <w:t>Consequential Damages.</w:t>
      </w:r>
    </w:p>
    <w:p>
      <w:pPr>
        <w:spacing w:after="0" w:line="160" w:lineRule="exact"/>
        <w:rPr>
          <w:sz w:val="20"/>
          <w:szCs w:val="20"/>
          <w:color w:val="auto"/>
        </w:rPr>
      </w:pPr>
    </w:p>
    <w:p>
      <w:pPr>
        <w:jc w:val="both"/>
        <w:ind w:left="500"/>
        <w:spacing w:after="0" w:line="349" w:lineRule="auto"/>
        <w:rPr>
          <w:sz w:val="20"/>
          <w:szCs w:val="20"/>
          <w:color w:val="auto"/>
        </w:rPr>
      </w:pPr>
      <w:r>
        <w:rPr>
          <w:rFonts w:ascii="Arial" w:cs="Arial" w:eastAsia="Arial" w:hAnsi="Arial"/>
          <w:sz w:val="14"/>
          <w:szCs w:val="14"/>
          <w:color w:val="auto"/>
        </w:rPr>
        <w:t>DWR agrees, and with respect to Utility it is ordered that in no event will either Party be liable to the other Party for any indirect, special, exemplary, incidental, punitive, or consequential damages under any theory. Nothing in this Section 13.1 shall limit either Party’s rights as provided in Section 12 above.</w:t>
      </w:r>
    </w:p>
    <w:p>
      <w:pPr>
        <w:spacing w:after="0" w:line="55"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13.2.</w:t>
      </w:r>
      <w:r>
        <w:rPr>
          <w:sz w:val="20"/>
          <w:szCs w:val="20"/>
          <w:color w:val="auto"/>
        </w:rPr>
        <w:tab/>
      </w:r>
      <w:r>
        <w:rPr>
          <w:rFonts w:ascii="Arial" w:cs="Arial" w:eastAsia="Arial" w:hAnsi="Arial"/>
          <w:sz w:val="14"/>
          <w:szCs w:val="14"/>
          <w:b w:val="1"/>
          <w:bCs w:val="1"/>
          <w:color w:val="auto"/>
        </w:rPr>
        <w:t>Limited Obligations of DWR and Utility.</w:t>
      </w:r>
    </w:p>
    <w:p>
      <w:pPr>
        <w:spacing w:after="0" w:line="160" w:lineRule="exact"/>
        <w:rPr>
          <w:sz w:val="20"/>
          <w:szCs w:val="20"/>
          <w:color w:val="auto"/>
        </w:rPr>
      </w:pPr>
    </w:p>
    <w:p>
      <w:pPr>
        <w:jc w:val="both"/>
        <w:ind w:left="500"/>
        <w:spacing w:after="0" w:line="246" w:lineRule="auto"/>
        <w:rPr>
          <w:sz w:val="20"/>
          <w:szCs w:val="20"/>
          <w:color w:val="auto"/>
        </w:rPr>
      </w:pPr>
      <w:r>
        <w:rPr>
          <w:rFonts w:ascii="Arial" w:cs="Arial" w:eastAsia="Arial" w:hAnsi="Arial"/>
          <w:sz w:val="16"/>
          <w:szCs w:val="16"/>
          <w:color w:val="auto"/>
        </w:rPr>
        <w:t>DWR agrees that it will be liable for all amounts owing to Utility for the Services hereunder, irrespective of (a) any Customer’s failure to make full and timely payments owed for DWR Charges, or (b) Utility’s rights under Sections 4.3 and 7.2 to deduct certain amounts in calculating Remittances owing by Utility to DWR under Attachment B. Utility will not be required at any time to advance or pay any of its own funds in the fulfillment of its responsibilities hereunder with respect to DWR Charges, except to the extent provided otherwise in Attachment B hereto. DWR agrees that any amounts payable by DWR under this Servicing Order shall be payable solely from monies on deposit in the Department of Water Resources Electric Power Fund established pursuant to Section 80200 of the California Water Code (the “Fund”). Neither the full faith and credit nor the taxing power of the State of California are or may be pledged for any payment under this Servicing Order. Revenues and assets of the State Water Resources Development System are not available to make payments under this Servicing Order. If monies on deposit in the Fund are insufficient to pay all amounts payable by DWR under this Servicing Order, or if DWR has reason to believe such funds may become insufficient to pay all amounts payable by DWR under this Servicing Order, DWR agrees to diligently pursue an increase to its revenue requirements as permitted under the Act from the appropriate Governmental Authority as soon as practicable.</w:t>
      </w:r>
    </w:p>
    <w:p>
      <w:pPr>
        <w:spacing w:after="0" w:line="126"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Section 14.</w:t>
      </w:r>
      <w:r>
        <w:rPr>
          <w:sz w:val="20"/>
          <w:szCs w:val="20"/>
          <w:color w:val="auto"/>
        </w:rPr>
        <w:tab/>
      </w:r>
      <w:r>
        <w:rPr>
          <w:rFonts w:ascii="Arial" w:cs="Arial" w:eastAsia="Arial" w:hAnsi="Arial"/>
          <w:sz w:val="14"/>
          <w:szCs w:val="14"/>
          <w:b w:val="1"/>
          <w:bCs w:val="1"/>
          <w:color w:val="auto"/>
        </w:rPr>
        <w:t>Miscellaneous.</w:t>
      </w:r>
    </w:p>
    <w:p>
      <w:pPr>
        <w:spacing w:after="0" w:line="156"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14.1.</w:t>
      </w:r>
      <w:r>
        <w:rPr>
          <w:sz w:val="20"/>
          <w:szCs w:val="20"/>
          <w:color w:val="auto"/>
        </w:rPr>
        <w:tab/>
      </w:r>
      <w:r>
        <w:rPr>
          <w:rFonts w:ascii="Arial" w:cs="Arial" w:eastAsia="Arial" w:hAnsi="Arial"/>
          <w:sz w:val="14"/>
          <w:szCs w:val="14"/>
          <w:b w:val="1"/>
          <w:bCs w:val="1"/>
          <w:color w:val="auto"/>
        </w:rPr>
        <w:t>Independent Contractor.</w:t>
      </w:r>
    </w:p>
    <w:p>
      <w:pPr>
        <w:spacing w:after="0" w:line="160" w:lineRule="exact"/>
        <w:rPr>
          <w:sz w:val="20"/>
          <w:szCs w:val="20"/>
          <w:color w:val="auto"/>
        </w:rPr>
      </w:pPr>
    </w:p>
    <w:p>
      <w:pPr>
        <w:jc w:val="both"/>
        <w:ind w:left="500"/>
        <w:spacing w:after="0" w:line="259" w:lineRule="auto"/>
        <w:rPr>
          <w:sz w:val="20"/>
          <w:szCs w:val="20"/>
          <w:color w:val="auto"/>
        </w:rPr>
      </w:pPr>
      <w:r>
        <w:rPr>
          <w:rFonts w:ascii="Arial" w:cs="Arial" w:eastAsia="Arial" w:hAnsi="Arial"/>
          <w:sz w:val="16"/>
          <w:szCs w:val="16"/>
          <w:color w:val="auto"/>
        </w:rPr>
        <w:t>Utility and its agents and employees shall perform their obligations under this Servicing Order as independent contractors and not as officers or employees of the State of California. Notwithstanding the above, Utility shall act as the agent of DWR in billing and collecting DWR Charges or, prior to the MRTU Effective Date, DWR Surplus Energy Sales Revenues hereunder, as provided in the Act and Section 80106 of the California Water Code.</w:t>
      </w:r>
    </w:p>
    <w:p>
      <w:pPr>
        <w:spacing w:after="0" w:line="114"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14.2.</w:t>
      </w:r>
      <w:r>
        <w:rPr>
          <w:sz w:val="20"/>
          <w:szCs w:val="20"/>
          <w:color w:val="auto"/>
        </w:rPr>
        <w:tab/>
      </w:r>
      <w:r>
        <w:rPr>
          <w:rFonts w:ascii="Arial" w:cs="Arial" w:eastAsia="Arial" w:hAnsi="Arial"/>
          <w:sz w:val="14"/>
          <w:szCs w:val="14"/>
          <w:b w:val="1"/>
          <w:bCs w:val="1"/>
          <w:color w:val="auto"/>
        </w:rPr>
        <w:t>Remedies Cumulative.</w:t>
      </w:r>
    </w:p>
    <w:p>
      <w:pPr>
        <w:sectPr>
          <w:pgSz w:w="11900" w:h="16887" w:orient="portrait"/>
          <w:cols w:equalWidth="0" w:num="1">
            <w:col w:w="11460"/>
          </w:cols>
          <w:pgMar w:left="220" w:top="124" w:right="219" w:bottom="0" w:gutter="0" w:footer="0" w:header="0"/>
        </w:sectPr>
      </w:pPr>
    </w:p>
    <w:bookmarkStart w:id="115" w:name="page116"/>
    <w:bookmarkEnd w:id="115"/>
    <w:p>
      <w:pPr>
        <w:jc w:val="both"/>
        <w:ind w:left="500"/>
        <w:spacing w:after="0" w:line="237" w:lineRule="auto"/>
        <w:rPr>
          <w:sz w:val="20"/>
          <w:szCs w:val="20"/>
          <w:color w:val="auto"/>
        </w:rPr>
      </w:pPr>
      <w:r>
        <w:rPr>
          <w:rFonts w:ascii="Arial" w:cs="Arial" w:eastAsia="Arial" w:hAnsi="Arial"/>
          <w:sz w:val="17"/>
          <w:szCs w:val="17"/>
          <w:color w:val="auto"/>
        </w:rPr>
        <w:t>DWR agrees, and with respect to Utility, it is ordered that except as otherwise provided in this Servicing Order, all rights of termination, cancellation, or other remedies in this Servicing Order are cumulative. DWR agrees, and with respect to Utility, it is ordered that the use of any remedy shall not preclude any other remedy available under this Servicing Order.</w:t>
      </w:r>
    </w:p>
    <w:p>
      <w:pPr>
        <w:spacing w:after="0" w:line="129"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14.3.</w:t>
      </w:r>
      <w:r>
        <w:rPr>
          <w:sz w:val="20"/>
          <w:szCs w:val="20"/>
          <w:color w:val="auto"/>
        </w:rPr>
        <w:tab/>
      </w:r>
      <w:r>
        <w:rPr>
          <w:rFonts w:ascii="Arial" w:cs="Arial" w:eastAsia="Arial" w:hAnsi="Arial"/>
          <w:sz w:val="14"/>
          <w:szCs w:val="14"/>
          <w:b w:val="1"/>
          <w:bCs w:val="1"/>
          <w:color w:val="auto"/>
        </w:rPr>
        <w:t>Assignment.</w:t>
      </w:r>
    </w:p>
    <w:p>
      <w:pPr>
        <w:spacing w:after="0" w:line="160" w:lineRule="exact"/>
        <w:rPr>
          <w:sz w:val="20"/>
          <w:szCs w:val="20"/>
          <w:color w:val="auto"/>
        </w:rPr>
      </w:pPr>
    </w:p>
    <w:p>
      <w:pPr>
        <w:jc w:val="both"/>
        <w:ind w:left="500" w:hanging="1"/>
        <w:spacing w:after="0" w:line="249" w:lineRule="auto"/>
        <w:tabs>
          <w:tab w:leader="none" w:pos="996" w:val="left"/>
        </w:tabs>
        <w:numPr>
          <w:ilvl w:val="0"/>
          <w:numId w:val="139"/>
        </w:numPr>
        <w:rPr>
          <w:rFonts w:ascii="Arial" w:cs="Arial" w:eastAsia="Arial" w:hAnsi="Arial"/>
          <w:sz w:val="16"/>
          <w:szCs w:val="16"/>
          <w:color w:val="auto"/>
        </w:rPr>
      </w:pPr>
      <w:r>
        <w:rPr>
          <w:rFonts w:ascii="Arial" w:cs="Arial" w:eastAsia="Arial" w:hAnsi="Arial"/>
          <w:sz w:val="16"/>
          <w:szCs w:val="16"/>
          <w:color w:val="auto"/>
        </w:rPr>
        <w:t>DWR agrees, and with respect to Utility, it is ordered that except as provided in paragraphs (b), (c) and (d) below, neither Party shall assign or otherwise dispose of this Servicing Order, its right, title or interest herein or any part hereof to any entity, without the prior written consent of the other Party. DWR agrees, and with respect to Utility, it is ordered that no assignment of this Servicing Order shall relieve the assigning Party of any of its obligations under this Servicing Order until such obligations have been assumed by the assignee. DWR agrees, and with respect to Utility, it is ordered that when duly assigned in accordance with this Section 14.3(a) and when accepted by the assignee, this Servicing Order shall be binding upon and shall inure to the benefit of the assignee. DWR agrees, and with respect to Utility, it is ordered that any assignment in violation of this Section 14.3(a) shall be void.</w:t>
      </w:r>
    </w:p>
    <w:p>
      <w:pPr>
        <w:spacing w:after="0" w:line="126" w:lineRule="exact"/>
        <w:rPr>
          <w:rFonts w:ascii="Arial" w:cs="Arial" w:eastAsia="Arial" w:hAnsi="Arial"/>
          <w:sz w:val="16"/>
          <w:szCs w:val="16"/>
          <w:color w:val="auto"/>
        </w:rPr>
      </w:pPr>
    </w:p>
    <w:p>
      <w:pPr>
        <w:jc w:val="both"/>
        <w:ind w:left="500" w:hanging="1"/>
        <w:spacing w:after="0" w:line="313" w:lineRule="auto"/>
        <w:tabs>
          <w:tab w:leader="none" w:pos="996" w:val="left"/>
        </w:tabs>
        <w:numPr>
          <w:ilvl w:val="0"/>
          <w:numId w:val="139"/>
        </w:numPr>
        <w:rPr>
          <w:rFonts w:ascii="Arial" w:cs="Arial" w:eastAsia="Arial" w:hAnsi="Arial"/>
          <w:sz w:val="14"/>
          <w:szCs w:val="14"/>
          <w:color w:val="auto"/>
        </w:rPr>
      </w:pPr>
      <w:r>
        <w:rPr>
          <w:rFonts w:ascii="Arial" w:cs="Arial" w:eastAsia="Arial" w:hAnsi="Arial"/>
          <w:sz w:val="14"/>
          <w:szCs w:val="14"/>
          <w:color w:val="auto"/>
        </w:rPr>
        <w:t>Notwithstanding the provisions of this Section 14.3, Utility may delegate its duties under this Servicing Order to an agent or subcontractor, provided that Utility shall remain fully responsible for performance of any delegated duties and shall provide DWR with 30 calendar days’ prior written notice of any such delegation, and further provided that such delegation does not, in the sole discretion of DWR, materially adversely affect DWR’s or its Assigns’ interests hereunder.</w:t>
      </w:r>
    </w:p>
    <w:p>
      <w:pPr>
        <w:spacing w:after="0" w:line="83" w:lineRule="exact"/>
        <w:rPr>
          <w:rFonts w:ascii="Arial" w:cs="Arial" w:eastAsia="Arial" w:hAnsi="Arial"/>
          <w:sz w:val="14"/>
          <w:szCs w:val="14"/>
          <w:color w:val="auto"/>
        </w:rPr>
      </w:pPr>
    </w:p>
    <w:p>
      <w:pPr>
        <w:jc w:val="both"/>
        <w:ind w:left="500" w:hanging="1"/>
        <w:spacing w:after="0" w:line="295" w:lineRule="auto"/>
        <w:tabs>
          <w:tab w:leader="none" w:pos="996" w:val="left"/>
        </w:tabs>
        <w:numPr>
          <w:ilvl w:val="0"/>
          <w:numId w:val="139"/>
        </w:numPr>
        <w:rPr>
          <w:rFonts w:ascii="Arial" w:cs="Arial" w:eastAsia="Arial" w:hAnsi="Arial"/>
          <w:sz w:val="14"/>
          <w:szCs w:val="14"/>
          <w:color w:val="auto"/>
        </w:rPr>
      </w:pPr>
      <w:r>
        <w:rPr>
          <w:rFonts w:ascii="Arial" w:cs="Arial" w:eastAsia="Arial" w:hAnsi="Arial"/>
          <w:sz w:val="14"/>
          <w:szCs w:val="14"/>
          <w:color w:val="auto"/>
        </w:rPr>
        <w:t>DWR agrees, and with respect to Utility, it is ordered that DWR may assign or pledge its rights to receive performance (including payment of Remittances) hereunder to a trustee or another party (“Assign(s)”) in order to secure DWR’s obligations under its bonds (as that term is defined in the Act), and any such Assign shall be a third party beneficiary of this Servicing Order; provided, however, that this authority to assign or pledge rights to receive performance hereunder shall in no event extend to any person or entity that sells power or other goods or services to DWR. Notwithstanding the immediately preceding sentence, DWR may assign or pledge its rights to receive Remittances hereunder to another party in order to secure DWR’s other obligations under the Act.</w:t>
      </w:r>
    </w:p>
    <w:p>
      <w:pPr>
        <w:spacing w:after="0" w:line="106" w:lineRule="exact"/>
        <w:rPr>
          <w:rFonts w:ascii="Arial" w:cs="Arial" w:eastAsia="Arial" w:hAnsi="Arial"/>
          <w:sz w:val="14"/>
          <w:szCs w:val="14"/>
          <w:color w:val="auto"/>
        </w:rPr>
      </w:pPr>
    </w:p>
    <w:p>
      <w:pPr>
        <w:ind w:left="1000" w:hanging="501"/>
        <w:spacing w:after="0"/>
        <w:tabs>
          <w:tab w:leader="none" w:pos="100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Any person (i) into which Utility may be merged or consolidated, (ii) which may result from any merger or consolidation to which Utility shall be a party or</w:t>
      </w:r>
    </w:p>
    <w:p>
      <w:pPr>
        <w:spacing w:after="0" w:line="39" w:lineRule="exact"/>
        <w:rPr>
          <w:rFonts w:ascii="Arial" w:cs="Arial" w:eastAsia="Arial" w:hAnsi="Arial"/>
          <w:sz w:val="14"/>
          <w:szCs w:val="14"/>
          <w:color w:val="auto"/>
        </w:rPr>
      </w:pPr>
    </w:p>
    <w:p>
      <w:pPr>
        <w:jc w:val="both"/>
        <w:ind w:left="500" w:hanging="1"/>
        <w:spacing w:after="0" w:line="246" w:lineRule="auto"/>
        <w:tabs>
          <w:tab w:leader="none" w:pos="81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which may succeed to the properties and assets of Utility substantially as a whole, which person in any of the foregoing cases executes an agreement of assumption to perform every obligation of the Utility hereunder, shall be the successor to Utility under this Servicing Order without further act on the part of any of the Parties to this Servicing Order; provided, however, that Utility shall have delivered to DWR and its Assign(s) an opinion of counsel reasonably acceptable to DWR stating that such consolidation, merger or succession and such agreement of assumption complies with this Section 14.3(d) and that all of Utility’s obligations hereunder have been validly assumed and are binding on any such successor or assign.</w:t>
      </w:r>
    </w:p>
    <w:p>
      <w:pPr>
        <w:spacing w:after="0" w:line="128" w:lineRule="exact"/>
        <w:rPr>
          <w:rFonts w:ascii="Arial" w:cs="Arial" w:eastAsia="Arial" w:hAnsi="Arial"/>
          <w:sz w:val="16"/>
          <w:szCs w:val="16"/>
          <w:color w:val="auto"/>
        </w:rPr>
      </w:pPr>
    </w:p>
    <w:p>
      <w:pPr>
        <w:jc w:val="both"/>
        <w:ind w:left="500" w:hanging="1"/>
        <w:spacing w:after="0" w:line="237" w:lineRule="auto"/>
        <w:tabs>
          <w:tab w:leader="none" w:pos="996" w:val="left"/>
        </w:tabs>
        <w:numPr>
          <w:ilvl w:val="0"/>
          <w:numId w:val="141"/>
        </w:numPr>
        <w:rPr>
          <w:rFonts w:ascii="Arial" w:cs="Arial" w:eastAsia="Arial" w:hAnsi="Arial"/>
          <w:sz w:val="17"/>
          <w:szCs w:val="17"/>
          <w:color w:val="auto"/>
        </w:rPr>
      </w:pPr>
      <w:r>
        <w:rPr>
          <w:rFonts w:ascii="Arial" w:cs="Arial" w:eastAsia="Arial" w:hAnsi="Arial"/>
          <w:sz w:val="17"/>
          <w:szCs w:val="17"/>
          <w:color w:val="auto"/>
        </w:rPr>
        <w:t>Notwithstanding anything to the contrary herein, DWR’s rights and obligations hereunder shall be transferred, without any action or consent of either Party hereto, to any entity created by the State legislature which is required under Applicable Law to assume the rights and obligations of DWR under Division 27 of the California Water Code.</w:t>
      </w:r>
    </w:p>
    <w:p>
      <w:pPr>
        <w:spacing w:after="0" w:line="130"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14.4.</w:t>
      </w:r>
      <w:r>
        <w:rPr>
          <w:sz w:val="20"/>
          <w:szCs w:val="20"/>
          <w:color w:val="auto"/>
        </w:rPr>
        <w:tab/>
      </w:r>
      <w:r>
        <w:rPr>
          <w:rFonts w:ascii="Arial" w:cs="Arial" w:eastAsia="Arial" w:hAnsi="Arial"/>
          <w:sz w:val="14"/>
          <w:szCs w:val="14"/>
          <w:b w:val="1"/>
          <w:bCs w:val="1"/>
          <w:color w:val="auto"/>
        </w:rPr>
        <w:t>Force Majeure.</w:t>
      </w:r>
    </w:p>
    <w:p>
      <w:pPr>
        <w:spacing w:after="0" w:line="160" w:lineRule="exact"/>
        <w:rPr>
          <w:sz w:val="20"/>
          <w:szCs w:val="20"/>
          <w:color w:val="auto"/>
        </w:rPr>
      </w:pPr>
    </w:p>
    <w:p>
      <w:pPr>
        <w:jc w:val="both"/>
        <w:ind w:left="500"/>
        <w:spacing w:after="0" w:line="246" w:lineRule="auto"/>
        <w:rPr>
          <w:sz w:val="20"/>
          <w:szCs w:val="20"/>
          <w:color w:val="auto"/>
        </w:rPr>
      </w:pPr>
      <w:r>
        <w:rPr>
          <w:rFonts w:ascii="Arial" w:cs="Arial" w:eastAsia="Arial" w:hAnsi="Arial"/>
          <w:sz w:val="16"/>
          <w:szCs w:val="16"/>
          <w:color w:val="auto"/>
        </w:rPr>
        <w:t>Neither Party shall be liable for any delay or failure in performance of any part of this Servicing Order (including the obligation to remit money at the times specified herein) from any cause beyond its reasonable control, including but not limited to, unusually severe weather, flood, fire, lightning, epidemic, quarantine restriction, war, sabotage, act of a public enemy, earthquake, insurrection, riot, civil disturbance, strike, restraint by court order or Government Authority, or any combination of these causes, which by the exercise of due diligence and foresight such Party could not reasonably have been expected to avoid and which by the exercise of due diligence is unable to overcome. An Insolvency Event shall not constitute force majeure. Notwithstanding anything to the contrary above, DWR agrees, and with respect to Utility it is ordered that, each Party’s obligation to pay money hereunder shall continue to the extent such Party is able to make such payment, and any amounts owed by Utility hereunder and received by Utility shall be held in trust for DWR (whether or not held together with other monies) and remitted to DWR as soon as reasonably practicable. DWR agrees, and with respect to Utility it is ordered that, any amounts paid or remitted pursuant to this Section 14.4 shall not bear interest which would otherwise accrue under Section 7.</w:t>
      </w:r>
    </w:p>
    <w:p>
      <w:pPr>
        <w:spacing w:after="0" w:line="139"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14.5.</w:t>
      </w:r>
      <w:r>
        <w:rPr>
          <w:sz w:val="20"/>
          <w:szCs w:val="20"/>
          <w:color w:val="auto"/>
        </w:rPr>
        <w:tab/>
      </w:r>
      <w:r>
        <w:rPr>
          <w:rFonts w:ascii="Arial" w:cs="Arial" w:eastAsia="Arial" w:hAnsi="Arial"/>
          <w:sz w:val="14"/>
          <w:szCs w:val="14"/>
          <w:b w:val="1"/>
          <w:bCs w:val="1"/>
          <w:color w:val="auto"/>
        </w:rPr>
        <w:t>Severability.</w:t>
      </w:r>
    </w:p>
    <w:p>
      <w:pPr>
        <w:spacing w:after="0" w:line="160" w:lineRule="exact"/>
        <w:rPr>
          <w:sz w:val="20"/>
          <w:szCs w:val="20"/>
          <w:color w:val="auto"/>
        </w:rPr>
      </w:pPr>
    </w:p>
    <w:p>
      <w:pPr>
        <w:jc w:val="both"/>
        <w:ind w:left="500"/>
        <w:spacing w:after="0" w:line="237" w:lineRule="auto"/>
        <w:rPr>
          <w:sz w:val="20"/>
          <w:szCs w:val="20"/>
          <w:color w:val="auto"/>
        </w:rPr>
      </w:pPr>
      <w:r>
        <w:rPr>
          <w:rFonts w:ascii="Arial" w:cs="Arial" w:eastAsia="Arial" w:hAnsi="Arial"/>
          <w:sz w:val="17"/>
          <w:szCs w:val="17"/>
          <w:color w:val="auto"/>
        </w:rPr>
        <w:t>DWR agrees, and with respect to Utility, it is ordered that in the event that any one or more of the provisions of this Servicing Order shall for any reason be held to be unenforceable in any respect under Applicable Law, such unenforceability shall not affect any other provision of this Servicing Order, but this Servicing Order shall be construed as if such unenforceable provision or provisions had never been contained herein.</w:t>
      </w:r>
    </w:p>
    <w:p>
      <w:pPr>
        <w:spacing w:after="0" w:line="130"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14.6.</w:t>
      </w:r>
      <w:r>
        <w:rPr>
          <w:sz w:val="20"/>
          <w:szCs w:val="20"/>
          <w:color w:val="auto"/>
        </w:rPr>
        <w:tab/>
      </w:r>
      <w:r>
        <w:rPr>
          <w:rFonts w:ascii="Arial" w:cs="Arial" w:eastAsia="Arial" w:hAnsi="Arial"/>
          <w:sz w:val="14"/>
          <w:szCs w:val="14"/>
          <w:b w:val="1"/>
          <w:bCs w:val="1"/>
          <w:color w:val="auto"/>
        </w:rPr>
        <w:t>Third-Party Beneficiaries.</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provisions of this Servicing Order are exclusively for the benefit of the Parties and any permitted assignee of either Party.</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14.7.</w:t>
      </w:r>
      <w:r>
        <w:rPr>
          <w:sz w:val="20"/>
          <w:szCs w:val="20"/>
          <w:color w:val="auto"/>
        </w:rPr>
        <w:tab/>
      </w:r>
      <w:r>
        <w:rPr>
          <w:rFonts w:ascii="Arial" w:cs="Arial" w:eastAsia="Arial" w:hAnsi="Arial"/>
          <w:sz w:val="14"/>
          <w:szCs w:val="14"/>
          <w:b w:val="1"/>
          <w:bCs w:val="1"/>
          <w:color w:val="auto"/>
        </w:rPr>
        <w:t>Governing Law.</w:t>
      </w:r>
    </w:p>
    <w:p>
      <w:pPr>
        <w:spacing w:after="0" w:line="160" w:lineRule="exact"/>
        <w:rPr>
          <w:sz w:val="20"/>
          <w:szCs w:val="20"/>
          <w:color w:val="auto"/>
        </w:rPr>
      </w:pPr>
    </w:p>
    <w:p>
      <w:pPr>
        <w:jc w:val="both"/>
        <w:ind w:left="500"/>
        <w:spacing w:after="0" w:line="245" w:lineRule="auto"/>
        <w:rPr>
          <w:sz w:val="20"/>
          <w:szCs w:val="20"/>
          <w:color w:val="auto"/>
        </w:rPr>
      </w:pPr>
      <w:r>
        <w:rPr>
          <w:rFonts w:ascii="Arial" w:cs="Arial" w:eastAsia="Arial" w:hAnsi="Arial"/>
          <w:sz w:val="17"/>
          <w:szCs w:val="17"/>
          <w:color w:val="auto"/>
        </w:rPr>
        <w:t>This Servicing Order shall be interpreted, governed and construed under the laws of the State of California as if executed and performed wholly within the State of California.</w:t>
      </w:r>
    </w:p>
    <w:p>
      <w:pPr>
        <w:spacing w:after="0" w:line="134"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14.8.</w:t>
      </w:r>
      <w:r>
        <w:rPr>
          <w:sz w:val="20"/>
          <w:szCs w:val="20"/>
          <w:color w:val="auto"/>
        </w:rPr>
        <w:tab/>
      </w:r>
      <w:r>
        <w:rPr>
          <w:rFonts w:ascii="Arial" w:cs="Arial" w:eastAsia="Arial" w:hAnsi="Arial"/>
          <w:sz w:val="14"/>
          <w:szCs w:val="14"/>
          <w:b w:val="1"/>
          <w:bCs w:val="1"/>
          <w:color w:val="auto"/>
        </w:rPr>
        <w:t>Reserved.</w:t>
      </w:r>
    </w:p>
    <w:p>
      <w:pPr>
        <w:spacing w:after="0" w:line="146"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14.9.</w:t>
      </w:r>
      <w:r>
        <w:rPr>
          <w:sz w:val="20"/>
          <w:szCs w:val="20"/>
          <w:color w:val="auto"/>
        </w:rPr>
        <w:tab/>
      </w:r>
      <w:r>
        <w:rPr>
          <w:rFonts w:ascii="Arial" w:cs="Arial" w:eastAsia="Arial" w:hAnsi="Arial"/>
          <w:sz w:val="14"/>
          <w:szCs w:val="14"/>
          <w:b w:val="1"/>
          <w:bCs w:val="1"/>
          <w:color w:val="auto"/>
        </w:rPr>
        <w:t>Section Headings.</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Section and paragraph headings appearing in this Servicing Order are inserted for convenience only and shall not be construed as interpretations of text.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14.10. Applicable Law.</w:t>
      </w:r>
    </w:p>
    <w:p>
      <w:pPr>
        <w:spacing w:after="0" w:line="160" w:lineRule="exact"/>
        <w:rPr>
          <w:sz w:val="20"/>
          <w:szCs w:val="20"/>
          <w:color w:val="auto"/>
        </w:rPr>
      </w:pPr>
    </w:p>
    <w:p>
      <w:pPr>
        <w:jc w:val="both"/>
        <w:ind w:left="500"/>
        <w:spacing w:after="0" w:line="235" w:lineRule="auto"/>
        <w:rPr>
          <w:sz w:val="20"/>
          <w:szCs w:val="20"/>
          <w:color w:val="auto"/>
        </w:rPr>
      </w:pPr>
      <w:r>
        <w:rPr>
          <w:rFonts w:ascii="Arial" w:cs="Arial" w:eastAsia="Arial" w:hAnsi="Arial"/>
          <w:sz w:val="17"/>
          <w:szCs w:val="17"/>
          <w:color w:val="auto"/>
        </w:rPr>
        <w:t>This Servicing Order and the Parties’ obligations hereunder shall be subject in all cases to the provisions of Applicable Law, except that this Servicing Order shall have no effect on the terms of any agreement between DWR and Utility, as modified from time to time after the Effective Date hereof. Furthermore, no default under any such other agreement between the Parties shall constitute a default hereunder, and each party hereby waives any right to set off any amounts owing to it under any such other agreement against any amounts owing hereunder.</w:t>
      </w:r>
    </w:p>
    <w:p>
      <w:pPr>
        <w:spacing w:after="0" w:line="144" w:lineRule="exact"/>
        <w:rPr>
          <w:sz w:val="20"/>
          <w:szCs w:val="20"/>
          <w:color w:val="auto"/>
        </w:rPr>
      </w:pPr>
    </w:p>
    <w:p>
      <w:pPr>
        <w:jc w:val="both"/>
        <w:ind w:left="500"/>
        <w:spacing w:after="0" w:line="295" w:lineRule="auto"/>
        <w:rPr>
          <w:sz w:val="20"/>
          <w:szCs w:val="20"/>
          <w:color w:val="auto"/>
        </w:rPr>
      </w:pPr>
      <w:r>
        <w:rPr>
          <w:rFonts w:ascii="Arial" w:cs="Arial" w:eastAsia="Arial" w:hAnsi="Arial"/>
          <w:sz w:val="14"/>
          <w:szCs w:val="14"/>
          <w:color w:val="auto"/>
        </w:rPr>
        <w:t>Should a conflict exist between the provisions contained in this Servicing Order (including the attachments hereto) and either Applicable Law or the 20/20 Program, the provisions of Applicable Law or the 20/20 Program, as the case may be, shall govern. In the event of a conflict between the provisions of this Servicing Order and any Attachments hereto (including each of the Service Attachments), then the provisions of the Attachments shall govern. Nothing in this paragraph shall relieve the Parties from complying with their obligations under Section 10 to make amendments to this Servicing Order to reflect changed circumstances, including any amendments necessary due to amendments or supplements to the Operating Order or due to necessary reconciliation with the Operating Order.</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14.11. Reserved.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14.12. Waivers.</w:t>
      </w:r>
    </w:p>
    <w:p>
      <w:pPr>
        <w:spacing w:after="0" w:line="160" w:lineRule="exact"/>
        <w:rPr>
          <w:sz w:val="20"/>
          <w:szCs w:val="20"/>
          <w:color w:val="auto"/>
        </w:rPr>
      </w:pPr>
    </w:p>
    <w:p>
      <w:pPr>
        <w:jc w:val="both"/>
        <w:ind w:left="500"/>
        <w:spacing w:after="0" w:line="295" w:lineRule="auto"/>
        <w:rPr>
          <w:sz w:val="20"/>
          <w:szCs w:val="20"/>
          <w:color w:val="auto"/>
        </w:rPr>
      </w:pPr>
      <w:r>
        <w:rPr>
          <w:rFonts w:ascii="Arial" w:cs="Arial" w:eastAsia="Arial" w:hAnsi="Arial"/>
          <w:sz w:val="14"/>
          <w:szCs w:val="14"/>
          <w:color w:val="auto"/>
        </w:rPr>
        <w:t>DWR agrees, and with respect to Utility, it is ordered that none of the provisions of this Servicing Order shall be considered waived by either Party unless the Party against whom such waiver is claimed gives such waiver in writing. DWR agrees, and with respect to Utility, it is ordered that the failure of either Party to insist in any one or more instances upon strict performance of any of the provisions of this Servicing Order or to take advantage of any of its rights hereunder shall not be construed as a waiver of any such provisions or the relinquishment of any such rights for the future, but the same shall continue and remain in full force and effect. DWR agrees, and with respect to Utility, it is ordered that waiver by either Party of any default by the other Party shall not be deemed a waiver of any other default.</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14.13. Reserved.</w:t>
      </w:r>
    </w:p>
    <w:p>
      <w:pPr>
        <w:sectPr>
          <w:pgSz w:w="11900" w:h="16838" w:orient="portrait"/>
          <w:cols w:equalWidth="0" w:num="1">
            <w:col w:w="11460"/>
          </w:cols>
          <w:pgMar w:left="220" w:top="124" w:right="219" w:bottom="0" w:gutter="0" w:footer="0" w:header="0"/>
        </w:sectPr>
      </w:pPr>
    </w:p>
    <w:bookmarkStart w:id="116" w:name="page117"/>
    <w:bookmarkEnd w:id="116"/>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14.14. Notices and Demands.</w:t>
      </w:r>
    </w:p>
    <w:p>
      <w:pPr>
        <w:spacing w:after="0" w:line="149" w:lineRule="exact"/>
        <w:rPr>
          <w:sz w:val="20"/>
          <w:szCs w:val="20"/>
          <w:color w:val="auto"/>
        </w:rPr>
      </w:pPr>
    </w:p>
    <w:p>
      <w:pPr>
        <w:jc w:val="both"/>
        <w:ind w:left="500" w:hanging="1"/>
        <w:spacing w:after="0" w:line="295" w:lineRule="auto"/>
        <w:tabs>
          <w:tab w:leader="none" w:pos="996" w:val="left"/>
        </w:tabs>
        <w:numPr>
          <w:ilvl w:val="0"/>
          <w:numId w:val="142"/>
        </w:numPr>
        <w:rPr>
          <w:rFonts w:ascii="Arial" w:cs="Arial" w:eastAsia="Arial" w:hAnsi="Arial"/>
          <w:sz w:val="14"/>
          <w:szCs w:val="14"/>
          <w:color w:val="auto"/>
        </w:rPr>
      </w:pPr>
      <w:r>
        <w:rPr>
          <w:rFonts w:ascii="Arial" w:cs="Arial" w:eastAsia="Arial" w:hAnsi="Arial"/>
          <w:sz w:val="14"/>
          <w:szCs w:val="14"/>
          <w:color w:val="auto"/>
        </w:rPr>
        <w:t>DWR agrees, and with respect to Utility, it is ordered that except as otherwise provided under this Servicing Order, all notices, demands, or requests pertaining to this Servicing Order shall be in writing and shall be deemed to have been given (i) on the date delivered in person, (ii) on the date when sent by facsimile (with receipt confirmed by telephone by the intended recipient or his or her authorized representative) or electronic transmission (with receipt confirmed telephonically or electronically by the intended recipient or his or her authorized representative) or by special messenger, or (iii) seventy-two (72) hours following delivery to a United States post office when sent by certified or registered United States mail postage prepaid, and addressed as set forth below:</w:t>
      </w:r>
    </w:p>
    <w:p>
      <w:pPr>
        <w:spacing w:after="0" w:line="10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Utility: San Diego Gas &amp; Electric Company</w:t>
      </w:r>
    </w:p>
    <w:p>
      <w:pPr>
        <w:ind w:left="1500"/>
        <w:spacing w:after="0" w:line="234" w:lineRule="auto"/>
        <w:rPr>
          <w:sz w:val="20"/>
          <w:szCs w:val="20"/>
          <w:color w:val="auto"/>
        </w:rPr>
      </w:pPr>
      <w:r>
        <w:rPr>
          <w:rFonts w:ascii="Arial" w:cs="Arial" w:eastAsia="Arial" w:hAnsi="Arial"/>
          <w:sz w:val="17"/>
          <w:szCs w:val="17"/>
          <w:color w:val="auto"/>
        </w:rPr>
        <w:t>8315 Century Park Court, CP21D</w:t>
      </w:r>
    </w:p>
    <w:p>
      <w:pPr>
        <w:ind w:left="1500"/>
        <w:spacing w:after="0"/>
        <w:rPr>
          <w:sz w:val="20"/>
          <w:szCs w:val="20"/>
          <w:color w:val="auto"/>
        </w:rPr>
      </w:pPr>
      <w:r>
        <w:rPr>
          <w:rFonts w:ascii="Arial" w:cs="Arial" w:eastAsia="Arial" w:hAnsi="Arial"/>
          <w:sz w:val="17"/>
          <w:szCs w:val="17"/>
          <w:color w:val="auto"/>
        </w:rPr>
        <w:t>San Diego, California 92123-1548</w:t>
      </w:r>
    </w:p>
    <w:p>
      <w:pPr>
        <w:ind w:left="1000"/>
        <w:spacing w:after="0"/>
        <w:tabs>
          <w:tab w:leader="none" w:pos="1480" w:val="left"/>
        </w:tabs>
        <w:rPr>
          <w:sz w:val="20"/>
          <w:szCs w:val="20"/>
          <w:color w:val="auto"/>
        </w:rPr>
      </w:pPr>
      <w:r>
        <w:rPr>
          <w:rFonts w:ascii="Arial" w:cs="Arial" w:eastAsia="Arial" w:hAnsi="Arial"/>
          <w:sz w:val="33"/>
          <w:szCs w:val="33"/>
          <w:color w:val="auto"/>
          <w:vertAlign w:val="subscript"/>
        </w:rPr>
        <w:t>Attn:</w:t>
      </w:r>
      <w:r>
        <w:rPr>
          <w:sz w:val="20"/>
          <w:szCs w:val="20"/>
          <w:color w:val="auto"/>
        </w:rPr>
        <w:tab/>
      </w:r>
      <w:r>
        <w:rPr>
          <w:rFonts w:ascii="Arial" w:cs="Arial" w:eastAsia="Arial" w:hAnsi="Arial"/>
          <w:sz w:val="14"/>
          <w:szCs w:val="14"/>
          <w:color w:val="auto"/>
        </w:rPr>
        <w:t>Matt Burkhart</w:t>
      </w:r>
    </w:p>
    <w:p>
      <w:pPr>
        <w:ind w:left="1500"/>
        <w:spacing w:after="0" w:line="229" w:lineRule="auto"/>
        <w:rPr>
          <w:sz w:val="20"/>
          <w:szCs w:val="20"/>
          <w:color w:val="auto"/>
        </w:rPr>
      </w:pPr>
      <w:r>
        <w:rPr>
          <w:rFonts w:ascii="Arial" w:cs="Arial" w:eastAsia="Arial" w:hAnsi="Arial"/>
          <w:sz w:val="17"/>
          <w:szCs w:val="17"/>
          <w:color w:val="auto"/>
        </w:rPr>
        <w:t>Vice President - Electric and Fuel Procurement</w:t>
      </w:r>
    </w:p>
    <w:p>
      <w:pPr>
        <w:ind w:left="1500"/>
        <w:spacing w:after="0" w:line="228" w:lineRule="auto"/>
        <w:rPr>
          <w:sz w:val="20"/>
          <w:szCs w:val="20"/>
          <w:color w:val="auto"/>
        </w:rPr>
      </w:pPr>
      <w:r>
        <w:rPr>
          <w:rFonts w:ascii="Arial" w:cs="Arial" w:eastAsia="Arial" w:hAnsi="Arial"/>
          <w:sz w:val="17"/>
          <w:szCs w:val="17"/>
          <w:color w:val="auto"/>
        </w:rPr>
        <w:t>Telephone: (858) 650-6150</w:t>
      </w:r>
    </w:p>
    <w:p>
      <w:pPr>
        <w:ind w:left="1500"/>
        <w:spacing w:after="0" w:line="229" w:lineRule="auto"/>
        <w:rPr>
          <w:sz w:val="20"/>
          <w:szCs w:val="20"/>
          <w:color w:val="auto"/>
        </w:rPr>
      </w:pPr>
      <w:r>
        <w:rPr>
          <w:rFonts w:ascii="Arial" w:cs="Arial" w:eastAsia="Arial" w:hAnsi="Arial"/>
          <w:sz w:val="17"/>
          <w:szCs w:val="17"/>
          <w:color w:val="auto"/>
        </w:rPr>
        <w:t>Facsimile: (858) 650-6191</w:t>
      </w:r>
    </w:p>
    <w:p>
      <w:pPr>
        <w:ind w:left="1500"/>
        <w:spacing w:after="0"/>
        <w:rPr>
          <w:sz w:val="20"/>
          <w:szCs w:val="20"/>
          <w:color w:val="auto"/>
        </w:rPr>
      </w:pPr>
      <w:r>
        <w:rPr>
          <w:rFonts w:ascii="Arial" w:cs="Arial" w:eastAsia="Arial" w:hAnsi="Arial"/>
          <w:sz w:val="17"/>
          <w:szCs w:val="17"/>
          <w:color w:val="auto"/>
        </w:rPr>
        <w:t>Email: mattburkhart@semprautilities.com</w:t>
      </w:r>
    </w:p>
    <w:p>
      <w:pPr>
        <w:spacing w:after="0" w:line="15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DWR: State of California</w:t>
      </w:r>
    </w:p>
    <w:p>
      <w:pPr>
        <w:ind w:left="1500"/>
        <w:spacing w:after="0" w:line="234" w:lineRule="auto"/>
        <w:rPr>
          <w:sz w:val="20"/>
          <w:szCs w:val="20"/>
          <w:color w:val="auto"/>
        </w:rPr>
      </w:pPr>
      <w:r>
        <w:rPr>
          <w:rFonts w:ascii="Arial" w:cs="Arial" w:eastAsia="Arial" w:hAnsi="Arial"/>
          <w:sz w:val="17"/>
          <w:szCs w:val="17"/>
          <w:color w:val="auto"/>
        </w:rPr>
        <w:t>The Resources Agency</w:t>
      </w:r>
    </w:p>
    <w:p>
      <w:pPr>
        <w:ind w:left="1500"/>
        <w:spacing w:after="0" w:line="228" w:lineRule="auto"/>
        <w:rPr>
          <w:sz w:val="20"/>
          <w:szCs w:val="20"/>
          <w:color w:val="auto"/>
        </w:rPr>
      </w:pPr>
      <w:r>
        <w:rPr>
          <w:rFonts w:ascii="Arial" w:cs="Arial" w:eastAsia="Arial" w:hAnsi="Arial"/>
          <w:sz w:val="17"/>
          <w:szCs w:val="17"/>
          <w:color w:val="auto"/>
        </w:rPr>
        <w:t>Department of Water Resources</w:t>
      </w:r>
    </w:p>
    <w:p>
      <w:pPr>
        <w:ind w:left="1500"/>
        <w:spacing w:after="0" w:line="228" w:lineRule="auto"/>
        <w:rPr>
          <w:sz w:val="20"/>
          <w:szCs w:val="20"/>
          <w:color w:val="auto"/>
        </w:rPr>
      </w:pPr>
      <w:r>
        <w:rPr>
          <w:rFonts w:ascii="Arial" w:cs="Arial" w:eastAsia="Arial" w:hAnsi="Arial"/>
          <w:sz w:val="17"/>
          <w:szCs w:val="17"/>
          <w:color w:val="auto"/>
        </w:rPr>
        <w:t>California Energy Resources Scheduling Division</w:t>
      </w:r>
    </w:p>
    <w:p>
      <w:pPr>
        <w:ind w:left="1500"/>
        <w:spacing w:after="0" w:line="229" w:lineRule="auto"/>
        <w:rPr>
          <w:sz w:val="20"/>
          <w:szCs w:val="20"/>
          <w:color w:val="auto"/>
        </w:rPr>
      </w:pPr>
      <w:r>
        <w:rPr>
          <w:rFonts w:ascii="Arial" w:cs="Arial" w:eastAsia="Arial" w:hAnsi="Arial"/>
          <w:sz w:val="17"/>
          <w:szCs w:val="17"/>
          <w:color w:val="auto"/>
        </w:rPr>
        <w:t>2033 Howe Avenue, Suite 220</w:t>
      </w:r>
    </w:p>
    <w:p>
      <w:pPr>
        <w:ind w:left="1500"/>
        <w:spacing w:after="0"/>
        <w:rPr>
          <w:sz w:val="20"/>
          <w:szCs w:val="20"/>
          <w:color w:val="auto"/>
        </w:rPr>
      </w:pPr>
      <w:r>
        <w:rPr>
          <w:rFonts w:ascii="Arial" w:cs="Arial" w:eastAsia="Arial" w:hAnsi="Arial"/>
          <w:sz w:val="17"/>
          <w:szCs w:val="17"/>
          <w:color w:val="auto"/>
        </w:rPr>
        <w:t>Sacramento, California 95825</w:t>
      </w:r>
    </w:p>
    <w:p>
      <w:pPr>
        <w:spacing w:after="0" w:line="126" w:lineRule="exact"/>
        <w:rPr>
          <w:sz w:val="20"/>
          <w:szCs w:val="20"/>
          <w:color w:val="auto"/>
        </w:rPr>
      </w:pPr>
    </w:p>
    <w:p>
      <w:pPr>
        <w:ind w:left="1000"/>
        <w:spacing w:after="0"/>
        <w:tabs>
          <w:tab w:leader="none" w:pos="1480" w:val="left"/>
        </w:tabs>
        <w:rPr>
          <w:sz w:val="20"/>
          <w:szCs w:val="20"/>
          <w:color w:val="auto"/>
        </w:rPr>
      </w:pPr>
      <w:r>
        <w:rPr>
          <w:rFonts w:ascii="Arial" w:cs="Arial" w:eastAsia="Arial" w:hAnsi="Arial"/>
          <w:sz w:val="17"/>
          <w:szCs w:val="17"/>
          <w:color w:val="auto"/>
        </w:rPr>
        <w:t>Attn:</w:t>
      </w:r>
      <w:r>
        <w:rPr>
          <w:sz w:val="20"/>
          <w:szCs w:val="20"/>
          <w:color w:val="auto"/>
        </w:rPr>
        <w:tab/>
      </w:r>
      <w:r>
        <w:rPr>
          <w:rFonts w:ascii="Arial" w:cs="Arial" w:eastAsia="Arial" w:hAnsi="Arial"/>
          <w:sz w:val="14"/>
          <w:szCs w:val="14"/>
          <w:color w:val="auto"/>
        </w:rPr>
        <w:t>Mr. Russell Mills</w:t>
      </w:r>
    </w:p>
    <w:p>
      <w:pPr>
        <w:spacing w:after="0" w:line="1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Chief Financial Management Office</w:t>
      </w:r>
    </w:p>
    <w:p>
      <w:pPr>
        <w:ind w:left="1500"/>
        <w:spacing w:after="0" w:line="228" w:lineRule="auto"/>
        <w:rPr>
          <w:sz w:val="20"/>
          <w:szCs w:val="20"/>
          <w:color w:val="auto"/>
        </w:rPr>
      </w:pPr>
      <w:r>
        <w:rPr>
          <w:rFonts w:ascii="Arial" w:cs="Arial" w:eastAsia="Arial" w:hAnsi="Arial"/>
          <w:sz w:val="17"/>
          <w:szCs w:val="17"/>
          <w:color w:val="auto"/>
        </w:rPr>
        <w:t>Telephone: (916) 574-2756</w:t>
      </w:r>
    </w:p>
    <w:p>
      <w:pPr>
        <w:ind w:left="1500"/>
        <w:spacing w:after="0" w:line="228" w:lineRule="auto"/>
        <w:rPr>
          <w:sz w:val="20"/>
          <w:szCs w:val="20"/>
          <w:color w:val="auto"/>
        </w:rPr>
      </w:pPr>
      <w:r>
        <w:rPr>
          <w:rFonts w:ascii="Arial" w:cs="Arial" w:eastAsia="Arial" w:hAnsi="Arial"/>
          <w:sz w:val="17"/>
          <w:szCs w:val="17"/>
          <w:color w:val="auto"/>
        </w:rPr>
        <w:t>Facsimile: (916) 574-0301</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Email: millsr@water.ca.gov</w:t>
      </w:r>
    </w:p>
    <w:p>
      <w:pPr>
        <w:spacing w:after="0" w:line="132" w:lineRule="exact"/>
        <w:rPr>
          <w:sz w:val="20"/>
          <w:szCs w:val="20"/>
          <w:color w:val="auto"/>
        </w:rPr>
      </w:pPr>
    </w:p>
    <w:p>
      <w:pPr>
        <w:ind w:left="500" w:hanging="1"/>
        <w:spacing w:after="0" w:line="245" w:lineRule="auto"/>
        <w:tabs>
          <w:tab w:leader="none" w:pos="996" w:val="left"/>
        </w:tabs>
        <w:numPr>
          <w:ilvl w:val="0"/>
          <w:numId w:val="143"/>
        </w:numPr>
        <w:rPr>
          <w:rFonts w:ascii="Arial" w:cs="Arial" w:eastAsia="Arial" w:hAnsi="Arial"/>
          <w:sz w:val="17"/>
          <w:szCs w:val="17"/>
          <w:color w:val="auto"/>
        </w:rPr>
      </w:pPr>
      <w:r>
        <w:rPr>
          <w:rFonts w:ascii="Arial" w:cs="Arial" w:eastAsia="Arial" w:hAnsi="Arial"/>
          <w:sz w:val="17"/>
          <w:szCs w:val="17"/>
          <w:color w:val="auto"/>
        </w:rPr>
        <w:t>DWR agrees, and with respect to Utility, it is ordered that each Party shall be entitled to specify as its proper address any other address in the United States, or specify any change to the above information, upon written notice to the other Party complying with this Section 14.14.</w:t>
      </w:r>
    </w:p>
    <w:p>
      <w:pPr>
        <w:spacing w:after="0" w:line="138" w:lineRule="exact"/>
        <w:rPr>
          <w:rFonts w:ascii="Arial" w:cs="Arial" w:eastAsia="Arial" w:hAnsi="Arial"/>
          <w:sz w:val="17"/>
          <w:szCs w:val="17"/>
          <w:color w:val="auto"/>
        </w:rPr>
      </w:pPr>
    </w:p>
    <w:p>
      <w:pPr>
        <w:ind w:left="500" w:hanging="1"/>
        <w:spacing w:after="0" w:line="349" w:lineRule="auto"/>
        <w:tabs>
          <w:tab w:leader="none" w:pos="996" w:val="left"/>
        </w:tabs>
        <w:numPr>
          <w:ilvl w:val="0"/>
          <w:numId w:val="143"/>
        </w:numPr>
        <w:rPr>
          <w:rFonts w:ascii="Arial" w:cs="Arial" w:eastAsia="Arial" w:hAnsi="Arial"/>
          <w:sz w:val="14"/>
          <w:szCs w:val="14"/>
          <w:color w:val="auto"/>
        </w:rPr>
      </w:pPr>
      <w:r>
        <w:rPr>
          <w:rFonts w:ascii="Arial" w:cs="Arial" w:eastAsia="Arial" w:hAnsi="Arial"/>
          <w:sz w:val="14"/>
          <w:szCs w:val="14"/>
          <w:color w:val="auto"/>
        </w:rPr>
        <w:t>DWR agrees, and with respect to Utility, it is ordered that each Party shall designate on Attachment A the person(s) to be contacted with respect to specific operational matters. Each Party shall be entitled to specify any change to such person(s) upon written notice to the other Party complying with this Section 14.14.</w:t>
      </w:r>
    </w:p>
    <w:p>
      <w:pPr>
        <w:spacing w:after="0" w:line="58" w:lineRule="exact"/>
        <w:rPr>
          <w:rFonts w:ascii="Arial" w:cs="Arial" w:eastAsia="Arial" w:hAnsi="Arial"/>
          <w:sz w:val="14"/>
          <w:szCs w:val="14"/>
          <w:color w:val="auto"/>
        </w:rPr>
      </w:pPr>
    </w:p>
    <w:p>
      <w:pPr>
        <w:ind w:left="500" w:hanging="1"/>
        <w:spacing w:after="0" w:line="245" w:lineRule="auto"/>
        <w:tabs>
          <w:tab w:leader="none" w:pos="996" w:val="left"/>
        </w:tabs>
        <w:numPr>
          <w:ilvl w:val="0"/>
          <w:numId w:val="143"/>
        </w:numPr>
        <w:rPr>
          <w:rFonts w:ascii="Arial" w:cs="Arial" w:eastAsia="Arial" w:hAnsi="Arial"/>
          <w:sz w:val="17"/>
          <w:szCs w:val="17"/>
          <w:color w:val="auto"/>
        </w:rPr>
      </w:pPr>
      <w:r>
        <w:rPr>
          <w:rFonts w:ascii="Arial" w:cs="Arial" w:eastAsia="Arial" w:hAnsi="Arial"/>
          <w:sz w:val="17"/>
          <w:szCs w:val="17"/>
          <w:color w:val="auto"/>
        </w:rPr>
        <w:t>DWR agrees, and with respect to Utility, it is ordered that copies of documents required by this Servicing Order to be delivered to the Commission shall be delivered in accordance with this Section 14.14 and shall be addressed as set forth below:</w:t>
      </w:r>
    </w:p>
    <w:p>
      <w:pPr>
        <w:spacing w:after="0" w:line="138"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California Public Utilities Commission 505 Van Ness Avenue, 4th Floor San Francisco, California 94102</w:t>
      </w:r>
    </w:p>
    <w:p>
      <w:pPr>
        <w:spacing w:after="0" w:line="140" w:lineRule="exact"/>
        <w:rPr>
          <w:sz w:val="20"/>
          <w:szCs w:val="20"/>
          <w:color w:val="auto"/>
        </w:rPr>
      </w:pPr>
    </w:p>
    <w:p>
      <w:pPr>
        <w:ind w:left="1000"/>
        <w:spacing w:after="0"/>
        <w:tabs>
          <w:tab w:leader="none" w:pos="1480" w:val="left"/>
        </w:tabs>
        <w:rPr>
          <w:sz w:val="20"/>
          <w:szCs w:val="20"/>
          <w:color w:val="auto"/>
        </w:rPr>
      </w:pPr>
      <w:r>
        <w:rPr>
          <w:rFonts w:ascii="Arial" w:cs="Arial" w:eastAsia="Arial" w:hAnsi="Arial"/>
          <w:sz w:val="17"/>
          <w:szCs w:val="17"/>
          <w:color w:val="auto"/>
        </w:rPr>
        <w:t>Attn:</w:t>
      </w:r>
      <w:r>
        <w:rPr>
          <w:sz w:val="20"/>
          <w:szCs w:val="20"/>
          <w:color w:val="auto"/>
        </w:rPr>
        <w:tab/>
      </w:r>
      <w:r>
        <w:rPr>
          <w:rFonts w:ascii="Arial" w:cs="Arial" w:eastAsia="Arial" w:hAnsi="Arial"/>
          <w:sz w:val="14"/>
          <w:szCs w:val="14"/>
          <w:color w:val="auto"/>
        </w:rPr>
        <w:t>Ms. Julie Fitch</w:t>
      </w:r>
    </w:p>
    <w:p>
      <w:pPr>
        <w:spacing w:after="0" w:line="1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Energy Division Director</w:t>
      </w:r>
    </w:p>
    <w:p>
      <w:pPr>
        <w:ind w:left="1500"/>
        <w:spacing w:after="0" w:line="228" w:lineRule="auto"/>
        <w:rPr>
          <w:sz w:val="20"/>
          <w:szCs w:val="20"/>
          <w:color w:val="auto"/>
        </w:rPr>
      </w:pPr>
      <w:r>
        <w:rPr>
          <w:rFonts w:ascii="Arial" w:cs="Arial" w:eastAsia="Arial" w:hAnsi="Arial"/>
          <w:sz w:val="17"/>
          <w:szCs w:val="17"/>
          <w:color w:val="auto"/>
        </w:rPr>
        <w:t>Telephone: (415) 703-2059</w:t>
      </w:r>
    </w:p>
    <w:p>
      <w:pPr>
        <w:ind w:left="1500"/>
        <w:spacing w:after="0" w:line="228" w:lineRule="auto"/>
        <w:rPr>
          <w:sz w:val="20"/>
          <w:szCs w:val="20"/>
          <w:color w:val="auto"/>
        </w:rPr>
      </w:pPr>
      <w:r>
        <w:rPr>
          <w:rFonts w:ascii="Arial" w:cs="Arial" w:eastAsia="Arial" w:hAnsi="Arial"/>
          <w:sz w:val="17"/>
          <w:szCs w:val="17"/>
          <w:color w:val="auto"/>
        </w:rPr>
        <w:t>Facsimile: (415) 703-2200</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Email: jf2@cpuc.ca.gov</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14.15. Good Faith.</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DWR agrees to, and Utility is ordered to, perform all its actions, obligations and duties in connection with this Servicing Order in good faith.</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14.16. Approval.</w:t>
      </w:r>
    </w:p>
    <w:p>
      <w:pPr>
        <w:spacing w:after="0" w:line="160" w:lineRule="exact"/>
        <w:rPr>
          <w:sz w:val="20"/>
          <w:szCs w:val="20"/>
          <w:color w:val="auto"/>
        </w:rPr>
      </w:pPr>
    </w:p>
    <w:p>
      <w:pPr>
        <w:jc w:val="both"/>
        <w:ind w:left="500"/>
        <w:spacing w:after="0" w:line="313" w:lineRule="auto"/>
        <w:rPr>
          <w:sz w:val="20"/>
          <w:szCs w:val="20"/>
          <w:color w:val="auto"/>
        </w:rPr>
      </w:pPr>
      <w:r>
        <w:rPr>
          <w:rFonts w:ascii="Arial" w:cs="Arial" w:eastAsia="Arial" w:hAnsi="Arial"/>
          <w:sz w:val="14"/>
          <w:szCs w:val="14"/>
          <w:color w:val="auto"/>
        </w:rPr>
        <w:t>This 2010 Servicing Order, which amends and restates the 2007 Servicing Order, shall be effective when approved by the Commission. Except as expressly provided otherwise herein, neither Party may commence performance hereunder until such date. Any delay in the commencement of performance hereunder as a consequence of waiting for such approval(s) and the expiry of any waiting period shall not be a breach or default under this 2010 Servicing Order.</w:t>
      </w:r>
    </w:p>
    <w:p>
      <w:pPr>
        <w:spacing w:after="0" w:line="94" w:lineRule="exact"/>
        <w:rPr>
          <w:sz w:val="20"/>
          <w:szCs w:val="20"/>
          <w:color w:val="auto"/>
        </w:rPr>
      </w:pPr>
    </w:p>
    <w:p>
      <w:pPr>
        <w:jc w:val="both"/>
        <w:ind w:left="500"/>
        <w:spacing w:after="0" w:line="248" w:lineRule="auto"/>
        <w:rPr>
          <w:sz w:val="20"/>
          <w:szCs w:val="20"/>
          <w:color w:val="auto"/>
        </w:rPr>
      </w:pPr>
      <w:r>
        <w:rPr>
          <w:rFonts w:ascii="Arial" w:cs="Arial" w:eastAsia="Arial" w:hAnsi="Arial"/>
          <w:sz w:val="16"/>
          <w:szCs w:val="16"/>
          <w:color w:val="auto"/>
        </w:rPr>
        <w:t>All references to the “Servicing Agreement” or to the “Agreement” in the original Servicing Agreement or in the 2003 Servicing Order or the 2007 Servicing Order shall hereafter mean this 2010 Servicing Order, unless the context requires a different interpretation. The Parties intend this 2010 Servicing Order to amend and restate the original Servicing Agreement, the 2003 Servicing Order and the 2007 Servicing Order and in the event of irreconcilable conflict between the terms of the original Servicing Agreement, the 2003 Servicing Order, the 2007 Servicing Order and this 2010 Servicing Order, the terms of this 2010 Servicing Order shall control. The 2010 Servicing Order shall be effective at such time it has been approved by the Commission, and until such time, the 2007 Servicing Order shall remain in full force and effect, except as the 2007 Servicing Order shall have been modified by that certain Memorandum of Understanding dated as of February 4, 2009, and approved by the Commission on March 13, 2009.</w:t>
      </w:r>
    </w:p>
    <w:p>
      <w:pPr>
        <w:sectPr>
          <w:pgSz w:w="11900" w:h="16843" w:orient="portrait"/>
          <w:cols w:equalWidth="0" w:num="1">
            <w:col w:w="11460"/>
          </w:cols>
          <w:pgMar w:left="220" w:top="120" w:right="219" w:bottom="0"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14.17. Attachments.</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attachments are incorporated in this Servicing Order:</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Service Attachment 1 - Utility Billing Services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Service Attachment 2 - DWR Surplus Energy Sales Revenues Remittance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20"/>
                <w:szCs w:val="20"/>
                <w:color w:val="auto"/>
              </w:rPr>
            </w:pPr>
            <w:r>
              <w:rPr>
                <w:rFonts w:ascii="Arial" w:cs="Arial" w:eastAsia="Arial" w:hAnsi="Arial"/>
                <w:sz w:val="17"/>
                <w:szCs w:val="17"/>
                <w:color w:val="auto"/>
                <w:w w:val="97"/>
              </w:rPr>
              <w:t>Attachment A</w:t>
            </w:r>
          </w:p>
        </w:tc>
        <w:tc>
          <w:tcPr>
            <w:tcW w:w="34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4240" w:type="dxa"/>
            <w:vAlign w:val="bottom"/>
          </w:tcPr>
          <w:p>
            <w:pPr>
              <w:ind w:left="180"/>
              <w:spacing w:after="0"/>
              <w:rPr>
                <w:sz w:val="20"/>
                <w:szCs w:val="20"/>
                <w:color w:val="auto"/>
              </w:rPr>
            </w:pPr>
            <w:r>
              <w:rPr>
                <w:rFonts w:ascii="Arial" w:cs="Arial" w:eastAsia="Arial" w:hAnsi="Arial"/>
                <w:sz w:val="17"/>
                <w:szCs w:val="17"/>
                <w:color w:val="auto"/>
              </w:rPr>
              <w:t>Representatives and Contacts</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7"/>
                <w:szCs w:val="17"/>
                <w:color w:val="auto"/>
                <w:w w:val="97"/>
              </w:rPr>
              <w:t>Attachment B</w:t>
            </w:r>
          </w:p>
        </w:tc>
        <w:tc>
          <w:tcPr>
            <w:tcW w:w="340" w:type="dxa"/>
            <w:vAlign w:val="bottom"/>
          </w:tcPr>
          <w:p>
            <w:pPr>
              <w:jc w:val="right"/>
              <w:ind w:right="97"/>
              <w:spacing w:after="0" w:line="169" w:lineRule="exact"/>
              <w:rPr>
                <w:sz w:val="20"/>
                <w:szCs w:val="20"/>
                <w:color w:val="auto"/>
              </w:rPr>
            </w:pPr>
            <w:r>
              <w:rPr>
                <w:rFonts w:ascii="Arial" w:cs="Arial" w:eastAsia="Arial" w:hAnsi="Arial"/>
                <w:sz w:val="17"/>
                <w:szCs w:val="17"/>
                <w:color w:val="auto"/>
              </w:rPr>
              <w:t>-</w:t>
            </w:r>
          </w:p>
        </w:tc>
        <w:tc>
          <w:tcPr>
            <w:tcW w:w="4240" w:type="dxa"/>
            <w:vAlign w:val="bottom"/>
          </w:tcPr>
          <w:p>
            <w:pPr>
              <w:ind w:left="180"/>
              <w:spacing w:after="0" w:line="169" w:lineRule="exact"/>
              <w:rPr>
                <w:sz w:val="20"/>
                <w:szCs w:val="20"/>
                <w:color w:val="auto"/>
              </w:rPr>
            </w:pPr>
            <w:r>
              <w:rPr>
                <w:rFonts w:ascii="Arial" w:cs="Arial" w:eastAsia="Arial" w:hAnsi="Arial"/>
                <w:sz w:val="17"/>
                <w:szCs w:val="17"/>
                <w:color w:val="auto"/>
              </w:rPr>
              <w:t>Remittances of DWR Charges</w:t>
            </w:r>
          </w:p>
        </w:tc>
        <w:tc>
          <w:tcPr>
            <w:tcW w:w="0" w:type="dxa"/>
            <w:vAlign w:val="bottom"/>
          </w:tcPr>
          <w:p>
            <w:pPr>
              <w:spacing w:after="0"/>
              <w:rPr>
                <w:sz w:val="1"/>
                <w:szCs w:val="1"/>
                <w:color w:val="auto"/>
              </w:rPr>
            </w:pPr>
          </w:p>
        </w:tc>
      </w:tr>
      <w:tr>
        <w:trPr>
          <w:trHeight w:val="165"/>
        </w:trPr>
        <w:tc>
          <w:tcPr>
            <w:tcW w:w="1360" w:type="dxa"/>
            <w:vAlign w:val="bottom"/>
            <w:gridSpan w:val="2"/>
          </w:tcPr>
          <w:p>
            <w:pPr>
              <w:ind w:left="220"/>
              <w:spacing w:after="0" w:line="166" w:lineRule="exact"/>
              <w:rPr>
                <w:sz w:val="20"/>
                <w:szCs w:val="20"/>
                <w:color w:val="auto"/>
              </w:rPr>
            </w:pPr>
            <w:r>
              <w:rPr>
                <w:rFonts w:ascii="Arial" w:cs="Arial" w:eastAsia="Arial" w:hAnsi="Arial"/>
                <w:sz w:val="17"/>
                <w:szCs w:val="17"/>
                <w:color w:val="auto"/>
              </w:rPr>
              <w:t>Appendix A-1:</w:t>
            </w:r>
          </w:p>
        </w:tc>
        <w:tc>
          <w:tcPr>
            <w:tcW w:w="4240" w:type="dxa"/>
            <w:vAlign w:val="bottom"/>
          </w:tcPr>
          <w:p>
            <w:pPr>
              <w:ind w:left="180"/>
              <w:spacing w:after="0" w:line="165" w:lineRule="exact"/>
              <w:rPr>
                <w:sz w:val="20"/>
                <w:szCs w:val="20"/>
                <w:color w:val="auto"/>
              </w:rPr>
            </w:pPr>
            <w:r>
              <w:rPr>
                <w:rFonts w:ascii="Arial" w:cs="Arial" w:eastAsia="Arial" w:hAnsi="Arial"/>
                <w:sz w:val="16"/>
                <w:szCs w:val="16"/>
                <w:color w:val="auto"/>
              </w:rPr>
              <w:t>Bill Determination - Bundled Customers Bond Charge</w:t>
            </w:r>
          </w:p>
        </w:tc>
        <w:tc>
          <w:tcPr>
            <w:tcW w:w="0" w:type="dxa"/>
            <w:vAlign w:val="bottom"/>
          </w:tcPr>
          <w:p>
            <w:pPr>
              <w:spacing w:after="0"/>
              <w:rPr>
                <w:sz w:val="1"/>
                <w:szCs w:val="1"/>
                <w:color w:val="auto"/>
              </w:rPr>
            </w:pPr>
          </w:p>
        </w:tc>
      </w:tr>
      <w:tr>
        <w:trPr>
          <w:trHeight w:val="165"/>
        </w:trPr>
        <w:tc>
          <w:tcPr>
            <w:tcW w:w="1360" w:type="dxa"/>
            <w:vAlign w:val="bottom"/>
            <w:gridSpan w:val="2"/>
          </w:tcPr>
          <w:p>
            <w:pPr>
              <w:ind w:left="220"/>
              <w:spacing w:after="0" w:line="166" w:lineRule="exact"/>
              <w:rPr>
                <w:sz w:val="20"/>
                <w:szCs w:val="20"/>
                <w:color w:val="auto"/>
              </w:rPr>
            </w:pPr>
            <w:r>
              <w:rPr>
                <w:rFonts w:ascii="Arial" w:cs="Arial" w:eastAsia="Arial" w:hAnsi="Arial"/>
                <w:sz w:val="17"/>
                <w:szCs w:val="17"/>
                <w:color w:val="auto"/>
              </w:rPr>
              <w:t>Appendix A-2:</w:t>
            </w:r>
          </w:p>
        </w:tc>
        <w:tc>
          <w:tcPr>
            <w:tcW w:w="4240" w:type="dxa"/>
            <w:vAlign w:val="bottom"/>
          </w:tcPr>
          <w:p>
            <w:pPr>
              <w:ind w:left="180"/>
              <w:spacing w:after="0" w:line="165" w:lineRule="exact"/>
              <w:rPr>
                <w:sz w:val="20"/>
                <w:szCs w:val="20"/>
                <w:color w:val="auto"/>
              </w:rPr>
            </w:pPr>
            <w:r>
              <w:rPr>
                <w:rFonts w:ascii="Arial" w:cs="Arial" w:eastAsia="Arial" w:hAnsi="Arial"/>
                <w:sz w:val="16"/>
                <w:szCs w:val="16"/>
                <w:color w:val="auto"/>
              </w:rPr>
              <w:t>Bill Determination - Bundled Customers Power Charge</w:t>
            </w:r>
          </w:p>
        </w:tc>
        <w:tc>
          <w:tcPr>
            <w:tcW w:w="0" w:type="dxa"/>
            <w:vAlign w:val="bottom"/>
          </w:tcPr>
          <w:p>
            <w:pPr>
              <w:spacing w:after="0"/>
              <w:rPr>
                <w:sz w:val="1"/>
                <w:szCs w:val="1"/>
                <w:color w:val="auto"/>
              </w:rPr>
            </w:pPr>
          </w:p>
        </w:tc>
      </w:tr>
      <w:tr>
        <w:trPr>
          <w:trHeight w:val="165"/>
        </w:trPr>
        <w:tc>
          <w:tcPr>
            <w:tcW w:w="1360" w:type="dxa"/>
            <w:vAlign w:val="bottom"/>
            <w:gridSpan w:val="2"/>
          </w:tcPr>
          <w:p>
            <w:pPr>
              <w:ind w:left="220"/>
              <w:spacing w:after="0" w:line="166" w:lineRule="exact"/>
              <w:rPr>
                <w:sz w:val="20"/>
                <w:szCs w:val="20"/>
                <w:color w:val="auto"/>
              </w:rPr>
            </w:pPr>
            <w:r>
              <w:rPr>
                <w:rFonts w:ascii="Arial" w:cs="Arial" w:eastAsia="Arial" w:hAnsi="Arial"/>
                <w:sz w:val="17"/>
                <w:szCs w:val="17"/>
                <w:color w:val="auto"/>
              </w:rPr>
              <w:t>Appendix B-1:</w:t>
            </w:r>
          </w:p>
        </w:tc>
        <w:tc>
          <w:tcPr>
            <w:tcW w:w="4240" w:type="dxa"/>
            <w:vAlign w:val="bottom"/>
          </w:tcPr>
          <w:p>
            <w:pPr>
              <w:ind w:left="180"/>
              <w:spacing w:after="0" w:line="165" w:lineRule="exact"/>
              <w:rPr>
                <w:sz w:val="20"/>
                <w:szCs w:val="20"/>
                <w:color w:val="auto"/>
              </w:rPr>
            </w:pPr>
            <w:r>
              <w:rPr>
                <w:rFonts w:ascii="Arial" w:cs="Arial" w:eastAsia="Arial" w:hAnsi="Arial"/>
                <w:sz w:val="16"/>
                <w:szCs w:val="16"/>
                <w:color w:val="auto"/>
                <w:w w:val="96"/>
              </w:rPr>
              <w:t>Bill Determination - Direct Access Customers Bond Charge</w:t>
            </w:r>
          </w:p>
        </w:tc>
        <w:tc>
          <w:tcPr>
            <w:tcW w:w="0" w:type="dxa"/>
            <w:vAlign w:val="bottom"/>
          </w:tcPr>
          <w:p>
            <w:pPr>
              <w:spacing w:after="0"/>
              <w:rPr>
                <w:sz w:val="1"/>
                <w:szCs w:val="1"/>
                <w:color w:val="auto"/>
              </w:rPr>
            </w:pPr>
          </w:p>
        </w:tc>
      </w:tr>
      <w:tr>
        <w:trPr>
          <w:trHeight w:val="172"/>
        </w:trPr>
        <w:tc>
          <w:tcPr>
            <w:tcW w:w="1360" w:type="dxa"/>
            <w:vAlign w:val="bottom"/>
            <w:gridSpan w:val="2"/>
          </w:tcPr>
          <w:p>
            <w:pPr>
              <w:ind w:left="220"/>
              <w:spacing w:after="0" w:line="172" w:lineRule="exact"/>
              <w:rPr>
                <w:sz w:val="20"/>
                <w:szCs w:val="20"/>
                <w:color w:val="auto"/>
              </w:rPr>
            </w:pPr>
            <w:r>
              <w:rPr>
                <w:rFonts w:ascii="Arial" w:cs="Arial" w:eastAsia="Arial" w:hAnsi="Arial"/>
                <w:sz w:val="17"/>
                <w:szCs w:val="17"/>
                <w:color w:val="auto"/>
              </w:rPr>
              <w:t>Appendix B-2:</w:t>
            </w:r>
          </w:p>
        </w:tc>
        <w:tc>
          <w:tcPr>
            <w:tcW w:w="4240" w:type="dxa"/>
            <w:vAlign w:val="bottom"/>
          </w:tcPr>
          <w:p>
            <w:pPr>
              <w:ind w:left="180"/>
              <w:spacing w:after="0" w:line="171" w:lineRule="exact"/>
              <w:rPr>
                <w:sz w:val="20"/>
                <w:szCs w:val="20"/>
                <w:color w:val="auto"/>
              </w:rPr>
            </w:pPr>
            <w:r>
              <w:rPr>
                <w:rFonts w:ascii="Arial" w:cs="Arial" w:eastAsia="Arial" w:hAnsi="Arial"/>
                <w:sz w:val="16"/>
                <w:szCs w:val="16"/>
                <w:color w:val="auto"/>
                <w:w w:val="94"/>
              </w:rPr>
              <w:t>Bill Determination - Direct Access Customers Power Charge</w:t>
            </w:r>
          </w:p>
        </w:tc>
        <w:tc>
          <w:tcPr>
            <w:tcW w:w="0" w:type="dxa"/>
            <w:vAlign w:val="bottom"/>
          </w:tcPr>
          <w:p>
            <w:pPr>
              <w:spacing w:after="0"/>
              <w:rPr>
                <w:sz w:val="1"/>
                <w:szCs w:val="1"/>
                <w:color w:val="auto"/>
              </w:rPr>
            </w:pPr>
          </w:p>
        </w:tc>
      </w:tr>
      <w:tr>
        <w:trPr>
          <w:trHeight w:val="200"/>
        </w:trPr>
        <w:tc>
          <w:tcPr>
            <w:tcW w:w="1360" w:type="dxa"/>
            <w:vAlign w:val="bottom"/>
            <w:gridSpan w:val="2"/>
          </w:tcPr>
          <w:p>
            <w:pPr>
              <w:ind w:left="220"/>
              <w:spacing w:after="0"/>
              <w:rPr>
                <w:sz w:val="20"/>
                <w:szCs w:val="20"/>
                <w:color w:val="auto"/>
              </w:rPr>
            </w:pPr>
            <w:r>
              <w:rPr>
                <w:rFonts w:ascii="Arial" w:cs="Arial" w:eastAsia="Arial" w:hAnsi="Arial"/>
                <w:sz w:val="17"/>
                <w:szCs w:val="17"/>
                <w:color w:val="auto"/>
              </w:rPr>
              <w:t>Appendix C-1:</w:t>
            </w:r>
          </w:p>
        </w:tc>
        <w:tc>
          <w:tcPr>
            <w:tcW w:w="4240" w:type="dxa"/>
            <w:vAlign w:val="bottom"/>
          </w:tcPr>
          <w:p>
            <w:pPr>
              <w:ind w:left="180"/>
              <w:spacing w:after="0"/>
              <w:rPr>
                <w:sz w:val="20"/>
                <w:szCs w:val="20"/>
                <w:color w:val="auto"/>
              </w:rPr>
            </w:pPr>
            <w:r>
              <w:rPr>
                <w:rFonts w:ascii="Arial" w:cs="Arial" w:eastAsia="Arial" w:hAnsi="Arial"/>
                <w:sz w:val="16"/>
                <w:szCs w:val="16"/>
                <w:color w:val="auto"/>
                <w:w w:val="99"/>
              </w:rPr>
              <w:t>Bill Determination - Customer Generation Departing Load</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40" w:type="dxa"/>
            <w:vAlign w:val="bottom"/>
          </w:tcPr>
          <w:p>
            <w:pPr>
              <w:ind w:left="180"/>
              <w:spacing w:after="0" w:line="176" w:lineRule="exact"/>
              <w:rPr>
                <w:sz w:val="20"/>
                <w:szCs w:val="20"/>
                <w:color w:val="auto"/>
              </w:rPr>
            </w:pPr>
            <w:r>
              <w:rPr>
                <w:rFonts w:ascii="Arial" w:cs="Arial" w:eastAsia="Arial" w:hAnsi="Arial"/>
                <w:sz w:val="17"/>
                <w:szCs w:val="17"/>
                <w:color w:val="auto"/>
              </w:rPr>
              <w:t>Bond Charge</w:t>
            </w:r>
          </w:p>
        </w:tc>
        <w:tc>
          <w:tcPr>
            <w:tcW w:w="0" w:type="dxa"/>
            <w:vAlign w:val="bottom"/>
          </w:tcPr>
          <w:p>
            <w:pPr>
              <w:spacing w:after="0"/>
              <w:rPr>
                <w:sz w:val="1"/>
                <w:szCs w:val="1"/>
                <w:color w:val="auto"/>
              </w:rPr>
            </w:pPr>
          </w:p>
        </w:tc>
      </w:tr>
      <w:tr>
        <w:trPr>
          <w:trHeight w:val="207"/>
        </w:trPr>
        <w:tc>
          <w:tcPr>
            <w:tcW w:w="1360" w:type="dxa"/>
            <w:vAlign w:val="bottom"/>
            <w:gridSpan w:val="2"/>
          </w:tcPr>
          <w:p>
            <w:pPr>
              <w:ind w:left="220"/>
              <w:spacing w:after="0"/>
              <w:rPr>
                <w:sz w:val="20"/>
                <w:szCs w:val="20"/>
                <w:color w:val="auto"/>
              </w:rPr>
            </w:pPr>
            <w:r>
              <w:rPr>
                <w:rFonts w:ascii="Arial" w:cs="Arial" w:eastAsia="Arial" w:hAnsi="Arial"/>
                <w:sz w:val="17"/>
                <w:szCs w:val="17"/>
                <w:color w:val="auto"/>
              </w:rPr>
              <w:t>Appendix C-2:</w:t>
            </w:r>
          </w:p>
        </w:tc>
        <w:tc>
          <w:tcPr>
            <w:tcW w:w="4240" w:type="dxa"/>
            <w:vAlign w:val="bottom"/>
          </w:tcPr>
          <w:p>
            <w:pPr>
              <w:ind w:left="180"/>
              <w:spacing w:after="0"/>
              <w:rPr>
                <w:sz w:val="20"/>
                <w:szCs w:val="20"/>
                <w:color w:val="auto"/>
              </w:rPr>
            </w:pPr>
            <w:r>
              <w:rPr>
                <w:rFonts w:ascii="Arial" w:cs="Arial" w:eastAsia="Arial" w:hAnsi="Arial"/>
                <w:sz w:val="16"/>
                <w:szCs w:val="16"/>
                <w:color w:val="auto"/>
                <w:w w:val="99"/>
              </w:rPr>
              <w:t>Bill Determination - Customer Generation Departing Load</w:t>
            </w:r>
          </w:p>
        </w:tc>
        <w:tc>
          <w:tcPr>
            <w:tcW w:w="0" w:type="dxa"/>
            <w:vAlign w:val="bottom"/>
          </w:tcPr>
          <w:p>
            <w:pPr>
              <w:spacing w:after="0"/>
              <w:rPr>
                <w:sz w:val="1"/>
                <w:szCs w:val="1"/>
                <w:color w:val="auto"/>
              </w:rPr>
            </w:pPr>
          </w:p>
        </w:tc>
      </w:tr>
      <w:tr>
        <w:trPr>
          <w:trHeight w:val="165"/>
        </w:trPr>
        <w:tc>
          <w:tcPr>
            <w:tcW w:w="1360" w:type="dxa"/>
            <w:vAlign w:val="bottom"/>
            <w:gridSpan w:val="2"/>
            <w:vMerge w:val="restart"/>
          </w:tcPr>
          <w:p>
            <w:pPr>
              <w:ind w:left="220"/>
              <w:spacing w:after="0"/>
              <w:rPr>
                <w:sz w:val="20"/>
                <w:szCs w:val="20"/>
                <w:color w:val="auto"/>
              </w:rPr>
            </w:pPr>
            <w:r>
              <w:rPr>
                <w:rFonts w:ascii="Arial" w:cs="Arial" w:eastAsia="Arial" w:hAnsi="Arial"/>
                <w:sz w:val="17"/>
                <w:szCs w:val="17"/>
                <w:color w:val="auto"/>
              </w:rPr>
              <w:t>Appendix D-1:</w:t>
            </w:r>
          </w:p>
        </w:tc>
        <w:tc>
          <w:tcPr>
            <w:tcW w:w="4240" w:type="dxa"/>
            <w:vAlign w:val="bottom"/>
          </w:tcPr>
          <w:p>
            <w:pPr>
              <w:ind w:left="180"/>
              <w:spacing w:after="0" w:line="166" w:lineRule="exact"/>
              <w:rPr>
                <w:sz w:val="20"/>
                <w:szCs w:val="20"/>
                <w:color w:val="auto"/>
              </w:rPr>
            </w:pPr>
            <w:r>
              <w:rPr>
                <w:rFonts w:ascii="Arial" w:cs="Arial" w:eastAsia="Arial" w:hAnsi="Arial"/>
                <w:sz w:val="17"/>
                <w:szCs w:val="17"/>
                <w:color w:val="auto"/>
              </w:rPr>
              <w:t>Power Charge</w:t>
            </w:r>
          </w:p>
        </w:tc>
        <w:tc>
          <w:tcPr>
            <w:tcW w:w="0" w:type="dxa"/>
            <w:vAlign w:val="bottom"/>
          </w:tcPr>
          <w:p>
            <w:pPr>
              <w:spacing w:after="0"/>
              <w:rPr>
                <w:sz w:val="1"/>
                <w:szCs w:val="1"/>
                <w:color w:val="auto"/>
              </w:rPr>
            </w:pPr>
          </w:p>
        </w:tc>
      </w:tr>
      <w:tr>
        <w:trPr>
          <w:trHeight w:val="165"/>
        </w:trPr>
        <w:tc>
          <w:tcPr>
            <w:tcW w:w="1360" w:type="dxa"/>
            <w:vAlign w:val="bottom"/>
            <w:gridSpan w:val="2"/>
            <w:vMerge w:val="continue"/>
          </w:tcPr>
          <w:p>
            <w:pPr>
              <w:spacing w:after="0"/>
              <w:rPr>
                <w:sz w:val="14"/>
                <w:szCs w:val="14"/>
                <w:color w:val="auto"/>
              </w:rPr>
            </w:pPr>
          </w:p>
        </w:tc>
        <w:tc>
          <w:tcPr>
            <w:tcW w:w="4240" w:type="dxa"/>
            <w:vAlign w:val="bottom"/>
          </w:tcPr>
          <w:p>
            <w:pPr>
              <w:ind w:left="180"/>
              <w:spacing w:after="0" w:line="165" w:lineRule="exact"/>
              <w:rPr>
                <w:sz w:val="20"/>
                <w:szCs w:val="20"/>
                <w:color w:val="auto"/>
              </w:rPr>
            </w:pPr>
            <w:r>
              <w:rPr>
                <w:rFonts w:ascii="Arial" w:cs="Arial" w:eastAsia="Arial" w:hAnsi="Arial"/>
                <w:sz w:val="16"/>
                <w:szCs w:val="16"/>
                <w:color w:val="auto"/>
                <w:w w:val="96"/>
              </w:rPr>
              <w:t>Bill Determination - Municipal Departing Load Bond Charge</w:t>
            </w:r>
          </w:p>
        </w:tc>
        <w:tc>
          <w:tcPr>
            <w:tcW w:w="0" w:type="dxa"/>
            <w:vAlign w:val="bottom"/>
          </w:tcPr>
          <w:p>
            <w:pPr>
              <w:spacing w:after="0"/>
              <w:rPr>
                <w:sz w:val="1"/>
                <w:szCs w:val="1"/>
                <w:color w:val="auto"/>
              </w:rPr>
            </w:pPr>
          </w:p>
        </w:tc>
      </w:tr>
      <w:tr>
        <w:trPr>
          <w:trHeight w:val="172"/>
        </w:trPr>
        <w:tc>
          <w:tcPr>
            <w:tcW w:w="1360" w:type="dxa"/>
            <w:vAlign w:val="bottom"/>
            <w:gridSpan w:val="2"/>
          </w:tcPr>
          <w:p>
            <w:pPr>
              <w:ind w:left="220"/>
              <w:spacing w:after="0" w:line="172" w:lineRule="exact"/>
              <w:rPr>
                <w:sz w:val="20"/>
                <w:szCs w:val="20"/>
                <w:color w:val="auto"/>
              </w:rPr>
            </w:pPr>
            <w:r>
              <w:rPr>
                <w:rFonts w:ascii="Arial" w:cs="Arial" w:eastAsia="Arial" w:hAnsi="Arial"/>
                <w:sz w:val="17"/>
                <w:szCs w:val="17"/>
                <w:color w:val="auto"/>
              </w:rPr>
              <w:t>Appendix D-2:</w:t>
            </w:r>
          </w:p>
        </w:tc>
        <w:tc>
          <w:tcPr>
            <w:tcW w:w="4240" w:type="dxa"/>
            <w:vAlign w:val="bottom"/>
          </w:tcPr>
          <w:p>
            <w:pPr>
              <w:ind w:left="180"/>
              <w:spacing w:after="0" w:line="171" w:lineRule="exact"/>
              <w:rPr>
                <w:sz w:val="20"/>
                <w:szCs w:val="20"/>
                <w:color w:val="auto"/>
              </w:rPr>
            </w:pPr>
            <w:r>
              <w:rPr>
                <w:rFonts w:ascii="Arial" w:cs="Arial" w:eastAsia="Arial" w:hAnsi="Arial"/>
                <w:sz w:val="16"/>
                <w:szCs w:val="16"/>
                <w:color w:val="auto"/>
                <w:w w:val="94"/>
              </w:rPr>
              <w:t>Bill Determination - Municipal Departing Load Power Charge</w:t>
            </w:r>
          </w:p>
        </w:tc>
        <w:tc>
          <w:tcPr>
            <w:tcW w:w="0" w:type="dxa"/>
            <w:vAlign w:val="bottom"/>
          </w:tcPr>
          <w:p>
            <w:pPr>
              <w:spacing w:after="0"/>
              <w:rPr>
                <w:sz w:val="1"/>
                <w:szCs w:val="1"/>
                <w:color w:val="auto"/>
              </w:rPr>
            </w:pPr>
          </w:p>
        </w:tc>
      </w:tr>
      <w:tr>
        <w:trPr>
          <w:trHeight w:val="200"/>
        </w:trPr>
        <w:tc>
          <w:tcPr>
            <w:tcW w:w="1360" w:type="dxa"/>
            <w:vAlign w:val="bottom"/>
            <w:gridSpan w:val="2"/>
          </w:tcPr>
          <w:p>
            <w:pPr>
              <w:ind w:left="220"/>
              <w:spacing w:after="0"/>
              <w:rPr>
                <w:sz w:val="20"/>
                <w:szCs w:val="20"/>
                <w:color w:val="auto"/>
              </w:rPr>
            </w:pPr>
            <w:r>
              <w:rPr>
                <w:rFonts w:ascii="Arial" w:cs="Arial" w:eastAsia="Arial" w:hAnsi="Arial"/>
                <w:sz w:val="17"/>
                <w:szCs w:val="17"/>
                <w:color w:val="auto"/>
              </w:rPr>
              <w:t>Appendix E-1:</w:t>
            </w:r>
          </w:p>
        </w:tc>
        <w:tc>
          <w:tcPr>
            <w:tcW w:w="4240" w:type="dxa"/>
            <w:vAlign w:val="bottom"/>
          </w:tcPr>
          <w:p>
            <w:pPr>
              <w:ind w:left="180"/>
              <w:spacing w:after="0"/>
              <w:rPr>
                <w:sz w:val="20"/>
                <w:szCs w:val="20"/>
                <w:color w:val="auto"/>
              </w:rPr>
            </w:pPr>
            <w:r>
              <w:rPr>
                <w:rFonts w:ascii="Arial" w:cs="Arial" w:eastAsia="Arial" w:hAnsi="Arial"/>
                <w:sz w:val="16"/>
                <w:szCs w:val="16"/>
                <w:color w:val="auto"/>
                <w:w w:val="99"/>
              </w:rPr>
              <w:t>Bill Determination - Community Choice Aggregation Bond</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40" w:type="dxa"/>
            <w:vAlign w:val="bottom"/>
          </w:tcPr>
          <w:p>
            <w:pPr>
              <w:ind w:left="180"/>
              <w:spacing w:after="0" w:line="176" w:lineRule="exact"/>
              <w:rPr>
                <w:sz w:val="20"/>
                <w:szCs w:val="20"/>
                <w:color w:val="auto"/>
              </w:rPr>
            </w:pPr>
            <w:r>
              <w:rPr>
                <w:rFonts w:ascii="Arial" w:cs="Arial" w:eastAsia="Arial" w:hAnsi="Arial"/>
                <w:sz w:val="17"/>
                <w:szCs w:val="17"/>
                <w:color w:val="auto"/>
              </w:rPr>
              <w:t>Charge</w:t>
            </w:r>
          </w:p>
        </w:tc>
        <w:tc>
          <w:tcPr>
            <w:tcW w:w="0" w:type="dxa"/>
            <w:vAlign w:val="bottom"/>
          </w:tcPr>
          <w:p>
            <w:pPr>
              <w:spacing w:after="0"/>
              <w:rPr>
                <w:sz w:val="1"/>
                <w:szCs w:val="1"/>
                <w:color w:val="auto"/>
              </w:rPr>
            </w:pPr>
          </w:p>
        </w:tc>
      </w:tr>
      <w:tr>
        <w:trPr>
          <w:trHeight w:val="207"/>
        </w:trPr>
        <w:tc>
          <w:tcPr>
            <w:tcW w:w="1360" w:type="dxa"/>
            <w:vAlign w:val="bottom"/>
            <w:gridSpan w:val="2"/>
          </w:tcPr>
          <w:p>
            <w:pPr>
              <w:ind w:left="220"/>
              <w:spacing w:after="0"/>
              <w:rPr>
                <w:sz w:val="20"/>
                <w:szCs w:val="20"/>
                <w:color w:val="auto"/>
              </w:rPr>
            </w:pPr>
            <w:r>
              <w:rPr>
                <w:rFonts w:ascii="Arial" w:cs="Arial" w:eastAsia="Arial" w:hAnsi="Arial"/>
                <w:sz w:val="17"/>
                <w:szCs w:val="17"/>
                <w:color w:val="auto"/>
              </w:rPr>
              <w:t>Appendix E-2:</w:t>
            </w:r>
          </w:p>
        </w:tc>
        <w:tc>
          <w:tcPr>
            <w:tcW w:w="4240" w:type="dxa"/>
            <w:vAlign w:val="bottom"/>
          </w:tcPr>
          <w:p>
            <w:pPr>
              <w:ind w:left="180"/>
              <w:spacing w:after="0"/>
              <w:rPr>
                <w:sz w:val="20"/>
                <w:szCs w:val="20"/>
                <w:color w:val="auto"/>
              </w:rPr>
            </w:pPr>
            <w:r>
              <w:rPr>
                <w:rFonts w:ascii="Arial" w:cs="Arial" w:eastAsia="Arial" w:hAnsi="Arial"/>
                <w:sz w:val="16"/>
                <w:szCs w:val="16"/>
                <w:color w:val="auto"/>
                <w:w w:val="97"/>
              </w:rPr>
              <w:t>Bill Determination - Community Choice Aggregation Power</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rPr>
                <w:sz w:val="20"/>
                <w:szCs w:val="20"/>
                <w:color w:val="auto"/>
              </w:rPr>
            </w:pPr>
            <w:r>
              <w:rPr>
                <w:rFonts w:ascii="Arial" w:cs="Arial" w:eastAsia="Arial" w:hAnsi="Arial"/>
                <w:sz w:val="17"/>
                <w:szCs w:val="17"/>
                <w:color w:val="auto"/>
                <w:w w:val="97"/>
              </w:rPr>
              <w:t>Attachment C</w:t>
            </w:r>
          </w:p>
        </w:tc>
        <w:tc>
          <w:tcPr>
            <w:tcW w:w="340" w:type="dxa"/>
            <w:vAlign w:val="bottom"/>
            <w:vMerge w:val="restart"/>
          </w:tcPr>
          <w:p>
            <w:pPr>
              <w:jc w:val="right"/>
              <w:ind w:right="97"/>
              <w:spacing w:after="0"/>
              <w:rPr>
                <w:sz w:val="20"/>
                <w:szCs w:val="20"/>
                <w:color w:val="auto"/>
              </w:rPr>
            </w:pPr>
            <w:r>
              <w:rPr>
                <w:rFonts w:ascii="Arial" w:cs="Arial" w:eastAsia="Arial" w:hAnsi="Arial"/>
                <w:sz w:val="17"/>
                <w:szCs w:val="17"/>
                <w:color w:val="auto"/>
              </w:rPr>
              <w:t>-</w:t>
            </w:r>
          </w:p>
        </w:tc>
        <w:tc>
          <w:tcPr>
            <w:tcW w:w="4240" w:type="dxa"/>
            <w:vAlign w:val="bottom"/>
          </w:tcPr>
          <w:p>
            <w:pPr>
              <w:ind w:left="180"/>
              <w:spacing w:after="0" w:line="162" w:lineRule="exact"/>
              <w:rPr>
                <w:sz w:val="20"/>
                <w:szCs w:val="20"/>
                <w:color w:val="auto"/>
              </w:rPr>
            </w:pPr>
            <w:r>
              <w:rPr>
                <w:rFonts w:ascii="Arial" w:cs="Arial" w:eastAsia="Arial" w:hAnsi="Arial"/>
                <w:sz w:val="17"/>
                <w:szCs w:val="17"/>
                <w:color w:val="auto"/>
              </w:rPr>
              <w:t>Charge</w:t>
            </w:r>
          </w:p>
        </w:tc>
        <w:tc>
          <w:tcPr>
            <w:tcW w:w="0" w:type="dxa"/>
            <w:vAlign w:val="bottom"/>
          </w:tcPr>
          <w:p>
            <w:pPr>
              <w:spacing w:after="0"/>
              <w:rPr>
                <w:sz w:val="1"/>
                <w:szCs w:val="1"/>
                <w:color w:val="auto"/>
              </w:rPr>
            </w:pPr>
          </w:p>
        </w:tc>
      </w:tr>
      <w:tr>
        <w:trPr>
          <w:trHeight w:val="165"/>
        </w:trPr>
        <w:tc>
          <w:tcPr>
            <w:tcW w:w="10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240" w:type="dxa"/>
            <w:vAlign w:val="bottom"/>
          </w:tcPr>
          <w:p>
            <w:pPr>
              <w:ind w:left="160"/>
              <w:spacing w:after="0" w:line="166" w:lineRule="exact"/>
              <w:rPr>
                <w:sz w:val="20"/>
                <w:szCs w:val="20"/>
                <w:color w:val="auto"/>
              </w:rPr>
            </w:pPr>
            <w:r>
              <w:rPr>
                <w:rFonts w:ascii="Arial" w:cs="Arial" w:eastAsia="Arial" w:hAnsi="Arial"/>
                <w:sz w:val="17"/>
                <w:szCs w:val="17"/>
                <w:color w:val="auto"/>
              </w:rPr>
              <w:t>Sample Daily and Monthly Reports</w:t>
            </w:r>
          </w:p>
        </w:tc>
        <w:tc>
          <w:tcPr>
            <w:tcW w:w="0" w:type="dxa"/>
            <w:vAlign w:val="bottom"/>
          </w:tcPr>
          <w:p>
            <w:pPr>
              <w:spacing w:after="0"/>
              <w:rPr>
                <w:sz w:val="1"/>
                <w:szCs w:val="1"/>
                <w:color w:val="auto"/>
              </w:rPr>
            </w:pPr>
          </w:p>
        </w:tc>
      </w:tr>
      <w:tr>
        <w:trPr>
          <w:trHeight w:val="165"/>
        </w:trPr>
        <w:tc>
          <w:tcPr>
            <w:tcW w:w="1020" w:type="dxa"/>
            <w:vAlign w:val="bottom"/>
          </w:tcPr>
          <w:p>
            <w:pPr>
              <w:spacing w:after="0" w:line="166" w:lineRule="exact"/>
              <w:rPr>
                <w:sz w:val="20"/>
                <w:szCs w:val="20"/>
                <w:color w:val="auto"/>
              </w:rPr>
            </w:pPr>
            <w:r>
              <w:rPr>
                <w:rFonts w:ascii="Arial" w:cs="Arial" w:eastAsia="Arial" w:hAnsi="Arial"/>
                <w:sz w:val="17"/>
                <w:szCs w:val="17"/>
                <w:color w:val="auto"/>
                <w:w w:val="97"/>
              </w:rPr>
              <w:t>Attachment D</w:t>
            </w:r>
          </w:p>
        </w:tc>
        <w:tc>
          <w:tcPr>
            <w:tcW w:w="340" w:type="dxa"/>
            <w:vAlign w:val="bottom"/>
          </w:tcPr>
          <w:p>
            <w:pPr>
              <w:jc w:val="right"/>
              <w:ind w:right="97"/>
              <w:spacing w:after="0" w:line="166" w:lineRule="exact"/>
              <w:rPr>
                <w:sz w:val="20"/>
                <w:szCs w:val="20"/>
                <w:color w:val="auto"/>
              </w:rPr>
            </w:pPr>
            <w:r>
              <w:rPr>
                <w:rFonts w:ascii="Arial" w:cs="Arial" w:eastAsia="Arial" w:hAnsi="Arial"/>
                <w:sz w:val="17"/>
                <w:szCs w:val="17"/>
                <w:color w:val="auto"/>
              </w:rPr>
              <w:t>-</w:t>
            </w:r>
          </w:p>
        </w:tc>
        <w:tc>
          <w:tcPr>
            <w:tcW w:w="4240" w:type="dxa"/>
            <w:vAlign w:val="bottom"/>
          </w:tcPr>
          <w:p>
            <w:pPr>
              <w:ind w:left="160"/>
              <w:spacing w:after="0" w:line="166" w:lineRule="exact"/>
              <w:rPr>
                <w:sz w:val="20"/>
                <w:szCs w:val="20"/>
                <w:color w:val="auto"/>
              </w:rPr>
            </w:pPr>
            <w:r>
              <w:rPr>
                <w:rFonts w:ascii="Arial" w:cs="Arial" w:eastAsia="Arial" w:hAnsi="Arial"/>
                <w:sz w:val="17"/>
                <w:szCs w:val="17"/>
                <w:color w:val="auto"/>
              </w:rPr>
              <w:t>[Reserved]</w:t>
            </w:r>
          </w:p>
        </w:tc>
        <w:tc>
          <w:tcPr>
            <w:tcW w:w="0" w:type="dxa"/>
            <w:vAlign w:val="bottom"/>
          </w:tcPr>
          <w:p>
            <w:pPr>
              <w:spacing w:after="0"/>
              <w:rPr>
                <w:sz w:val="1"/>
                <w:szCs w:val="1"/>
                <w:color w:val="auto"/>
              </w:rPr>
            </w:pPr>
          </w:p>
        </w:tc>
      </w:tr>
      <w:tr>
        <w:trPr>
          <w:trHeight w:val="213"/>
        </w:trPr>
        <w:tc>
          <w:tcPr>
            <w:tcW w:w="1020" w:type="dxa"/>
            <w:vAlign w:val="bottom"/>
          </w:tcPr>
          <w:p>
            <w:pPr>
              <w:spacing w:after="0"/>
              <w:rPr>
                <w:sz w:val="20"/>
                <w:szCs w:val="20"/>
                <w:color w:val="auto"/>
              </w:rPr>
            </w:pPr>
            <w:r>
              <w:rPr>
                <w:rFonts w:ascii="Arial" w:cs="Arial" w:eastAsia="Arial" w:hAnsi="Arial"/>
                <w:sz w:val="17"/>
                <w:szCs w:val="17"/>
                <w:color w:val="auto"/>
                <w:w w:val="97"/>
              </w:rPr>
              <w:t>Attachment E</w:t>
            </w:r>
          </w:p>
        </w:tc>
        <w:tc>
          <w:tcPr>
            <w:tcW w:w="34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4240" w:type="dxa"/>
            <w:vAlign w:val="bottom"/>
          </w:tcPr>
          <w:p>
            <w:pPr>
              <w:ind w:left="160"/>
              <w:spacing w:after="0"/>
              <w:rPr>
                <w:sz w:val="20"/>
                <w:szCs w:val="20"/>
                <w:color w:val="auto"/>
              </w:rPr>
            </w:pPr>
            <w:r>
              <w:rPr>
                <w:rFonts w:ascii="Arial" w:cs="Arial" w:eastAsia="Arial" w:hAnsi="Arial"/>
                <w:sz w:val="17"/>
                <w:szCs w:val="17"/>
                <w:color w:val="auto"/>
              </w:rPr>
              <w:t>Additional Provisions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SA1-1</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SA2-1</w:t>
      </w:r>
    </w:p>
    <w:p>
      <w:pPr>
        <w:spacing w:after="0" w:line="13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A-1</w:t>
      </w:r>
    </w:p>
    <w:p>
      <w:pPr>
        <w:ind w:left="160"/>
        <w:spacing w:after="0" w:line="215" w:lineRule="auto"/>
        <w:rPr>
          <w:sz w:val="20"/>
          <w:szCs w:val="20"/>
          <w:color w:val="auto"/>
        </w:rPr>
      </w:pPr>
      <w:r>
        <w:rPr>
          <w:rFonts w:ascii="Arial" w:cs="Arial" w:eastAsia="Arial" w:hAnsi="Arial"/>
          <w:sz w:val="16"/>
          <w:szCs w:val="16"/>
          <w:color w:val="auto"/>
        </w:rPr>
        <w:t>B-1</w:t>
      </w:r>
    </w:p>
    <w:p>
      <w:pPr>
        <w:ind w:left="20"/>
        <w:spacing w:after="0" w:line="216" w:lineRule="auto"/>
        <w:rPr>
          <w:sz w:val="20"/>
          <w:szCs w:val="20"/>
          <w:color w:val="auto"/>
        </w:rPr>
      </w:pPr>
      <w:r>
        <w:rPr>
          <w:rFonts w:ascii="Arial" w:cs="Arial" w:eastAsia="Arial" w:hAnsi="Arial"/>
          <w:sz w:val="16"/>
          <w:szCs w:val="16"/>
          <w:color w:val="auto"/>
        </w:rPr>
        <w:t>A-1-1</w:t>
      </w:r>
    </w:p>
    <w:p>
      <w:pPr>
        <w:ind w:left="20"/>
        <w:spacing w:after="0" w:line="229" w:lineRule="auto"/>
        <w:rPr>
          <w:sz w:val="20"/>
          <w:szCs w:val="20"/>
          <w:color w:val="auto"/>
        </w:rPr>
      </w:pPr>
      <w:r>
        <w:rPr>
          <w:rFonts w:ascii="Arial" w:cs="Arial" w:eastAsia="Arial" w:hAnsi="Arial"/>
          <w:sz w:val="16"/>
          <w:szCs w:val="16"/>
          <w:color w:val="auto"/>
        </w:rPr>
        <w:t>A-2-1</w:t>
      </w:r>
    </w:p>
    <w:p>
      <w:pPr>
        <w:ind w:left="20"/>
        <w:spacing w:after="0" w:line="216" w:lineRule="auto"/>
        <w:rPr>
          <w:sz w:val="20"/>
          <w:szCs w:val="20"/>
          <w:color w:val="auto"/>
        </w:rPr>
      </w:pPr>
      <w:r>
        <w:rPr>
          <w:rFonts w:ascii="Arial" w:cs="Arial" w:eastAsia="Arial" w:hAnsi="Arial"/>
          <w:sz w:val="16"/>
          <w:szCs w:val="16"/>
          <w:color w:val="auto"/>
        </w:rPr>
        <w:t>B-1-1</w:t>
      </w:r>
    </w:p>
    <w:p>
      <w:pPr>
        <w:ind w:left="20"/>
        <w:spacing w:after="0"/>
        <w:rPr>
          <w:sz w:val="20"/>
          <w:szCs w:val="20"/>
          <w:color w:val="auto"/>
        </w:rPr>
      </w:pPr>
      <w:r>
        <w:rPr>
          <w:rFonts w:ascii="Arial" w:cs="Arial" w:eastAsia="Arial" w:hAnsi="Arial"/>
          <w:sz w:val="16"/>
          <w:szCs w:val="16"/>
          <w:color w:val="auto"/>
        </w:rPr>
        <w:t>B-2-1</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4"/>
          <w:szCs w:val="14"/>
          <w:color w:val="auto"/>
        </w:rPr>
        <w:t>C-1-1</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C-2-1</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D-1-1</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color w:val="auto"/>
        </w:rPr>
        <w:t>D-2-1</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6"/>
          <w:szCs w:val="16"/>
          <w:color w:val="auto"/>
        </w:rPr>
        <w:t>E-1-1</w:t>
      </w:r>
    </w:p>
    <w:p>
      <w:pPr>
        <w:spacing w:after="0" w:line="184" w:lineRule="exact"/>
        <w:rPr>
          <w:sz w:val="20"/>
          <w:szCs w:val="20"/>
          <w:color w:val="auto"/>
        </w:rPr>
      </w:pPr>
    </w:p>
    <w:p>
      <w:pPr>
        <w:jc w:val="right"/>
        <w:ind w:right="5020"/>
        <w:spacing w:after="0"/>
        <w:rPr>
          <w:sz w:val="20"/>
          <w:szCs w:val="20"/>
          <w:color w:val="auto"/>
        </w:rPr>
      </w:pPr>
      <w:r>
        <w:rPr>
          <w:rFonts w:ascii="Arial" w:cs="Arial" w:eastAsia="Arial" w:hAnsi="Arial"/>
          <w:sz w:val="16"/>
          <w:szCs w:val="16"/>
          <w:color w:val="auto"/>
        </w:rPr>
        <w:t>E-2-1</w:t>
      </w:r>
    </w:p>
    <w:p>
      <w:pPr>
        <w:jc w:val="right"/>
        <w:ind w:right="5000"/>
        <w:spacing w:after="0" w:line="203" w:lineRule="auto"/>
        <w:rPr>
          <w:sz w:val="20"/>
          <w:szCs w:val="20"/>
          <w:color w:val="auto"/>
        </w:rPr>
      </w:pPr>
      <w:r>
        <w:rPr>
          <w:rFonts w:ascii="Arial" w:cs="Arial" w:eastAsia="Arial" w:hAnsi="Arial"/>
          <w:sz w:val="17"/>
          <w:szCs w:val="17"/>
          <w:color w:val="auto"/>
        </w:rPr>
        <w:t>C-1</w:t>
      </w:r>
    </w:p>
    <w:p>
      <w:pPr>
        <w:jc w:val="right"/>
        <w:ind w:right="5000"/>
        <w:spacing w:after="0" w:line="203" w:lineRule="auto"/>
        <w:rPr>
          <w:sz w:val="20"/>
          <w:szCs w:val="20"/>
          <w:color w:val="auto"/>
        </w:rPr>
      </w:pPr>
      <w:r>
        <w:rPr>
          <w:rFonts w:ascii="Arial" w:cs="Arial" w:eastAsia="Arial" w:hAnsi="Arial"/>
          <w:sz w:val="17"/>
          <w:szCs w:val="17"/>
          <w:color w:val="auto"/>
        </w:rPr>
        <w:t>D-1</w:t>
      </w:r>
    </w:p>
    <w:p>
      <w:pPr>
        <w:jc w:val="right"/>
        <w:ind w:right="5000"/>
        <w:spacing w:after="0"/>
        <w:rPr>
          <w:sz w:val="20"/>
          <w:szCs w:val="20"/>
          <w:color w:val="auto"/>
        </w:rPr>
      </w:pPr>
      <w:r>
        <w:rPr>
          <w:rFonts w:ascii="Arial" w:cs="Arial" w:eastAsia="Arial" w:hAnsi="Arial"/>
          <w:sz w:val="17"/>
          <w:szCs w:val="17"/>
          <w:color w:val="auto"/>
        </w:rPr>
        <w:t>E-1</w:t>
      </w:r>
    </w:p>
    <w:p>
      <w:pPr>
        <w:sectPr>
          <w:pgSz w:w="11900" w:h="16843" w:orient="portrait"/>
          <w:cols w:equalWidth="0" w:num="2">
            <w:col w:w="5600" w:space="440"/>
            <w:col w:w="5420"/>
          </w:cols>
          <w:pgMar w:left="220" w:top="120" w:right="219" w:bottom="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20"/>
                <w:szCs w:val="20"/>
                <w:color w:val="auto"/>
              </w:rPr>
            </w:pPr>
            <w:r>
              <w:rPr>
                <w:rFonts w:ascii="Arial" w:cs="Arial" w:eastAsia="Arial" w:hAnsi="Arial"/>
                <w:sz w:val="17"/>
                <w:szCs w:val="17"/>
                <w:color w:val="auto"/>
                <w:w w:val="98"/>
              </w:rPr>
              <w:t>Attachment F</w:t>
            </w:r>
          </w:p>
        </w:tc>
        <w:tc>
          <w:tcPr>
            <w:tcW w:w="32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5720" w:type="dxa"/>
            <w:vAlign w:val="bottom"/>
            <w:gridSpan w:val="2"/>
          </w:tcPr>
          <w:p>
            <w:pPr>
              <w:ind w:left="180"/>
              <w:spacing w:after="0"/>
              <w:rPr>
                <w:sz w:val="20"/>
                <w:szCs w:val="20"/>
                <w:color w:val="auto"/>
              </w:rPr>
            </w:pPr>
            <w:r>
              <w:rPr>
                <w:rFonts w:ascii="Arial" w:cs="Arial" w:eastAsia="Arial" w:hAnsi="Arial"/>
                <w:sz w:val="17"/>
                <w:szCs w:val="17"/>
                <w:color w:val="auto"/>
                <w:w w:val="88"/>
              </w:rPr>
              <w:t>Calculation Methodology for Reduced Remittances Pursuant to 20/20 Program F-1</w:t>
            </w: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7"/>
                <w:szCs w:val="17"/>
                <w:color w:val="auto"/>
                <w:w w:val="96"/>
              </w:rPr>
              <w:t>Attachment G</w:t>
            </w:r>
          </w:p>
        </w:tc>
        <w:tc>
          <w:tcPr>
            <w:tcW w:w="320" w:type="dxa"/>
            <w:vAlign w:val="bottom"/>
          </w:tcPr>
          <w:p>
            <w:pPr>
              <w:jc w:val="right"/>
              <w:ind w:right="77"/>
              <w:spacing w:after="0" w:line="176" w:lineRule="exact"/>
              <w:rPr>
                <w:sz w:val="20"/>
                <w:szCs w:val="20"/>
                <w:color w:val="auto"/>
              </w:rPr>
            </w:pPr>
            <w:r>
              <w:rPr>
                <w:rFonts w:ascii="Arial" w:cs="Arial" w:eastAsia="Arial" w:hAnsi="Arial"/>
                <w:sz w:val="17"/>
                <w:szCs w:val="17"/>
                <w:color w:val="auto"/>
              </w:rPr>
              <w:t>-</w:t>
            </w:r>
          </w:p>
        </w:tc>
        <w:tc>
          <w:tcPr>
            <w:tcW w:w="3260" w:type="dxa"/>
            <w:vAlign w:val="bottom"/>
          </w:tcPr>
          <w:p>
            <w:pPr>
              <w:ind w:left="180"/>
              <w:spacing w:after="0" w:line="176" w:lineRule="exact"/>
              <w:rPr>
                <w:sz w:val="20"/>
                <w:szCs w:val="20"/>
                <w:color w:val="auto"/>
              </w:rPr>
            </w:pPr>
            <w:r>
              <w:rPr>
                <w:rFonts w:ascii="Arial" w:cs="Arial" w:eastAsia="Arial" w:hAnsi="Arial"/>
                <w:sz w:val="17"/>
                <w:szCs w:val="17"/>
                <w:color w:val="auto"/>
              </w:rPr>
              <w:t>SDG&amp;E Fee Schedule</w:t>
            </w:r>
          </w:p>
        </w:tc>
        <w:tc>
          <w:tcPr>
            <w:tcW w:w="2460" w:type="dxa"/>
            <w:vAlign w:val="bottom"/>
          </w:tcPr>
          <w:p>
            <w:pPr>
              <w:ind w:left="1600"/>
              <w:spacing w:after="0" w:line="176" w:lineRule="exact"/>
              <w:rPr>
                <w:sz w:val="20"/>
                <w:szCs w:val="20"/>
                <w:color w:val="auto"/>
              </w:rPr>
            </w:pPr>
            <w:r>
              <w:rPr>
                <w:rFonts w:ascii="Arial" w:cs="Arial" w:eastAsia="Arial" w:hAnsi="Arial"/>
                <w:sz w:val="17"/>
                <w:szCs w:val="17"/>
                <w:color w:val="auto"/>
              </w:rPr>
              <w:t>G-1</w:t>
            </w:r>
          </w:p>
        </w:tc>
      </w:tr>
      <w:tr>
        <w:trPr>
          <w:trHeight w:val="213"/>
        </w:trPr>
        <w:tc>
          <w:tcPr>
            <w:tcW w:w="1020" w:type="dxa"/>
            <w:vAlign w:val="bottom"/>
          </w:tcPr>
          <w:p>
            <w:pPr>
              <w:spacing w:after="0"/>
              <w:rPr>
                <w:sz w:val="20"/>
                <w:szCs w:val="20"/>
                <w:color w:val="auto"/>
              </w:rPr>
            </w:pPr>
            <w:r>
              <w:rPr>
                <w:rFonts w:ascii="Arial" w:cs="Arial" w:eastAsia="Arial" w:hAnsi="Arial"/>
                <w:sz w:val="17"/>
                <w:szCs w:val="17"/>
                <w:color w:val="auto"/>
                <w:w w:val="97"/>
              </w:rPr>
              <w:t>Attachment H</w:t>
            </w:r>
          </w:p>
        </w:tc>
        <w:tc>
          <w:tcPr>
            <w:tcW w:w="32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3260" w:type="dxa"/>
            <w:vAlign w:val="bottom"/>
          </w:tcPr>
          <w:p>
            <w:pPr>
              <w:ind w:left="180"/>
              <w:spacing w:after="0"/>
              <w:rPr>
                <w:sz w:val="20"/>
                <w:szCs w:val="20"/>
                <w:color w:val="auto"/>
              </w:rPr>
            </w:pPr>
            <w:r>
              <w:rPr>
                <w:rFonts w:ascii="Arial" w:cs="Arial" w:eastAsia="Arial" w:hAnsi="Arial"/>
                <w:sz w:val="17"/>
                <w:szCs w:val="17"/>
                <w:color w:val="auto"/>
              </w:rPr>
              <w:t>[Not Applicable]</w:t>
            </w:r>
          </w:p>
        </w:tc>
        <w:tc>
          <w:tcPr>
            <w:tcW w:w="2460" w:type="dxa"/>
            <w:vAlign w:val="bottom"/>
          </w:tcPr>
          <w:p>
            <w:pPr>
              <w:ind w:left="1600"/>
              <w:spacing w:after="0"/>
              <w:rPr>
                <w:sz w:val="20"/>
                <w:szCs w:val="20"/>
                <w:color w:val="auto"/>
              </w:rPr>
            </w:pPr>
            <w:r>
              <w:rPr>
                <w:rFonts w:ascii="Arial" w:cs="Arial" w:eastAsia="Arial" w:hAnsi="Arial"/>
                <w:sz w:val="17"/>
                <w:szCs w:val="17"/>
                <w:color w:val="auto"/>
              </w:rPr>
              <w:t>H-1</w:t>
            </w:r>
          </w:p>
        </w:tc>
      </w:tr>
    </w:tbl>
    <w:p>
      <w:pPr>
        <w:sectPr>
          <w:pgSz w:w="11900" w:h="16838" w:orient="portrait"/>
          <w:cols w:equalWidth="0" w:num="1">
            <w:col w:w="10239"/>
          </w:cols>
          <w:pgMar w:left="220" w:top="99" w:right="1440" w:bottom="1440" w:gutter="0" w:footer="0" w:header="0"/>
        </w:sectPr>
      </w:pPr>
    </w:p>
    <w:bookmarkStart w:id="118" w:name="page119"/>
    <w:bookmarkEnd w:id="118"/>
    <w:p>
      <w:pPr>
        <w:ind w:left="4700"/>
        <w:spacing w:after="0"/>
        <w:rPr>
          <w:sz w:val="20"/>
          <w:szCs w:val="20"/>
          <w:color w:val="auto"/>
        </w:rPr>
      </w:pPr>
      <w:r>
        <w:rPr>
          <w:rFonts w:ascii="Arial" w:cs="Arial" w:eastAsia="Arial" w:hAnsi="Arial"/>
          <w:sz w:val="17"/>
          <w:szCs w:val="17"/>
          <w:b w:val="1"/>
          <w:bCs w:val="1"/>
          <w:color w:val="auto"/>
        </w:rPr>
        <w:t>SERVICE ATTACHMENT 1</w:t>
      </w:r>
    </w:p>
    <w:p>
      <w:pPr>
        <w:spacing w:after="0" w:line="156"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SAN DIEGO GAS &amp; ELECTRIC COMPANY</w:t>
      </w:r>
    </w:p>
    <w:p>
      <w:pPr>
        <w:spacing w:after="0" w:line="156"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UTILITY BILLING SERVICES</w:t>
      </w:r>
    </w:p>
    <w:p>
      <w:pPr>
        <w:spacing w:after="0" w:line="146"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4"/>
          <w:szCs w:val="14"/>
          <w:b w:val="1"/>
          <w:bCs w:val="1"/>
          <w:color w:val="auto"/>
        </w:rPr>
        <w:t>Establishment and Maintenance of Utility Billing Services.</w:t>
      </w:r>
    </w:p>
    <w:p>
      <w:pPr>
        <w:spacing w:after="0" w:line="160" w:lineRule="exact"/>
        <w:rPr>
          <w:sz w:val="20"/>
          <w:szCs w:val="20"/>
          <w:color w:val="auto"/>
        </w:rPr>
      </w:pPr>
    </w:p>
    <w:p>
      <w:pPr>
        <w:jc w:val="both"/>
        <w:ind w:left="500"/>
        <w:spacing w:after="0" w:line="233" w:lineRule="auto"/>
        <w:rPr>
          <w:sz w:val="20"/>
          <w:szCs w:val="20"/>
          <w:color w:val="auto"/>
        </w:rPr>
      </w:pPr>
      <w:r>
        <w:rPr>
          <w:rFonts w:ascii="Arial" w:cs="Arial" w:eastAsia="Arial" w:hAnsi="Arial"/>
          <w:sz w:val="17"/>
          <w:szCs w:val="17"/>
          <w:color w:val="auto"/>
        </w:rPr>
        <w:t>To the extent appropriate under Applicable Commission Orders, under Utility Billing Services with respect to Customers, Utility will include DWR Charges with its Utility Charges on such Customers’ Utility Bills on a consolidated basis. In addition, to the extent appropriate under Applicable Commission Orders, Utility will calculate appropriate DWR Charges under or pursuant to Applicable Law with respect to all Customers and collect DWR Charges by preparing and presenting Utility Bills or by causing to be prepared and presented Non-Utility Bills. In the event that any portions of DWR Charges are to be collected by a Non-Utility, with bills that have been calculated and prepared by Utility, Utility will cause the appropriate DWR Charges to be included in such Non-Utility Bills for collection on behalf of DWR.</w:t>
      </w:r>
    </w:p>
    <w:p>
      <w:pPr>
        <w:spacing w:after="0" w:line="139"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4"/>
          <w:szCs w:val="14"/>
          <w:b w:val="1"/>
          <w:bCs w:val="1"/>
          <w:color w:val="auto"/>
        </w:rPr>
        <w:t>Utility Billing Services Procedures.</w:t>
      </w:r>
    </w:p>
    <w:p>
      <w:pPr>
        <w:spacing w:after="0" w:line="146"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2.1.</w:t>
      </w:r>
      <w:r>
        <w:rPr>
          <w:sz w:val="20"/>
          <w:szCs w:val="20"/>
          <w:color w:val="auto"/>
        </w:rPr>
        <w:tab/>
      </w:r>
      <w:r>
        <w:rPr>
          <w:rFonts w:ascii="Arial" w:cs="Arial" w:eastAsia="Arial" w:hAnsi="Arial"/>
          <w:sz w:val="14"/>
          <w:szCs w:val="14"/>
          <w:b w:val="1"/>
          <w:bCs w:val="1"/>
          <w:color w:val="auto"/>
        </w:rPr>
        <w:t xml:space="preserve">Compliance with Metering Standards. </w:t>
      </w:r>
      <w:r>
        <w:rPr>
          <w:rFonts w:ascii="Arial" w:cs="Arial" w:eastAsia="Arial" w:hAnsi="Arial"/>
          <w:sz w:val="14"/>
          <w:szCs w:val="14"/>
          <w:color w:val="auto"/>
        </w:rPr>
        <w:t>Except to the extent that such Services are provided by a third-party:</w:t>
      </w:r>
    </w:p>
    <w:p>
      <w:pPr>
        <w:spacing w:after="0" w:line="150" w:lineRule="exact"/>
        <w:rPr>
          <w:sz w:val="20"/>
          <w:szCs w:val="20"/>
          <w:color w:val="auto"/>
        </w:rPr>
      </w:pPr>
    </w:p>
    <w:p>
      <w:pPr>
        <w:ind w:left="1000" w:hanging="501"/>
        <w:spacing w:after="0"/>
        <w:tabs>
          <w:tab w:leader="none" w:pos="10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Utility shall comply with all metering standards pursuant to Applicable Tariffs.</w:t>
      </w:r>
    </w:p>
    <w:p>
      <w:pPr>
        <w:spacing w:after="0" w:line="155" w:lineRule="exact"/>
        <w:rPr>
          <w:rFonts w:ascii="Arial" w:cs="Arial" w:eastAsia="Arial" w:hAnsi="Arial"/>
          <w:sz w:val="17"/>
          <w:szCs w:val="17"/>
          <w:color w:val="auto"/>
        </w:rPr>
      </w:pPr>
    </w:p>
    <w:p>
      <w:pPr>
        <w:ind w:left="1000" w:hanging="501"/>
        <w:spacing w:after="0"/>
        <w:tabs>
          <w:tab w:leader="none" w:pos="10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Utility shall read and validate data from meters, and edit and estimate such data, under the terms of Applicable Tariffs.</w:t>
      </w:r>
    </w:p>
    <w:p>
      <w:pPr>
        <w:spacing w:after="0" w:line="145" w:lineRule="exact"/>
        <w:rPr>
          <w:rFonts w:ascii="Arial" w:cs="Arial" w:eastAsia="Arial" w:hAnsi="Arial"/>
          <w:sz w:val="17"/>
          <w:szCs w:val="17"/>
          <w:color w:val="auto"/>
        </w:rPr>
      </w:pPr>
    </w:p>
    <w:p>
      <w:pPr>
        <w:ind w:left="1000" w:hanging="501"/>
        <w:spacing w:after="0"/>
        <w:tabs>
          <w:tab w:leader="none" w:pos="10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Utility shall maintain, store and provide current and historical meter and usage data as required by Applicable Tariffs.</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2.2.</w:t>
      </w:r>
      <w:r>
        <w:rPr>
          <w:sz w:val="20"/>
          <w:szCs w:val="20"/>
          <w:color w:val="auto"/>
        </w:rPr>
        <w:tab/>
      </w:r>
      <w:r>
        <w:rPr>
          <w:rFonts w:ascii="Arial" w:cs="Arial" w:eastAsia="Arial" w:hAnsi="Arial"/>
          <w:sz w:val="14"/>
          <w:szCs w:val="14"/>
          <w:b w:val="1"/>
          <w:bCs w:val="1"/>
          <w:color w:val="auto"/>
        </w:rPr>
        <w:t>Presentation of DWR Charges on Utility Bill.</w:t>
      </w:r>
    </w:p>
    <w:p>
      <w:pPr>
        <w:spacing w:after="0" w:line="160" w:lineRule="exact"/>
        <w:rPr>
          <w:sz w:val="20"/>
          <w:szCs w:val="20"/>
          <w:color w:val="auto"/>
        </w:rPr>
      </w:pPr>
    </w:p>
    <w:p>
      <w:pPr>
        <w:ind w:left="500" w:hanging="1"/>
        <w:spacing w:after="0" w:line="245" w:lineRule="auto"/>
        <w:tabs>
          <w:tab w:leader="none" w:pos="99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DWR Charges shall appear on all Utility Bills or Non-Utility Bills on consolidated basis with Utility Charges in the manner and at the time required by Applicable Law and Applicable Tariffs.</w:t>
      </w:r>
    </w:p>
    <w:p>
      <w:pPr>
        <w:spacing w:after="0" w:line="128" w:lineRule="exact"/>
        <w:rPr>
          <w:rFonts w:ascii="Arial" w:cs="Arial" w:eastAsia="Arial" w:hAnsi="Arial"/>
          <w:sz w:val="17"/>
          <w:szCs w:val="17"/>
          <w:color w:val="auto"/>
        </w:rPr>
      </w:pPr>
    </w:p>
    <w:p>
      <w:pPr>
        <w:ind w:left="500" w:hanging="1"/>
        <w:spacing w:after="0" w:line="245" w:lineRule="auto"/>
        <w:tabs>
          <w:tab w:leader="none" w:pos="99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Notwithstanding subsection (a) above, the Utility may change the manner of bill presentation of DWR Charges upon the agreement of DWR or at the request of DWR and upon agreement by the Utility. Such agreement by DWR or Utility is not to be unreasonably withheld.</w:t>
      </w:r>
    </w:p>
    <w:p>
      <w:pPr>
        <w:spacing w:after="0" w:line="128" w:lineRule="exact"/>
        <w:rPr>
          <w:rFonts w:ascii="Arial" w:cs="Arial" w:eastAsia="Arial" w:hAnsi="Arial"/>
          <w:sz w:val="17"/>
          <w:szCs w:val="17"/>
          <w:color w:val="auto"/>
        </w:rPr>
      </w:pPr>
    </w:p>
    <w:p>
      <w:pPr>
        <w:ind w:left="500" w:hanging="1"/>
        <w:spacing w:after="0" w:line="245" w:lineRule="auto"/>
        <w:tabs>
          <w:tab w:leader="none" w:pos="99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Notwithstanding subsections (a) and (b) above, no change shall be made to Utility Bill formats without the approval of the Commission, if the Commission’s approval is required under Applicable Law and Applicable Tariffs.</w:t>
      </w:r>
    </w:p>
    <w:p>
      <w:pPr>
        <w:spacing w:after="0" w:line="138" w:lineRule="exact"/>
        <w:rPr>
          <w:rFonts w:ascii="Arial" w:cs="Arial" w:eastAsia="Arial" w:hAnsi="Arial"/>
          <w:sz w:val="17"/>
          <w:szCs w:val="17"/>
          <w:color w:val="auto"/>
        </w:rPr>
      </w:pPr>
    </w:p>
    <w:p>
      <w:pPr>
        <w:ind w:left="1000" w:hanging="501"/>
        <w:spacing w:after="0"/>
        <w:tabs>
          <w:tab w:leader="none" w:pos="100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Notwithstanding subsections (a), (b), and (c) above, the Utility Bill shall (i) at all times contain a separate line item for Bond Charge, if applicable, and (ii)</w:t>
      </w:r>
    </w:p>
    <w:p>
      <w:pPr>
        <w:spacing w:after="0" w:line="39" w:lineRule="exact"/>
        <w:rPr>
          <w:rFonts w:ascii="Arial" w:cs="Arial" w:eastAsia="Arial" w:hAnsi="Arial"/>
          <w:sz w:val="14"/>
          <w:szCs w:val="14"/>
          <w:color w:val="auto"/>
        </w:rPr>
      </w:pPr>
    </w:p>
    <w:p>
      <w:pPr>
        <w:jc w:val="both"/>
        <w:ind w:left="500"/>
        <w:spacing w:after="0" w:line="247" w:lineRule="auto"/>
        <w:rPr>
          <w:rFonts w:ascii="Arial" w:cs="Arial" w:eastAsia="Arial" w:hAnsi="Arial"/>
          <w:sz w:val="14"/>
          <w:szCs w:val="14"/>
          <w:color w:val="auto"/>
        </w:rPr>
      </w:pPr>
      <w:r>
        <w:rPr>
          <w:rFonts w:ascii="Arial" w:cs="Arial" w:eastAsia="Arial" w:hAnsi="Arial"/>
          <w:sz w:val="16"/>
          <w:szCs w:val="16"/>
          <w:color w:val="auto"/>
        </w:rPr>
        <w:t>(A) so long as DWR is providing Power to Bundled Customers, contain a statement to the effect that the Utility Bills include charges for power provided by DWR for which DWR is collecting “X” cents per kilowatt hour (where X = the applicable Power Charge rate) or, (B) in the case of Customers other than Bundled Customers who are subject to any cost determined to be ongoing DWR power charge component of CRS, then indicate that Utility Bills include Cost Responsibility Surcharge for which DWR is collecting “X” cents per kilowatt hour (where X = the applicable CRS component rate).</w:t>
      </w:r>
    </w:p>
    <w:p>
      <w:pPr>
        <w:spacing w:after="0" w:line="124"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4"/>
          <w:szCs w:val="14"/>
          <w:b w:val="1"/>
          <w:bCs w:val="1"/>
          <w:color w:val="auto"/>
        </w:rPr>
        <w:t>Billing Costs.</w:t>
      </w:r>
    </w:p>
    <w:p>
      <w:pPr>
        <w:spacing w:after="0" w:line="160" w:lineRule="exact"/>
        <w:rPr>
          <w:sz w:val="20"/>
          <w:szCs w:val="20"/>
          <w:color w:val="auto"/>
        </w:rPr>
      </w:pPr>
    </w:p>
    <w:p>
      <w:pPr>
        <w:jc w:val="both"/>
        <w:ind w:left="500"/>
        <w:spacing w:after="0" w:line="313" w:lineRule="auto"/>
        <w:rPr>
          <w:sz w:val="20"/>
          <w:szCs w:val="20"/>
          <w:color w:val="auto"/>
        </w:rPr>
      </w:pPr>
      <w:r>
        <w:rPr>
          <w:rFonts w:ascii="Arial" w:cs="Arial" w:eastAsia="Arial" w:hAnsi="Arial"/>
          <w:sz w:val="14"/>
          <w:szCs w:val="14"/>
          <w:color w:val="auto"/>
        </w:rPr>
        <w:t>DWR agrees that Utility shall be reimbursed for the reasonable costs of the Billing Services it performs for DWR under this Servicing Order, except for those costs that would have been incurred in providing Billing Services for Customers in the absence of this Servicing Order. DWR agrees that the Commission has jurisdiction to address any dispute concerning the reasonableness of the costs of Billing Services charged to DWR under this Servicing Order.</w:t>
      </w:r>
    </w:p>
    <w:p>
      <w:pPr>
        <w:spacing w:after="0" w:line="79"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2.4.</w:t>
      </w:r>
      <w:r>
        <w:rPr>
          <w:sz w:val="20"/>
          <w:szCs w:val="20"/>
          <w:color w:val="auto"/>
        </w:rPr>
        <w:tab/>
      </w:r>
      <w:r>
        <w:rPr>
          <w:rFonts w:ascii="Arial" w:cs="Arial" w:eastAsia="Arial" w:hAnsi="Arial"/>
          <w:sz w:val="14"/>
          <w:szCs w:val="14"/>
          <w:b w:val="1"/>
          <w:bCs w:val="1"/>
          <w:color w:val="auto"/>
        </w:rPr>
        <w:t>Adjustments to DWR Charges.</w:t>
      </w:r>
    </w:p>
    <w:p>
      <w:pPr>
        <w:spacing w:after="0" w:line="160" w:lineRule="exact"/>
        <w:rPr>
          <w:sz w:val="20"/>
          <w:szCs w:val="20"/>
          <w:color w:val="auto"/>
        </w:rPr>
      </w:pPr>
    </w:p>
    <w:p>
      <w:pPr>
        <w:jc w:val="both"/>
        <w:ind w:left="500"/>
        <w:spacing w:after="0" w:line="237" w:lineRule="auto"/>
        <w:rPr>
          <w:sz w:val="20"/>
          <w:szCs w:val="20"/>
          <w:color w:val="auto"/>
        </w:rPr>
      </w:pPr>
      <w:r>
        <w:rPr>
          <w:rFonts w:ascii="Arial" w:cs="Arial" w:eastAsia="Arial" w:hAnsi="Arial"/>
          <w:sz w:val="17"/>
          <w:szCs w:val="17"/>
          <w:color w:val="auto"/>
        </w:rPr>
        <w:t>Utility will resolve all disputes with Customers subject to Utility Billing Service relating to DWR Charges consistent with Applicable Tariffs and prevailing industry standards. Utility will not waive any late payment fee or modify the terms of payment of any amounts payable by Customers subject to Utility Billing Services unless such action is consistent with the action taken with respect to its own Charges and Applicable Tariffs.</w:t>
      </w:r>
    </w:p>
    <w:p>
      <w:pPr>
        <w:spacing w:after="0" w:line="144" w:lineRule="exact"/>
        <w:rPr>
          <w:sz w:val="20"/>
          <w:szCs w:val="20"/>
          <w:color w:val="auto"/>
        </w:rPr>
      </w:pPr>
    </w:p>
    <w:p>
      <w:pPr>
        <w:jc w:val="both"/>
        <w:ind w:left="500"/>
        <w:spacing w:after="0" w:line="253" w:lineRule="auto"/>
        <w:rPr>
          <w:sz w:val="20"/>
          <w:szCs w:val="20"/>
          <w:color w:val="auto"/>
        </w:rPr>
      </w:pPr>
      <w:r>
        <w:rPr>
          <w:rFonts w:ascii="Arial" w:cs="Arial" w:eastAsia="Arial" w:hAnsi="Arial"/>
          <w:sz w:val="16"/>
          <w:szCs w:val="16"/>
          <w:color w:val="auto"/>
        </w:rPr>
        <w:t>In the event that DWR is entitled by Applicable Law to collect any additional charge as a component of DWR Charges, DWR agrees, and Utility is ordered to negotiate the amendment(s) to this Servicing Order that is (or are) appropriate in order to facilitate the calculation and collection of such a charge, and any such amendment shall be submitted to the Commission for approval. For purposes of this paragraph of Section 2.4, “charge” means any amount that DWR is entitled, under Applicable Law, to assess and collect from a Customer and is intended to be included in the term DWR Charges.</w:t>
      </w:r>
    </w:p>
    <w:p>
      <w:pPr>
        <w:spacing w:after="0" w:line="130"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2.5.</w:t>
      </w:r>
      <w:r>
        <w:rPr>
          <w:sz w:val="20"/>
          <w:szCs w:val="20"/>
          <w:color w:val="auto"/>
        </w:rPr>
        <w:tab/>
      </w:r>
      <w:r>
        <w:rPr>
          <w:rFonts w:ascii="Arial" w:cs="Arial" w:eastAsia="Arial" w:hAnsi="Arial"/>
          <w:sz w:val="14"/>
          <w:szCs w:val="14"/>
          <w:b w:val="1"/>
          <w:bCs w:val="1"/>
          <w:color w:val="auto"/>
        </w:rPr>
        <w:t>Format of Utility Bills.</w:t>
      </w:r>
    </w:p>
    <w:p>
      <w:pPr>
        <w:spacing w:after="0" w:line="160" w:lineRule="exact"/>
        <w:rPr>
          <w:sz w:val="20"/>
          <w:szCs w:val="20"/>
          <w:color w:val="auto"/>
        </w:rPr>
      </w:pPr>
    </w:p>
    <w:p>
      <w:pPr>
        <w:jc w:val="both"/>
        <w:ind w:left="500"/>
        <w:spacing w:after="0" w:line="237" w:lineRule="auto"/>
        <w:rPr>
          <w:sz w:val="20"/>
          <w:szCs w:val="20"/>
          <w:color w:val="auto"/>
        </w:rPr>
      </w:pPr>
      <w:r>
        <w:rPr>
          <w:rFonts w:ascii="Arial" w:cs="Arial" w:eastAsia="Arial" w:hAnsi="Arial"/>
          <w:sz w:val="17"/>
          <w:szCs w:val="17"/>
          <w:color w:val="auto"/>
        </w:rPr>
        <w:t>Utility shall conform to such requirements in respect of the format, structure and text of Utility Bills as Applicable Law and Applicable Tariffs shall from time to time prescribe. Utility shall, subject to the requirements of Sections 1 and 2 of this Service Attachment 1, determine the format and text of Utility Bills in accordance with its reasonable business judgment, and its policies and practices with respect to its own charges.</w:t>
      </w:r>
    </w:p>
    <w:p>
      <w:pPr>
        <w:spacing w:after="0" w:line="130"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2.6.</w:t>
      </w:r>
      <w:r>
        <w:rPr>
          <w:sz w:val="20"/>
          <w:szCs w:val="20"/>
          <w:color w:val="auto"/>
        </w:rPr>
        <w:tab/>
      </w:r>
      <w:r>
        <w:rPr>
          <w:rFonts w:ascii="Arial" w:cs="Arial" w:eastAsia="Arial" w:hAnsi="Arial"/>
          <w:sz w:val="14"/>
          <w:szCs w:val="14"/>
          <w:b w:val="1"/>
          <w:bCs w:val="1"/>
          <w:color w:val="auto"/>
        </w:rPr>
        <w:t>Customer Notices.</w:t>
      </w:r>
    </w:p>
    <w:p>
      <w:pPr>
        <w:spacing w:after="0" w:line="160" w:lineRule="exact"/>
        <w:rPr>
          <w:sz w:val="20"/>
          <w:szCs w:val="20"/>
          <w:color w:val="auto"/>
        </w:rPr>
      </w:pPr>
    </w:p>
    <w:p>
      <w:pPr>
        <w:jc w:val="both"/>
        <w:ind w:left="500" w:hanging="1"/>
        <w:spacing w:after="0" w:line="234" w:lineRule="auto"/>
        <w:tabs>
          <w:tab w:leader="none" w:pos="996"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If DWR Charges are revised at any time, Utility shall, to the extent and in the manner and timeframe required by Applicable Law, provide Customers subject to Utility Billing Services with notice announcing such revised DWR Charges. Such notice shall, as appropriate, include publication, inserts to or in the text of the bills or on the reverse side of bills delivered to such Customers, and/or such other means as Utility may from time to time use to communicate with its Customers subject to Utility Billing Services. The format of any such notice shall be determined by the mutual agreement of the Parties, subject to approval by the Commission’s public advisor.</w:t>
      </w:r>
    </w:p>
    <w:p>
      <w:pPr>
        <w:spacing w:after="0" w:line="132" w:lineRule="exact"/>
        <w:rPr>
          <w:rFonts w:ascii="Arial" w:cs="Arial" w:eastAsia="Arial" w:hAnsi="Arial"/>
          <w:sz w:val="17"/>
          <w:szCs w:val="17"/>
          <w:color w:val="auto"/>
        </w:rPr>
      </w:pPr>
    </w:p>
    <w:p>
      <w:pPr>
        <w:jc w:val="both"/>
        <w:ind w:left="500" w:hanging="1"/>
        <w:spacing w:after="0" w:line="295" w:lineRule="auto"/>
        <w:tabs>
          <w:tab w:leader="none" w:pos="996" w:val="left"/>
        </w:tabs>
        <w:numPr>
          <w:ilvl w:val="0"/>
          <w:numId w:val="146"/>
        </w:numPr>
        <w:rPr>
          <w:rFonts w:ascii="Arial" w:cs="Arial" w:eastAsia="Arial" w:hAnsi="Arial"/>
          <w:sz w:val="14"/>
          <w:szCs w:val="14"/>
          <w:color w:val="auto"/>
        </w:rPr>
      </w:pPr>
      <w:r>
        <w:rPr>
          <w:rFonts w:ascii="Arial" w:cs="Arial" w:eastAsia="Arial" w:hAnsi="Arial"/>
          <w:sz w:val="14"/>
          <w:szCs w:val="14"/>
          <w:color w:val="auto"/>
        </w:rPr>
        <w:t>In addition, at least once each year, to the extent permitted by Applicable Law, Utility shall cause to be prepared and delivered to Customers subject to Utility Billing Services a notice stating, in effect, that DWR Power and DWR Charges, including such CRS components of DWR Charges, are owned by DWR and not the Utility, in the case where Utility Bills are presented. Such notice shall be included, in a manner and format to be agreed upon by the Parties, subject to approval by the Commission’s public advisor, either as an insert to or in the text of the bills or on the reverse side of bills delivered to such Customers subject to Utility Billing Services or shall be delivered to such Customers by electronic means or such other means as Utility may from time to time use to communicate with such Customers.</w:t>
      </w:r>
    </w:p>
    <w:p>
      <w:pPr>
        <w:spacing w:after="0" w:line="95" w:lineRule="exact"/>
        <w:rPr>
          <w:rFonts w:ascii="Arial" w:cs="Arial" w:eastAsia="Arial" w:hAnsi="Arial"/>
          <w:sz w:val="14"/>
          <w:szCs w:val="14"/>
          <w:color w:val="auto"/>
        </w:rPr>
      </w:pPr>
    </w:p>
    <w:p>
      <w:pPr>
        <w:jc w:val="both"/>
        <w:ind w:left="500" w:hanging="1"/>
        <w:spacing w:after="0" w:line="235" w:lineRule="auto"/>
        <w:tabs>
          <w:tab w:leader="none" w:pos="996"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To the extent that any DWR Charges are collected through Non-Utility Bills, Utility shall notify the Non-Utility as to any notices and provide inserts or the text of such notices to be sent to Customers. At least once each year, such notice to be sent by a Non-Utility shall consist of the notice described in Section 2.6(b) above, stating, in effect, that DWR Power and DWR Charges, including such CRS components of DWR Charges, are owned by DWR and not the Non-Utility performing the billing and collection services.</w:t>
      </w:r>
    </w:p>
    <w:p>
      <w:pPr>
        <w:spacing w:after="0" w:line="140"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2.7.</w:t>
      </w:r>
      <w:r>
        <w:rPr>
          <w:sz w:val="20"/>
          <w:szCs w:val="20"/>
          <w:color w:val="auto"/>
        </w:rPr>
        <w:tab/>
      </w:r>
      <w:r>
        <w:rPr>
          <w:rFonts w:ascii="Arial" w:cs="Arial" w:eastAsia="Arial" w:hAnsi="Arial"/>
          <w:sz w:val="14"/>
          <w:szCs w:val="14"/>
          <w:b w:val="1"/>
          <w:bCs w:val="1"/>
          <w:color w:val="auto"/>
        </w:rPr>
        <w:t>Delivery.</w:t>
      </w:r>
    </w:p>
    <w:p>
      <w:pPr>
        <w:spacing w:after="0" w:line="160" w:lineRule="exact"/>
        <w:rPr>
          <w:sz w:val="20"/>
          <w:szCs w:val="20"/>
          <w:color w:val="auto"/>
        </w:rPr>
      </w:pPr>
    </w:p>
    <w:p>
      <w:pPr>
        <w:jc w:val="both"/>
        <w:ind w:left="500"/>
        <w:spacing w:after="0" w:line="301" w:lineRule="auto"/>
        <w:rPr>
          <w:sz w:val="20"/>
          <w:szCs w:val="20"/>
          <w:color w:val="auto"/>
        </w:rPr>
      </w:pPr>
      <w:r>
        <w:rPr>
          <w:rFonts w:ascii="Arial" w:cs="Arial" w:eastAsia="Arial" w:hAnsi="Arial"/>
          <w:sz w:val="14"/>
          <w:szCs w:val="14"/>
          <w:color w:val="auto"/>
        </w:rPr>
        <w:t>Utility shall deliver or cause to be delivered all Utility Bills (i) by United States Mail in such class or classes as are consistent with policies and practices followed by Utility with respect to its own charges or (ii) by any other means, whether electronic or otherwise, that Utility may from time to time use to present its own charges to Customers. In the case of Utility Billing Service, Utility shall pay from its own funds all costs of issuance and delivery of Utility Bills, including but not limited to printing and postage costs as the same may increase or decrease from time to time, except to the extent that the presentation of DWR Charges and any associated bill</w:t>
      </w:r>
    </w:p>
    <w:p>
      <w:pPr>
        <w:sectPr>
          <w:pgSz w:w="11900" w:h="16838" w:orient="portrait"/>
          <w:cols w:equalWidth="0" w:num="1">
            <w:col w:w="11460"/>
          </w:cols>
          <w:pgMar w:left="220" w:top="491" w:right="219" w:bottom="0" w:gutter="0" w:footer="0" w:header="0"/>
        </w:sectPr>
      </w:pPr>
    </w:p>
    <w:bookmarkStart w:id="119" w:name="page120"/>
    <w:bookmarkEnd w:id="119"/>
    <w:p>
      <w:pPr>
        <w:jc w:val="both"/>
        <w:ind w:left="500"/>
        <w:spacing w:after="0" w:line="258" w:lineRule="auto"/>
        <w:rPr>
          <w:sz w:val="20"/>
          <w:szCs w:val="20"/>
          <w:color w:val="auto"/>
        </w:rPr>
      </w:pPr>
      <w:r>
        <w:rPr>
          <w:rFonts w:ascii="Arial" w:cs="Arial" w:eastAsia="Arial" w:hAnsi="Arial"/>
          <w:sz w:val="16"/>
          <w:szCs w:val="16"/>
          <w:color w:val="auto"/>
        </w:rPr>
        <w:t>messages or notices (including, without limitation, bill inserts and published notices) materially increase the costs in which case such increase in costs shall be borne solely by DWR. To the extent practicable, Utility agrees to give DWR seven calendar days prior written notice of any such additional costs. Any such increased costs shall be invoiced to DWR as Additional Charges and shall be subject to the provisions of Section 7 of the Servicing Order.</w:t>
      </w:r>
    </w:p>
    <w:p>
      <w:pPr>
        <w:spacing w:after="0" w:line="115"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4"/>
          <w:szCs w:val="14"/>
          <w:b w:val="1"/>
          <w:bCs w:val="1"/>
          <w:color w:val="auto"/>
        </w:rPr>
        <w:t>Customer Payments.</w:t>
      </w:r>
    </w:p>
    <w:p>
      <w:pPr>
        <w:spacing w:after="0" w:line="160" w:lineRule="exact"/>
        <w:rPr>
          <w:sz w:val="20"/>
          <w:szCs w:val="20"/>
          <w:color w:val="auto"/>
        </w:rPr>
      </w:pPr>
    </w:p>
    <w:p>
      <w:pPr>
        <w:jc w:val="both"/>
        <w:ind w:left="500"/>
        <w:spacing w:after="0" w:line="259" w:lineRule="auto"/>
        <w:rPr>
          <w:sz w:val="20"/>
          <w:szCs w:val="20"/>
          <w:color w:val="auto"/>
        </w:rPr>
      </w:pPr>
      <w:r>
        <w:rPr>
          <w:rFonts w:ascii="Arial" w:cs="Arial" w:eastAsia="Arial" w:hAnsi="Arial"/>
          <w:sz w:val="16"/>
          <w:szCs w:val="16"/>
          <w:color w:val="auto"/>
        </w:rPr>
        <w:t>Utility shall permit Customers receiving Utility Bills to pay DWR Charges through any of the payment options then offered by Utility to such Customers for payment of Utility Charges appearing on the Utility Bill. Utility shall not permit Customers to direct how partial payments of balances due on Utility Bills will be applied. Utility will credit all payments received from a Customer as set forth in Attachment B hereto and Appendices thereto.</w:t>
      </w:r>
    </w:p>
    <w:p>
      <w:pPr>
        <w:spacing w:after="0" w:line="124"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4"/>
          <w:szCs w:val="14"/>
          <w:b w:val="1"/>
          <w:bCs w:val="1"/>
          <w:color w:val="auto"/>
        </w:rPr>
        <w:t>Collection and Nonpayment.</w:t>
      </w:r>
    </w:p>
    <w:p>
      <w:pPr>
        <w:spacing w:after="0" w:line="146"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4.1.</w:t>
      </w:r>
      <w:r>
        <w:rPr>
          <w:sz w:val="20"/>
          <w:szCs w:val="20"/>
          <w:color w:val="auto"/>
        </w:rPr>
        <w:tab/>
      </w:r>
      <w:r>
        <w:rPr>
          <w:rFonts w:ascii="Arial" w:cs="Arial" w:eastAsia="Arial" w:hAnsi="Arial"/>
          <w:sz w:val="14"/>
          <w:szCs w:val="14"/>
          <w:b w:val="1"/>
          <w:bCs w:val="1"/>
          <w:color w:val="auto"/>
        </w:rPr>
        <w:t>Collection of DWR Charges.</w:t>
      </w:r>
    </w:p>
    <w:p>
      <w:pPr>
        <w:spacing w:after="0" w:line="160" w:lineRule="exact"/>
        <w:rPr>
          <w:sz w:val="20"/>
          <w:szCs w:val="20"/>
          <w:color w:val="auto"/>
        </w:rPr>
      </w:pPr>
    </w:p>
    <w:p>
      <w:pPr>
        <w:jc w:val="both"/>
        <w:ind w:left="500"/>
        <w:spacing w:after="0" w:line="235" w:lineRule="auto"/>
        <w:rPr>
          <w:sz w:val="20"/>
          <w:szCs w:val="20"/>
          <w:color w:val="auto"/>
        </w:rPr>
      </w:pPr>
      <w:r>
        <w:rPr>
          <w:rFonts w:ascii="Arial" w:cs="Arial" w:eastAsia="Arial" w:hAnsi="Arial"/>
          <w:sz w:val="17"/>
          <w:szCs w:val="17"/>
          <w:color w:val="auto"/>
        </w:rPr>
        <w:t>Utility will collect or cause to be collected DWR Charges in accordance with its standard practices, and will notify Customers subject to Utility Bills of amounts overdue for DWR Charges in accordance with such practices. Such collection practices shall conform to all requirements of Applicable Law and Applicable Tariffs. Utility will post all payments for DWR Charges as promptly as practicable, including all payments received from any Non-Utility which are components of DWR Charges, but in no case less promptly than Utility posts payments for Utility Charges.</w:t>
      </w:r>
    </w:p>
    <w:p>
      <w:pPr>
        <w:spacing w:after="0" w:line="130"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b w:val="1"/>
          <w:bCs w:val="1"/>
          <w:color w:val="auto"/>
        </w:rPr>
        <w:t>4.2.</w:t>
      </w:r>
      <w:r>
        <w:rPr>
          <w:sz w:val="20"/>
          <w:szCs w:val="20"/>
          <w:color w:val="auto"/>
        </w:rPr>
        <w:tab/>
      </w:r>
      <w:r>
        <w:rPr>
          <w:rFonts w:ascii="Arial" w:cs="Arial" w:eastAsia="Arial" w:hAnsi="Arial"/>
          <w:sz w:val="14"/>
          <w:szCs w:val="14"/>
          <w:b w:val="1"/>
          <w:bCs w:val="1"/>
          <w:color w:val="auto"/>
        </w:rPr>
        <w:t>Termination of Customer’s Electrical Service.</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Utility shall adhere to and carry out disconnection policies in accordance with Applicable Law.</w:t>
      </w:r>
    </w:p>
    <w:p>
      <w:pPr>
        <w:spacing w:after="0" w:line="152"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Section 5.</w:t>
      </w:r>
      <w:r>
        <w:rPr>
          <w:sz w:val="20"/>
          <w:szCs w:val="20"/>
          <w:color w:val="auto"/>
        </w:rPr>
        <w:tab/>
      </w:r>
      <w:r>
        <w:rPr>
          <w:rFonts w:ascii="Arial" w:cs="Arial" w:eastAsia="Arial" w:hAnsi="Arial"/>
          <w:sz w:val="14"/>
          <w:szCs w:val="14"/>
          <w:b w:val="1"/>
          <w:bCs w:val="1"/>
          <w:color w:val="auto"/>
        </w:rPr>
        <w:t>Taxes and Fees Service.</w:t>
      </w:r>
    </w:p>
    <w:p>
      <w:pPr>
        <w:spacing w:after="0" w:line="160" w:lineRule="exact"/>
        <w:rPr>
          <w:sz w:val="20"/>
          <w:szCs w:val="20"/>
          <w:color w:val="auto"/>
        </w:rPr>
      </w:pPr>
    </w:p>
    <w:p>
      <w:pPr>
        <w:jc w:val="both"/>
        <w:ind w:left="500"/>
        <w:spacing w:after="0" w:line="245" w:lineRule="auto"/>
        <w:rPr>
          <w:sz w:val="20"/>
          <w:szCs w:val="20"/>
          <w:color w:val="auto"/>
        </w:rPr>
      </w:pPr>
      <w:r>
        <w:rPr>
          <w:rFonts w:ascii="Arial" w:cs="Arial" w:eastAsia="Arial" w:hAnsi="Arial"/>
          <w:sz w:val="17"/>
          <w:szCs w:val="17"/>
          <w:color w:val="auto"/>
        </w:rPr>
        <w:t>Subject to Section 7.3, Utility will calculate and collect through Utility Bills or Non-Utility Bills and remit to the various authorities the taxes and fees assessed to Customers on DWR Charges.</w:t>
      </w:r>
    </w:p>
    <w:p>
      <w:pPr>
        <w:spacing w:after="0" w:line="124"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Section 6.</w:t>
      </w:r>
      <w:r>
        <w:rPr>
          <w:sz w:val="20"/>
          <w:szCs w:val="20"/>
          <w:color w:val="auto"/>
        </w:rPr>
        <w:tab/>
      </w:r>
      <w:r>
        <w:rPr>
          <w:rFonts w:ascii="Arial" w:cs="Arial" w:eastAsia="Arial" w:hAnsi="Arial"/>
          <w:sz w:val="14"/>
          <w:szCs w:val="14"/>
          <w:b w:val="1"/>
          <w:bCs w:val="1"/>
          <w:color w:val="auto"/>
        </w:rPr>
        <w:t>Late Payments.</w:t>
      </w:r>
    </w:p>
    <w:p>
      <w:pPr>
        <w:spacing w:after="0" w:line="160" w:lineRule="exact"/>
        <w:rPr>
          <w:sz w:val="20"/>
          <w:szCs w:val="20"/>
          <w:color w:val="auto"/>
        </w:rPr>
      </w:pPr>
    </w:p>
    <w:p>
      <w:pPr>
        <w:jc w:val="both"/>
        <w:ind w:left="500"/>
        <w:spacing w:after="0" w:line="235" w:lineRule="auto"/>
        <w:rPr>
          <w:sz w:val="20"/>
          <w:szCs w:val="20"/>
          <w:color w:val="auto"/>
        </w:rPr>
      </w:pPr>
      <w:r>
        <w:rPr>
          <w:rFonts w:ascii="Arial" w:cs="Arial" w:eastAsia="Arial" w:hAnsi="Arial"/>
          <w:sz w:val="17"/>
          <w:szCs w:val="17"/>
          <w:color w:val="auto"/>
        </w:rPr>
        <w:t>In the event that Utility receives late payment interest charges from a Customer subject to Utility Billing Service, such payment shall be allocated to DWR based upon the same proportion that DWR Charges bear to the total Utility Charges on the Utility Bill. Other than the third-party fees or costs set forth in Section C3 of Attachment B hereto, Utility shall not allocate to DWR any other additional late payment service charges or collection fees (including but not limited to disconnection or reconnection services or similar charges related to Customer defaults).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 1-</w:t>
      </w:r>
    </w:p>
    <w:p>
      <w:pPr>
        <w:sectPr>
          <w:pgSz w:w="11900" w:h="16838" w:orient="portrait"/>
          <w:cols w:equalWidth="0" w:num="1">
            <w:col w:w="11460"/>
          </w:cols>
          <w:pgMar w:left="220" w:top="124" w:right="21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7"/>
          <w:szCs w:val="17"/>
          <w:b w:val="1"/>
          <w:bCs w:val="1"/>
          <w:color w:val="auto"/>
        </w:rPr>
        <w:t>SERVICE ATTACHMENT 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SAN DIEGO GAS &amp; ELECTRIC COMPANY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DWR SURPLUS ENERGY SALES REVENUES REMITTANCE</w:t>
      </w:r>
    </w:p>
    <w:p>
      <w:pPr>
        <w:spacing w:after="0" w:line="160" w:lineRule="exact"/>
        <w:rPr>
          <w:sz w:val="20"/>
          <w:szCs w:val="20"/>
          <w:color w:val="auto"/>
        </w:rPr>
      </w:pPr>
    </w:p>
    <w:p>
      <w:pPr>
        <w:jc w:val="both"/>
        <w:ind w:firstLine="496"/>
        <w:spacing w:after="0" w:line="249" w:lineRule="auto"/>
        <w:rPr>
          <w:sz w:val="20"/>
          <w:szCs w:val="20"/>
          <w:color w:val="auto"/>
        </w:rPr>
      </w:pPr>
      <w:r>
        <w:rPr>
          <w:rFonts w:ascii="Arial" w:cs="Arial" w:eastAsia="Arial" w:hAnsi="Arial"/>
          <w:sz w:val="16"/>
          <w:szCs w:val="16"/>
          <w:color w:val="auto"/>
        </w:rPr>
        <w:t>Consistent with the principles set forth in Exhibits C and D of the Operating Order (as such Exhibits may be amended or supplemented on or after the Effective Date of the 2007 Servicing Order), prior to the MRTU Effective Date Utility shall determine and remit DWR Surplus Energy Sales Revenues, consisting of a Preliminary Monthly Surplus Energy Sales Remittance Amount and a Delivery Month Surplus Energy Sales True-up Amount with respect to each Delivery Month, all as further provided in this Service Attachment 2. Each “Delivery Month” consists of all days prior to the MRTU Effective Date within a calendar month of the Term, including the calendar month of the date immediately preceding the MRTU Effective Date. Any capitalized term used but not defined in this Service Attachment 2 shall have the meanings provided in Exhibit C of the Operating Order or this Servicing Order.</w:t>
      </w:r>
    </w:p>
    <w:p>
      <w:pPr>
        <w:spacing w:after="0" w:line="126" w:lineRule="exact"/>
        <w:rPr>
          <w:sz w:val="20"/>
          <w:szCs w:val="20"/>
          <w:color w:val="auto"/>
        </w:rPr>
      </w:pPr>
    </w:p>
    <w:p>
      <w:pPr>
        <w:ind w:left="1000" w:hanging="501"/>
        <w:spacing w:after="0"/>
        <w:tabs>
          <w:tab w:leader="none" w:pos="1000"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156" w:lineRule="exact"/>
        <w:rPr>
          <w:sz w:val="20"/>
          <w:szCs w:val="20"/>
          <w:color w:val="auto"/>
        </w:rPr>
      </w:pPr>
    </w:p>
    <w:p>
      <w:pPr>
        <w:jc w:val="both"/>
        <w:ind w:firstLine="496"/>
        <w:spacing w:after="0" w:line="30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Preliminary Hourly DWR Surplus Energy Sales Amount</w:t>
      </w:r>
      <w:r>
        <w:rPr>
          <w:rFonts w:ascii="Arial" w:cs="Arial" w:eastAsia="Arial" w:hAnsi="Arial"/>
          <w:sz w:val="14"/>
          <w:szCs w:val="14"/>
          <w:color w:val="auto"/>
        </w:rPr>
        <w:t>” is the product of (i) the Preliminary Hourly DWR Surplus Energy Percentage multiplied by (ii) the hourly Surplus Energy Sales Revenues resulting from Forward Market Sales determined in accordance with the principles in Exhibit C of the Operating Order. The Preliminary Hourly DWR Surplus Energy Percentage is the DWR Surplus Energy Percentage determined in accordance with the principles in Exhibit C of the Operating Order using the most up-to-date scheduled DWR Supply and Utility Supply information available to Utility and a reasonable estimate of ISO Uninstructed Energy.</w:t>
      </w:r>
    </w:p>
    <w:p>
      <w:pPr>
        <w:spacing w:after="0" w:line="102" w:lineRule="exact"/>
        <w:rPr>
          <w:sz w:val="20"/>
          <w:szCs w:val="20"/>
          <w:color w:val="auto"/>
        </w:rPr>
      </w:pPr>
    </w:p>
    <w:p>
      <w:pPr>
        <w:jc w:val="both"/>
        <w:ind w:firstLine="496"/>
        <w:spacing w:after="0" w:line="24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Final Hourly DWR Surplus Energy Sales Amount</w:t>
      </w:r>
      <w:r>
        <w:rPr>
          <w:rFonts w:ascii="Arial" w:cs="Arial" w:eastAsia="Arial" w:hAnsi="Arial"/>
          <w:sz w:val="17"/>
          <w:szCs w:val="17"/>
          <w:color w:val="auto"/>
        </w:rPr>
        <w:t>” is DWR’s share of the hourly Surplus Energy Sales Revenues resulting from the Forward Market Sales and the ISO Real-Time Market Sales determined in accordance with the principles in Exhibits C and D of the Operating Order.</w:t>
      </w:r>
    </w:p>
    <w:p>
      <w:pPr>
        <w:spacing w:after="0" w:line="138" w:lineRule="exact"/>
        <w:rPr>
          <w:sz w:val="20"/>
          <w:szCs w:val="20"/>
          <w:color w:val="auto"/>
        </w:rPr>
      </w:pPr>
    </w:p>
    <w:p>
      <w:pPr>
        <w:jc w:val="both"/>
        <w:ind w:firstLine="499"/>
        <w:spacing w:after="0" w:line="271" w:lineRule="auto"/>
        <w:tabs>
          <w:tab w:leader="none" w:pos="992" w:val="left"/>
        </w:tabs>
        <w:numPr>
          <w:ilvl w:val="0"/>
          <w:numId w:val="148"/>
        </w:numPr>
        <w:rPr>
          <w:rFonts w:ascii="Arial" w:cs="Arial" w:eastAsia="Arial" w:hAnsi="Arial"/>
          <w:sz w:val="15"/>
          <w:szCs w:val="15"/>
          <w:color w:val="auto"/>
        </w:rPr>
      </w:pPr>
      <w:r>
        <w:rPr>
          <w:rFonts w:ascii="Arial" w:cs="Arial" w:eastAsia="Arial" w:hAnsi="Arial"/>
          <w:sz w:val="15"/>
          <w:szCs w:val="15"/>
          <w:u w:val="single" w:color="auto"/>
          <w:color w:val="auto"/>
        </w:rPr>
        <w:t>Preliminary Monthly Surplus Energy Sales Remittance Amount</w:t>
      </w:r>
      <w:r>
        <w:rPr>
          <w:rFonts w:ascii="Arial" w:cs="Arial" w:eastAsia="Arial" w:hAnsi="Arial"/>
          <w:sz w:val="15"/>
          <w:szCs w:val="15"/>
          <w:color w:val="auto"/>
        </w:rPr>
        <w:t>. By the 23</w:t>
      </w:r>
      <w:r>
        <w:rPr>
          <w:rFonts w:ascii="Arial" w:cs="Arial" w:eastAsia="Arial" w:hAnsi="Arial"/>
          <w:sz w:val="9"/>
          <w:szCs w:val="9"/>
          <w:color w:val="auto"/>
        </w:rPr>
        <w:t>rd</w:t>
      </w:r>
      <w:r>
        <w:rPr>
          <w:rFonts w:ascii="Arial" w:cs="Arial" w:eastAsia="Arial" w:hAnsi="Arial"/>
          <w:sz w:val="15"/>
          <w:szCs w:val="15"/>
          <w:color w:val="auto"/>
        </w:rPr>
        <w:t xml:space="preserve"> day of the month, or if such date is not a Utility Business Day then the immediately succeeding Utility Business Day, during the Term (each, a “Monthly Settlement Date”), Utility shall calculate and notify DWR in writing as to the “Preliminary Monthly Surplus Energy Sales Remittance Amount,” which is the aggregation of all Preliminary Hourly DWR Surplus Energy Sales Amounts within the subject Delivery Month. By the Monthly Settlement Date, the calculation of the Preliminary Monthly Surplus Energy Sales Remittance Amount shall be presented to DWR in the Preliminary Surplus Energy Sales Calculation Summary Report substantially in the form set forth in Section 2B of Attachment C to this Servicing Order.</w:t>
      </w:r>
    </w:p>
    <w:p>
      <w:pPr>
        <w:spacing w:after="0" w:line="122" w:lineRule="exact"/>
        <w:rPr>
          <w:sz w:val="20"/>
          <w:szCs w:val="20"/>
          <w:color w:val="auto"/>
        </w:rPr>
      </w:pPr>
    </w:p>
    <w:p>
      <w:pPr>
        <w:jc w:val="both"/>
        <w:ind w:firstLine="496"/>
        <w:spacing w:after="0" w:line="235" w:lineRule="auto"/>
        <w:rPr>
          <w:sz w:val="20"/>
          <w:szCs w:val="20"/>
          <w:color w:val="auto"/>
        </w:rPr>
      </w:pPr>
      <w:r>
        <w:rPr>
          <w:rFonts w:ascii="Arial" w:cs="Arial" w:eastAsia="Arial" w:hAnsi="Arial"/>
          <w:sz w:val="17"/>
          <w:szCs w:val="17"/>
          <w:color w:val="auto"/>
        </w:rPr>
        <w:t>By the second Utility Business Day following each Monthly Settlement Date, Utility shall remit to DWR the Preliminary Monthly Surplus Energy Sales Remittance Amount to the extent that Utility received such revenues as of the Monthly Settlement Date. The remittance of the Preliminary Monthly Surplus Energy Sales Remittance Amount shall be accompanied by an entry in the Surplus Energy Sales Payment Report, substantially in the form set forth in Section 2A of Attachment C to this Servicing Order.</w:t>
      </w:r>
    </w:p>
    <w:p>
      <w:pPr>
        <w:spacing w:after="0" w:line="134" w:lineRule="exact"/>
        <w:rPr>
          <w:sz w:val="20"/>
          <w:szCs w:val="20"/>
          <w:color w:val="auto"/>
        </w:rPr>
      </w:pPr>
    </w:p>
    <w:p>
      <w:pPr>
        <w:jc w:val="both"/>
        <w:ind w:firstLine="499"/>
        <w:spacing w:after="0" w:line="287" w:lineRule="auto"/>
        <w:tabs>
          <w:tab w:leader="none" w:pos="992" w:val="left"/>
        </w:tabs>
        <w:numPr>
          <w:ilvl w:val="0"/>
          <w:numId w:val="149"/>
        </w:numPr>
        <w:rPr>
          <w:rFonts w:ascii="Arial" w:cs="Arial" w:eastAsia="Arial" w:hAnsi="Arial"/>
          <w:sz w:val="14"/>
          <w:szCs w:val="14"/>
          <w:color w:val="auto"/>
        </w:rPr>
      </w:pPr>
      <w:r>
        <w:rPr>
          <w:rFonts w:ascii="Arial" w:cs="Arial" w:eastAsia="Arial" w:hAnsi="Arial"/>
          <w:sz w:val="14"/>
          <w:szCs w:val="14"/>
          <w:u w:val="single" w:color="auto"/>
          <w:color w:val="auto"/>
        </w:rPr>
        <w:t>Final Monthly Surplus Energy Sales Remittance Amount</w:t>
      </w:r>
      <w:r>
        <w:rPr>
          <w:rFonts w:ascii="Arial" w:cs="Arial" w:eastAsia="Arial" w:hAnsi="Arial"/>
          <w:sz w:val="14"/>
          <w:szCs w:val="14"/>
          <w:color w:val="auto"/>
        </w:rPr>
        <w:t>. By the Monthly Settlement Date, Utility shall also calculate the “Final Monthly Surplus Energy Sales Remittance Amount,” which is the aggregation of all Final Hourly DWR Surplus Energy Sales Amounts with respect to a Delivery Month that is the same calendar month as the ISO trade month for which the ISO Final Market Invoice is due before the Monthly Settlement Date, as well as any Additional Adjustments contemplated in Section 6 of this Service Attachment 2. The ISO Final Market Invoice due dates are specified in the ISO annual payment calendar. By the Monthly Settlement Date, Utility shall (a) present the calculation of the Final Monthly Surplus Energy Sales Remittance Amount to DWR in the Final Surplus Energy Sales Calculation Summary Report substantially in the form set forth in Section 2C of Attachment C to this Servicing Order and (b) submit to DWR the Real Time Surplus Energy Sales Calculation Supporting Workbook substantially in the form set forth in Section 2D of Attachment C to this Servicing Order. Utility will also provide to DWR the Real Time Surplus Energy Sales Calculation Resource Location ID Master List in accordance to the timeline and substantially in the form set forth in Section 2E of Attachment C to this Servicing Order.</w:t>
      </w:r>
    </w:p>
    <w:p>
      <w:pPr>
        <w:spacing w:after="0" w:line="103" w:lineRule="exact"/>
        <w:rPr>
          <w:rFonts w:ascii="Arial" w:cs="Arial" w:eastAsia="Arial" w:hAnsi="Arial"/>
          <w:sz w:val="14"/>
          <w:szCs w:val="14"/>
          <w:color w:val="auto"/>
        </w:rPr>
      </w:pPr>
    </w:p>
    <w:p>
      <w:pPr>
        <w:jc w:val="both"/>
        <w:ind w:firstLine="499"/>
        <w:spacing w:after="0" w:line="246" w:lineRule="auto"/>
        <w:tabs>
          <w:tab w:leader="none" w:pos="992"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Delivery Month Surplus Energy Sales True-up Amount</w:t>
      </w:r>
      <w:r>
        <w:rPr>
          <w:rFonts w:ascii="Arial" w:cs="Arial" w:eastAsia="Arial" w:hAnsi="Arial"/>
          <w:sz w:val="16"/>
          <w:szCs w:val="16"/>
          <w:color w:val="auto"/>
        </w:rPr>
        <w:t>. By each Monthly Settlement Date, Utility will subtract the Preliminary Monthly Surplus Energy Sales Remittance Amount previously remitted to DWR for the subject Delivery Month from the Final Monthly Surplus Energy Sales Remittance Amount as set forth in Section 3 of this Service Attachment 2 to determine the “Delivery Month Surplus Energy Sales True-up Amount” and present such calculation as appropriate entries in the Final Surplus Energy Sales Calculation Summary Report as specified in Section 2C of Attachment C to this Servicing Order. By the second Utility Business Day following the Monthly Settlement Date of each month, Utility shall remit such Delivery Month Surplus Energy Sales True-up Amount to DWR if the amount is positive, to the extent that Utility received such revenues as of the Monthly Settlement Date. If the Delivery Month Surplus Energy Sales True-up Amount is negative, this negative True-up Amount may be used to offset the prospective Preliminary Monthly Surplus Energy Sales Remittance Amount and, if the negative True-up Amount exceeds the prospective Preliminary Monthly Surplus Energy Sales Remittance Amount, the Utility and DWR shall confer concerning the offset of the excess amount. Any remittances or request for DWR payment to be prepared under this Section 4 shall be accompanied by an appropriate entry in the Surplus Energy Sales Payment Report as specified in Section 2A of Attachment C to this Servicing Order.</w:t>
      </w:r>
    </w:p>
    <w:p>
      <w:pPr>
        <w:spacing w:after="0" w:line="140" w:lineRule="exact"/>
        <w:rPr>
          <w:rFonts w:ascii="Arial" w:cs="Arial" w:eastAsia="Arial" w:hAnsi="Arial"/>
          <w:sz w:val="16"/>
          <w:szCs w:val="16"/>
          <w:color w:val="auto"/>
        </w:rPr>
      </w:pPr>
    </w:p>
    <w:p>
      <w:pPr>
        <w:jc w:val="both"/>
        <w:ind w:firstLine="499"/>
        <w:spacing w:after="0" w:line="295" w:lineRule="auto"/>
        <w:tabs>
          <w:tab w:leader="none" w:pos="992" w:val="left"/>
        </w:tabs>
        <w:numPr>
          <w:ilvl w:val="0"/>
          <w:numId w:val="149"/>
        </w:numPr>
        <w:rPr>
          <w:rFonts w:ascii="Arial" w:cs="Arial" w:eastAsia="Arial" w:hAnsi="Arial"/>
          <w:sz w:val="14"/>
          <w:szCs w:val="14"/>
          <w:color w:val="auto"/>
        </w:rPr>
      </w:pPr>
      <w:r>
        <w:rPr>
          <w:rFonts w:ascii="Arial" w:cs="Arial" w:eastAsia="Arial" w:hAnsi="Arial"/>
          <w:sz w:val="14"/>
          <w:szCs w:val="14"/>
          <w:u w:val="single" w:color="auto"/>
          <w:color w:val="auto"/>
        </w:rPr>
        <w:t>Adjustments and True-ups</w:t>
      </w:r>
      <w:r>
        <w:rPr>
          <w:rFonts w:ascii="Arial" w:cs="Arial" w:eastAsia="Arial" w:hAnsi="Arial"/>
          <w:sz w:val="14"/>
          <w:szCs w:val="14"/>
          <w:color w:val="auto"/>
        </w:rPr>
        <w:t>. If for any period of three consecutive months, the absolute value of the difference between the three-month aggregate Preliminary Monthly Surplus Energy Sales Remittance Amount and the three-month aggregate Final Monthly Surplus Energy Sales Remittance Amount resulting from Forward Market Sales is greater than 10% for such period, the Parties shall negotiate changes to the methodology provided in this Service Attachment 2 so as to reasonably reduce the Forward Market Sales portion of the Delivery Month Surplus Energy Sales True-up Amount for future months. Either Party may, in addition to any other remedies available to the Party, submit the matter to the Commission or other appropriate forum for resolution in the event that the Parties cannot mutually agree to a revised methodology</w:t>
      </w:r>
      <w:r>
        <w:rPr>
          <w:rFonts w:ascii="Arial" w:cs="Arial" w:eastAsia="Arial" w:hAnsi="Arial"/>
          <w:sz w:val="14"/>
          <w:szCs w:val="14"/>
          <w:b w:val="1"/>
          <w:bCs w:val="1"/>
          <w:color w:val="auto"/>
        </w:rPr>
        <w:t>.</w:t>
      </w:r>
    </w:p>
    <w:p>
      <w:pPr>
        <w:spacing w:after="0" w:line="95" w:lineRule="exact"/>
        <w:rPr>
          <w:rFonts w:ascii="Arial" w:cs="Arial" w:eastAsia="Arial" w:hAnsi="Arial"/>
          <w:sz w:val="14"/>
          <w:szCs w:val="14"/>
          <w:color w:val="auto"/>
        </w:rPr>
      </w:pPr>
    </w:p>
    <w:p>
      <w:pPr>
        <w:jc w:val="both"/>
        <w:ind w:firstLine="499"/>
        <w:spacing w:after="0" w:line="295" w:lineRule="auto"/>
        <w:tabs>
          <w:tab w:leader="none" w:pos="992" w:val="left"/>
        </w:tabs>
        <w:numPr>
          <w:ilvl w:val="0"/>
          <w:numId w:val="149"/>
        </w:numPr>
        <w:rPr>
          <w:rFonts w:ascii="Arial" w:cs="Arial" w:eastAsia="Arial" w:hAnsi="Arial"/>
          <w:sz w:val="14"/>
          <w:szCs w:val="14"/>
          <w:color w:val="auto"/>
        </w:rPr>
      </w:pPr>
      <w:r>
        <w:rPr>
          <w:rFonts w:ascii="Arial" w:cs="Arial" w:eastAsia="Arial" w:hAnsi="Arial"/>
          <w:sz w:val="14"/>
          <w:szCs w:val="14"/>
          <w:u w:val="single" w:color="auto"/>
          <w:color w:val="auto"/>
        </w:rPr>
        <w:t>Additional Adjustments.</w:t>
      </w:r>
      <w:r>
        <w:rPr>
          <w:rFonts w:ascii="Arial" w:cs="Arial" w:eastAsia="Arial" w:hAnsi="Arial"/>
          <w:sz w:val="14"/>
          <w:szCs w:val="14"/>
          <w:color w:val="auto"/>
        </w:rPr>
        <w:t xml:space="preserve"> The Final Monthly Surplus Energy Sales Remittance Amount of a month may also reflect any Additional Adjustments to the Surplus Energy Sales Revenue of a month for which a prior Delivery Month Surplus Energy Sales True-up Amount has been remitted. Additional Adjustments shall consist of any Delivery Month Surplus Energy Sales True-up Amount that Utility received after a prior Delivery Month Surplus Energy Sales True-up Amount remittance and those adjustments mutually agreed to by the Parties, adjustments as a result of settled disputes between the Utility and the third-party purchaser of surplus Power or adjustments expressly permitted under the Contract Allocation Order or by Applicable Law or the Operating Order, as may be amended from time to time.</w:t>
      </w:r>
    </w:p>
    <w:p>
      <w:pPr>
        <w:spacing w:after="0" w:line="106" w:lineRule="exact"/>
        <w:rPr>
          <w:sz w:val="20"/>
          <w:szCs w:val="20"/>
          <w:color w:val="auto"/>
        </w:rPr>
      </w:pPr>
    </w:p>
    <w:p>
      <w:pPr>
        <w:ind w:firstLine="496"/>
        <w:spacing w:after="0" w:line="245" w:lineRule="auto"/>
        <w:rPr>
          <w:sz w:val="20"/>
          <w:szCs w:val="20"/>
          <w:color w:val="auto"/>
        </w:rPr>
      </w:pPr>
      <w:r>
        <w:rPr>
          <w:rFonts w:ascii="Arial" w:cs="Arial" w:eastAsia="Arial" w:hAnsi="Arial"/>
          <w:sz w:val="17"/>
          <w:szCs w:val="17"/>
          <w:color w:val="auto"/>
        </w:rPr>
        <w:t>Each Additional Adjustment shall be accompanied by a detailed written report in a form to be mutually acceptable to the receiving Party. As reasonably requested by DWR, Utility shall provide supporting documentation of any Additional Adjustments.</w:t>
      </w:r>
    </w:p>
    <w:p>
      <w:pPr>
        <w:spacing w:after="0" w:line="128" w:lineRule="exact"/>
        <w:rPr>
          <w:sz w:val="20"/>
          <w:szCs w:val="20"/>
          <w:color w:val="auto"/>
        </w:rPr>
      </w:pPr>
    </w:p>
    <w:p>
      <w:pPr>
        <w:jc w:val="both"/>
        <w:ind w:firstLine="499"/>
        <w:spacing w:after="0" w:line="291" w:lineRule="auto"/>
        <w:tabs>
          <w:tab w:leader="none" w:pos="992" w:val="left"/>
        </w:tabs>
        <w:numPr>
          <w:ilvl w:val="0"/>
          <w:numId w:val="150"/>
        </w:numPr>
        <w:rPr>
          <w:rFonts w:ascii="Arial" w:cs="Arial" w:eastAsia="Arial" w:hAnsi="Arial"/>
          <w:sz w:val="14"/>
          <w:szCs w:val="14"/>
          <w:color w:val="auto"/>
        </w:rPr>
      </w:pPr>
      <w:r>
        <w:rPr>
          <w:rFonts w:ascii="Arial" w:cs="Arial" w:eastAsia="Arial" w:hAnsi="Arial"/>
          <w:sz w:val="14"/>
          <w:szCs w:val="14"/>
          <w:u w:val="single" w:color="auto"/>
          <w:color w:val="auto"/>
        </w:rPr>
        <w:t>DWR Right to Verify Monthly Surplus Energy Sales Remittance Amount.</w:t>
      </w:r>
      <w:r>
        <w:rPr>
          <w:rFonts w:ascii="Arial" w:cs="Arial" w:eastAsia="Arial" w:hAnsi="Arial"/>
          <w:sz w:val="14"/>
          <w:szCs w:val="14"/>
          <w:color w:val="auto"/>
        </w:rPr>
        <w:t xml:space="preserve"> DWR agrees that it shall have the right but not the obligation following the receipt of the Final Surplus Energy Sales Calculation Summary Report for each Delivery Month to conduct such verification procedures as determined reasonably necessary. In the event that DWR does not agree with the Final Monthly Surplus Energy Sales Remittance Amount following its verification, and to the extent that informal procedures do not resolve the differences identified by DWR, DWR agrees that it will notify Utility in writing of a dispute with respect to such remitted amount. If the Parties are unable to resolve any disputes relating to such DWR Surplus Sales Energy Revenues, either Party may, upon giving five Business Days’ notice to the other Party pursue such appropriate remedies including the submission of the dispute to the Commission or other appropriate forum for proposed resolution.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 2-</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ATTACHMENT A</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SAN DIEGO GAS &amp; ELECTRIC COMPANY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REPRESENTATIVES AND CONTACTS</w:t>
      </w:r>
    </w:p>
    <w:p>
      <w:pPr>
        <w:sectPr>
          <w:pgSz w:w="11900" w:h="16838" w:orient="portrait"/>
          <w:cols w:equalWidth="0" w:num="1">
            <w:col w:w="11460"/>
          </w:cols>
          <w:pgMar w:left="220" w:top="491" w:right="219" w:bottom="0" w:gutter="0" w:footer="0" w:header="0"/>
        </w:sectPr>
      </w:pPr>
    </w:p>
    <w:bookmarkStart w:id="121" w:name="page122"/>
    <w:bookmarkEnd w:id="121"/>
    <w:p>
      <w:pPr>
        <w:spacing w:after="0" w:line="160" w:lineRule="exact"/>
        <w:rPr>
          <w:sz w:val="20"/>
          <w:szCs w:val="20"/>
          <w:color w:val="auto"/>
        </w:rPr>
      </w:pPr>
    </w:p>
    <w:p>
      <w:pPr>
        <w:ind w:left="997" w:right="7739" w:hanging="997"/>
        <w:spacing w:after="0" w:line="538" w:lineRule="auto"/>
        <w:tabs>
          <w:tab w:leader="none" w:pos="501" w:val="left"/>
        </w:tabs>
        <w:numPr>
          <w:ilvl w:val="0"/>
          <w:numId w:val="151"/>
        </w:numPr>
        <w:rPr>
          <w:rFonts w:ascii="Arial" w:cs="Arial" w:eastAsia="Arial" w:hAnsi="Arial"/>
          <w:sz w:val="14"/>
          <w:szCs w:val="14"/>
          <w:color w:val="auto"/>
        </w:rPr>
      </w:pPr>
      <w:r>
        <w:rPr>
          <w:rFonts w:ascii="Arial" w:cs="Arial" w:eastAsia="Arial" w:hAnsi="Arial"/>
          <w:sz w:val="14"/>
          <w:szCs w:val="14"/>
          <w:color w:val="auto"/>
        </w:rPr>
        <w:t xml:space="preserve">Parties Representatives: </w:t>
      </w:r>
      <w:r>
        <w:rPr>
          <w:rFonts w:ascii="Arial" w:cs="Arial" w:eastAsia="Arial" w:hAnsi="Arial"/>
          <w:sz w:val="14"/>
          <w:szCs w:val="14"/>
          <w:u w:val="single" w:color="auto"/>
          <w:color w:val="auto"/>
        </w:rPr>
        <w:t>Utility Representative</w:t>
      </w:r>
      <w:r>
        <w:rPr>
          <w:rFonts w:ascii="Arial" w:cs="Arial" w:eastAsia="Arial" w:hAnsi="Arial"/>
          <w:sz w:val="14"/>
          <w:szCs w:val="14"/>
          <w:color w:val="auto"/>
        </w:rPr>
        <w:t>:</w:t>
      </w:r>
    </w:p>
    <w:p>
      <w:pPr>
        <w:spacing w:after="0" w:line="1" w:lineRule="exact"/>
        <w:rPr>
          <w:sz w:val="20"/>
          <w:szCs w:val="20"/>
          <w:color w:val="auto"/>
        </w:rPr>
      </w:pPr>
    </w:p>
    <w:p>
      <w:pPr>
        <w:ind w:left="997"/>
        <w:spacing w:after="0"/>
        <w:rPr>
          <w:sz w:val="20"/>
          <w:szCs w:val="20"/>
          <w:color w:val="auto"/>
        </w:rPr>
      </w:pPr>
      <w:r>
        <w:rPr>
          <w:rFonts w:ascii="Arial" w:cs="Arial" w:eastAsia="Arial" w:hAnsi="Arial"/>
          <w:sz w:val="17"/>
          <w:szCs w:val="17"/>
          <w:color w:val="auto"/>
        </w:rPr>
        <w:t>San Diego Gas &amp; Electric Company</w:t>
      </w:r>
    </w:p>
    <w:p>
      <w:pPr>
        <w:ind w:left="997"/>
        <w:spacing w:after="0" w:line="234" w:lineRule="auto"/>
        <w:rPr>
          <w:sz w:val="20"/>
          <w:szCs w:val="20"/>
          <w:color w:val="auto"/>
        </w:rPr>
      </w:pPr>
      <w:r>
        <w:rPr>
          <w:rFonts w:ascii="Arial" w:cs="Arial" w:eastAsia="Arial" w:hAnsi="Arial"/>
          <w:sz w:val="17"/>
          <w:szCs w:val="17"/>
          <w:color w:val="auto"/>
        </w:rPr>
        <w:t>Electric and Fuel Procurement</w:t>
      </w:r>
    </w:p>
    <w:p>
      <w:pPr>
        <w:ind w:left="997"/>
        <w:spacing w:after="0" w:line="228" w:lineRule="auto"/>
        <w:rPr>
          <w:sz w:val="20"/>
          <w:szCs w:val="20"/>
          <w:color w:val="auto"/>
        </w:rPr>
      </w:pPr>
      <w:r>
        <w:rPr>
          <w:rFonts w:ascii="Arial" w:cs="Arial" w:eastAsia="Arial" w:hAnsi="Arial"/>
          <w:sz w:val="17"/>
          <w:szCs w:val="17"/>
          <w:color w:val="auto"/>
        </w:rPr>
        <w:t>8315 Century Park Court</w:t>
      </w:r>
    </w:p>
    <w:p>
      <w:pPr>
        <w:ind w:left="997"/>
        <w:spacing w:after="0"/>
        <w:rPr>
          <w:sz w:val="20"/>
          <w:szCs w:val="20"/>
          <w:color w:val="auto"/>
        </w:rPr>
      </w:pPr>
      <w:r>
        <w:rPr>
          <w:rFonts w:ascii="Arial" w:cs="Arial" w:eastAsia="Arial" w:hAnsi="Arial"/>
          <w:sz w:val="17"/>
          <w:szCs w:val="17"/>
          <w:color w:val="auto"/>
        </w:rPr>
        <w:t>San Diego, California 92123</w:t>
      </w:r>
    </w:p>
    <w:p>
      <w:pPr>
        <w:spacing w:after="0" w:line="142" w:lineRule="exact"/>
        <w:rPr>
          <w:sz w:val="20"/>
          <w:szCs w:val="20"/>
          <w:color w:val="auto"/>
        </w:rPr>
      </w:pPr>
    </w:p>
    <w:p>
      <w:pPr>
        <w:ind w:left="997"/>
        <w:spacing w:after="0"/>
        <w:rPr>
          <w:sz w:val="20"/>
          <w:szCs w:val="20"/>
          <w:color w:val="auto"/>
        </w:rPr>
      </w:pPr>
      <w:r>
        <w:rPr>
          <w:rFonts w:ascii="Arial" w:cs="Arial" w:eastAsia="Arial" w:hAnsi="Arial"/>
          <w:sz w:val="17"/>
          <w:szCs w:val="17"/>
          <w:color w:val="auto"/>
        </w:rPr>
        <w:t>Attn: Michael Strong</w:t>
      </w:r>
    </w:p>
    <w:p>
      <w:pPr>
        <w:ind w:left="997"/>
        <w:spacing w:after="0" w:line="221" w:lineRule="auto"/>
        <w:rPr>
          <w:sz w:val="20"/>
          <w:szCs w:val="20"/>
          <w:color w:val="auto"/>
        </w:rPr>
      </w:pPr>
      <w:r>
        <w:rPr>
          <w:rFonts w:ascii="Arial" w:cs="Arial" w:eastAsia="Arial" w:hAnsi="Arial"/>
          <w:sz w:val="17"/>
          <w:szCs w:val="17"/>
          <w:color w:val="auto"/>
        </w:rPr>
        <w:t>Manager, Settlements &amp; Systems</w:t>
      </w:r>
    </w:p>
    <w:p>
      <w:pPr>
        <w:ind w:left="997"/>
        <w:spacing w:after="0" w:line="228" w:lineRule="auto"/>
        <w:tabs>
          <w:tab w:leader="none" w:pos="1957" w:val="left"/>
        </w:tabs>
        <w:rPr>
          <w:sz w:val="20"/>
          <w:szCs w:val="20"/>
          <w:color w:val="auto"/>
        </w:rPr>
      </w:pPr>
      <w:r>
        <w:rPr>
          <w:rFonts w:ascii="Arial" w:cs="Arial" w:eastAsia="Arial" w:hAnsi="Arial"/>
          <w:sz w:val="17"/>
          <w:szCs w:val="17"/>
          <w:color w:val="auto"/>
        </w:rPr>
        <w:t>Telephone:</w:t>
      </w:r>
      <w:r>
        <w:rPr>
          <w:sz w:val="20"/>
          <w:szCs w:val="20"/>
          <w:color w:val="auto"/>
        </w:rPr>
        <w:tab/>
      </w:r>
      <w:r>
        <w:rPr>
          <w:rFonts w:ascii="Arial" w:cs="Arial" w:eastAsia="Arial" w:hAnsi="Arial"/>
          <w:sz w:val="17"/>
          <w:szCs w:val="17"/>
          <w:color w:val="auto"/>
        </w:rPr>
        <w:t>(858) 654-6154</w:t>
      </w:r>
    </w:p>
    <w:p>
      <w:pPr>
        <w:ind w:left="997"/>
        <w:spacing w:after="0" w:line="229" w:lineRule="auto"/>
        <w:tabs>
          <w:tab w:leader="none" w:pos="1957" w:val="left"/>
        </w:tabs>
        <w:rPr>
          <w:sz w:val="20"/>
          <w:szCs w:val="20"/>
          <w:color w:val="auto"/>
        </w:rPr>
      </w:pPr>
      <w:r>
        <w:rPr>
          <w:rFonts w:ascii="Arial" w:cs="Arial" w:eastAsia="Arial" w:hAnsi="Arial"/>
          <w:sz w:val="17"/>
          <w:szCs w:val="17"/>
          <w:color w:val="auto"/>
        </w:rPr>
        <w:t>Facsimile:</w:t>
      </w:r>
      <w:r>
        <w:rPr>
          <w:sz w:val="20"/>
          <w:szCs w:val="20"/>
          <w:color w:val="auto"/>
        </w:rPr>
        <w:tab/>
      </w:r>
      <w:r>
        <w:rPr>
          <w:rFonts w:ascii="Arial" w:cs="Arial" w:eastAsia="Arial" w:hAnsi="Arial"/>
          <w:sz w:val="17"/>
          <w:szCs w:val="17"/>
          <w:color w:val="auto"/>
        </w:rPr>
        <w:t>(858) 654-6190</w:t>
      </w:r>
    </w:p>
    <w:p>
      <w:pPr>
        <w:ind w:left="997"/>
        <w:spacing w:after="0"/>
        <w:rPr>
          <w:sz w:val="20"/>
          <w:szCs w:val="20"/>
          <w:color w:val="auto"/>
        </w:rPr>
      </w:pPr>
      <w:r>
        <w:rPr>
          <w:rFonts w:ascii="Arial" w:cs="Arial" w:eastAsia="Arial" w:hAnsi="Arial"/>
          <w:sz w:val="17"/>
          <w:szCs w:val="17"/>
          <w:color w:val="auto"/>
        </w:rPr>
        <w:t>Email: mgstrong@semprautilities.com</w:t>
      </w:r>
    </w:p>
    <w:p>
      <w:pPr>
        <w:spacing w:after="0" w:line="142" w:lineRule="exact"/>
        <w:rPr>
          <w:sz w:val="20"/>
          <w:szCs w:val="20"/>
          <w:color w:val="auto"/>
        </w:rPr>
      </w:pPr>
    </w:p>
    <w:p>
      <w:pPr>
        <w:ind w:left="997"/>
        <w:spacing w:after="0"/>
        <w:rPr>
          <w:sz w:val="20"/>
          <w:szCs w:val="20"/>
          <w:color w:val="auto"/>
        </w:rPr>
      </w:pPr>
      <w:r>
        <w:rPr>
          <w:rFonts w:ascii="Arial" w:cs="Arial" w:eastAsia="Arial" w:hAnsi="Arial"/>
          <w:sz w:val="17"/>
          <w:szCs w:val="17"/>
          <w:u w:val="single" w:color="auto"/>
          <w:color w:val="auto"/>
        </w:rPr>
        <w:t>DWR Representative</w:t>
      </w:r>
      <w:r>
        <w:rPr>
          <w:rFonts w:ascii="Arial" w:cs="Arial" w:eastAsia="Arial" w:hAnsi="Arial"/>
          <w:sz w:val="17"/>
          <w:szCs w:val="17"/>
          <w:color w:val="auto"/>
        </w:rPr>
        <w:t>:</w:t>
      </w:r>
    </w:p>
    <w:p>
      <w:pPr>
        <w:spacing w:after="0" w:line="156" w:lineRule="exact"/>
        <w:rPr>
          <w:sz w:val="20"/>
          <w:szCs w:val="20"/>
          <w:color w:val="auto"/>
        </w:rPr>
      </w:pPr>
    </w:p>
    <w:p>
      <w:pPr>
        <w:ind w:left="997"/>
        <w:spacing w:after="0"/>
        <w:rPr>
          <w:sz w:val="20"/>
          <w:szCs w:val="20"/>
          <w:color w:val="auto"/>
        </w:rPr>
      </w:pPr>
      <w:r>
        <w:rPr>
          <w:rFonts w:ascii="Arial" w:cs="Arial" w:eastAsia="Arial" w:hAnsi="Arial"/>
          <w:sz w:val="17"/>
          <w:szCs w:val="17"/>
          <w:color w:val="auto"/>
        </w:rPr>
        <w:t>State of California</w:t>
      </w:r>
    </w:p>
    <w:p>
      <w:pPr>
        <w:ind w:left="997"/>
        <w:spacing w:after="0" w:line="234" w:lineRule="auto"/>
        <w:rPr>
          <w:sz w:val="20"/>
          <w:szCs w:val="20"/>
          <w:color w:val="auto"/>
        </w:rPr>
      </w:pPr>
      <w:r>
        <w:rPr>
          <w:rFonts w:ascii="Arial" w:cs="Arial" w:eastAsia="Arial" w:hAnsi="Arial"/>
          <w:sz w:val="17"/>
          <w:szCs w:val="17"/>
          <w:color w:val="auto"/>
        </w:rPr>
        <w:t>The Resources Agency</w:t>
      </w:r>
    </w:p>
    <w:p>
      <w:pPr>
        <w:ind w:left="997"/>
        <w:spacing w:after="0" w:line="228" w:lineRule="auto"/>
        <w:rPr>
          <w:sz w:val="20"/>
          <w:szCs w:val="20"/>
          <w:color w:val="auto"/>
        </w:rPr>
      </w:pPr>
      <w:r>
        <w:rPr>
          <w:rFonts w:ascii="Arial" w:cs="Arial" w:eastAsia="Arial" w:hAnsi="Arial"/>
          <w:sz w:val="17"/>
          <w:szCs w:val="17"/>
          <w:color w:val="auto"/>
        </w:rPr>
        <w:t>Department of Water Resources</w:t>
      </w:r>
    </w:p>
    <w:p>
      <w:pPr>
        <w:ind w:left="997"/>
        <w:spacing w:after="0" w:line="228" w:lineRule="auto"/>
        <w:rPr>
          <w:sz w:val="20"/>
          <w:szCs w:val="20"/>
          <w:color w:val="auto"/>
        </w:rPr>
      </w:pPr>
      <w:r>
        <w:rPr>
          <w:rFonts w:ascii="Arial" w:cs="Arial" w:eastAsia="Arial" w:hAnsi="Arial"/>
          <w:sz w:val="17"/>
          <w:szCs w:val="17"/>
          <w:color w:val="auto"/>
        </w:rPr>
        <w:t>California Energy Resources Scheduling Division</w:t>
      </w:r>
    </w:p>
    <w:p>
      <w:pPr>
        <w:ind w:left="997"/>
        <w:spacing w:after="0" w:line="229" w:lineRule="auto"/>
        <w:rPr>
          <w:sz w:val="20"/>
          <w:szCs w:val="20"/>
          <w:color w:val="auto"/>
        </w:rPr>
      </w:pPr>
      <w:r>
        <w:rPr>
          <w:rFonts w:ascii="Arial" w:cs="Arial" w:eastAsia="Arial" w:hAnsi="Arial"/>
          <w:sz w:val="17"/>
          <w:szCs w:val="17"/>
          <w:color w:val="auto"/>
        </w:rPr>
        <w:t>2033 Howe Avenue, Suite 220</w:t>
      </w:r>
    </w:p>
    <w:p>
      <w:pPr>
        <w:ind w:left="997"/>
        <w:spacing w:after="0"/>
        <w:rPr>
          <w:sz w:val="20"/>
          <w:szCs w:val="20"/>
          <w:color w:val="auto"/>
        </w:rPr>
      </w:pPr>
      <w:r>
        <w:rPr>
          <w:rFonts w:ascii="Arial" w:cs="Arial" w:eastAsia="Arial" w:hAnsi="Arial"/>
          <w:sz w:val="17"/>
          <w:szCs w:val="17"/>
          <w:color w:val="auto"/>
        </w:rPr>
        <w:t>Sacramento, California 95825</w:t>
      </w:r>
    </w:p>
    <w:p>
      <w:pPr>
        <w:spacing w:after="0" w:line="126" w:lineRule="exact"/>
        <w:rPr>
          <w:sz w:val="20"/>
          <w:szCs w:val="20"/>
          <w:color w:val="auto"/>
        </w:rPr>
      </w:pPr>
    </w:p>
    <w:p>
      <w:pPr>
        <w:ind w:left="997"/>
        <w:spacing w:after="0"/>
        <w:tabs>
          <w:tab w:leader="none" w:pos="1477" w:val="left"/>
        </w:tabs>
        <w:rPr>
          <w:sz w:val="20"/>
          <w:szCs w:val="20"/>
          <w:color w:val="auto"/>
        </w:rPr>
      </w:pPr>
      <w:r>
        <w:rPr>
          <w:rFonts w:ascii="Arial" w:cs="Arial" w:eastAsia="Arial" w:hAnsi="Arial"/>
          <w:sz w:val="17"/>
          <w:szCs w:val="17"/>
          <w:color w:val="auto"/>
        </w:rPr>
        <w:t>Attn:</w:t>
      </w:r>
      <w:r>
        <w:rPr>
          <w:sz w:val="20"/>
          <w:szCs w:val="20"/>
          <w:color w:val="auto"/>
        </w:rPr>
        <w:tab/>
      </w:r>
      <w:r>
        <w:rPr>
          <w:rFonts w:ascii="Arial" w:cs="Arial" w:eastAsia="Arial" w:hAnsi="Arial"/>
          <w:sz w:val="14"/>
          <w:szCs w:val="14"/>
          <w:color w:val="auto"/>
        </w:rPr>
        <w:t>Russell Mills</w:t>
      </w:r>
    </w:p>
    <w:p>
      <w:pPr>
        <w:ind w:left="997"/>
        <w:spacing w:after="0" w:line="228" w:lineRule="auto"/>
        <w:rPr>
          <w:sz w:val="20"/>
          <w:szCs w:val="20"/>
          <w:color w:val="auto"/>
        </w:rPr>
      </w:pPr>
      <w:r>
        <w:rPr>
          <w:rFonts w:ascii="Arial" w:cs="Arial" w:eastAsia="Arial" w:hAnsi="Arial"/>
          <w:sz w:val="17"/>
          <w:szCs w:val="17"/>
          <w:color w:val="auto"/>
        </w:rPr>
        <w:t>Chief Financial Management Office</w:t>
      </w:r>
    </w:p>
    <w:tbl>
      <w:tblPr>
        <w:tblLayout w:type="fixed"/>
        <w:tblInd w:w="997" w:type="dxa"/>
        <w:tblCellMar>
          <w:top w:w="0" w:type="dxa"/>
          <w:left w:w="0" w:type="dxa"/>
          <w:bottom w:w="0" w:type="dxa"/>
          <w:right w:w="0" w:type="dxa"/>
        </w:tblCellMar>
      </w:tblPr>
      <w:tr>
        <w:trPr>
          <w:trHeight w:val="172"/>
        </w:trPr>
        <w:tc>
          <w:tcPr>
            <w:tcW w:w="860" w:type="dxa"/>
            <w:vAlign w:val="bottom"/>
          </w:tcPr>
          <w:p>
            <w:pPr>
              <w:spacing w:after="0" w:line="172" w:lineRule="exact"/>
              <w:rPr>
                <w:sz w:val="20"/>
                <w:szCs w:val="20"/>
                <w:color w:val="auto"/>
              </w:rPr>
            </w:pPr>
            <w:r>
              <w:rPr>
                <w:rFonts w:ascii="Arial" w:cs="Arial" w:eastAsia="Arial" w:hAnsi="Arial"/>
                <w:sz w:val="17"/>
                <w:szCs w:val="17"/>
                <w:color w:val="auto"/>
                <w:w w:val="98"/>
              </w:rPr>
              <w:t>Telephone:</w:t>
            </w:r>
          </w:p>
        </w:tc>
        <w:tc>
          <w:tcPr>
            <w:tcW w:w="1160" w:type="dxa"/>
            <w:vAlign w:val="bottom"/>
          </w:tcPr>
          <w:p>
            <w:pPr>
              <w:jc w:val="right"/>
              <w:spacing w:after="0" w:line="172" w:lineRule="exact"/>
              <w:rPr>
                <w:sz w:val="20"/>
                <w:szCs w:val="20"/>
                <w:color w:val="auto"/>
              </w:rPr>
            </w:pPr>
            <w:r>
              <w:rPr>
                <w:rFonts w:ascii="Arial" w:cs="Arial" w:eastAsia="Arial" w:hAnsi="Arial"/>
                <w:sz w:val="17"/>
                <w:szCs w:val="17"/>
                <w:color w:val="auto"/>
                <w:w w:val="98"/>
              </w:rPr>
              <w:t>(916) 574-2756</w:t>
            </w:r>
          </w:p>
        </w:tc>
      </w:tr>
      <w:tr>
        <w:trPr>
          <w:trHeight w:val="176"/>
        </w:trPr>
        <w:tc>
          <w:tcPr>
            <w:tcW w:w="860" w:type="dxa"/>
            <w:vAlign w:val="bottom"/>
          </w:tcPr>
          <w:p>
            <w:pPr>
              <w:spacing w:after="0" w:line="176" w:lineRule="exact"/>
              <w:rPr>
                <w:sz w:val="20"/>
                <w:szCs w:val="20"/>
                <w:color w:val="auto"/>
              </w:rPr>
            </w:pPr>
            <w:r>
              <w:rPr>
                <w:rFonts w:ascii="Arial" w:cs="Arial" w:eastAsia="Arial" w:hAnsi="Arial"/>
                <w:sz w:val="17"/>
                <w:szCs w:val="17"/>
                <w:color w:val="auto"/>
              </w:rPr>
              <w:t>Facsimile:</w:t>
            </w:r>
          </w:p>
        </w:tc>
        <w:tc>
          <w:tcPr>
            <w:tcW w:w="1160" w:type="dxa"/>
            <w:vAlign w:val="bottom"/>
          </w:tcPr>
          <w:p>
            <w:pPr>
              <w:jc w:val="right"/>
              <w:spacing w:after="0" w:line="176" w:lineRule="exact"/>
              <w:rPr>
                <w:sz w:val="20"/>
                <w:szCs w:val="20"/>
                <w:color w:val="auto"/>
              </w:rPr>
            </w:pPr>
            <w:r>
              <w:rPr>
                <w:rFonts w:ascii="Arial" w:cs="Arial" w:eastAsia="Arial" w:hAnsi="Arial"/>
                <w:sz w:val="17"/>
                <w:szCs w:val="17"/>
                <w:color w:val="auto"/>
                <w:w w:val="98"/>
              </w:rPr>
              <w:t>(916) 574-0301</w:t>
            </w:r>
          </w:p>
        </w:tc>
      </w:tr>
      <w:tr>
        <w:trPr>
          <w:trHeight w:val="200"/>
        </w:trPr>
        <w:tc>
          <w:tcPr>
            <w:tcW w:w="860" w:type="dxa"/>
            <w:vAlign w:val="bottom"/>
          </w:tcPr>
          <w:p>
            <w:pPr>
              <w:spacing w:after="0"/>
              <w:rPr>
                <w:sz w:val="20"/>
                <w:szCs w:val="20"/>
                <w:color w:val="auto"/>
              </w:rPr>
            </w:pPr>
            <w:r>
              <w:rPr>
                <w:rFonts w:ascii="Arial" w:cs="Arial" w:eastAsia="Arial" w:hAnsi="Arial"/>
                <w:sz w:val="17"/>
                <w:szCs w:val="17"/>
                <w:color w:val="auto"/>
              </w:rPr>
              <w:t>Cellular:</w:t>
            </w:r>
          </w:p>
        </w:tc>
        <w:tc>
          <w:tcPr>
            <w:tcW w:w="1160" w:type="dxa"/>
            <w:vAlign w:val="bottom"/>
          </w:tcPr>
          <w:p>
            <w:pPr>
              <w:jc w:val="right"/>
              <w:spacing w:after="0"/>
              <w:rPr>
                <w:sz w:val="20"/>
                <w:szCs w:val="20"/>
                <w:color w:val="auto"/>
              </w:rPr>
            </w:pPr>
            <w:r>
              <w:rPr>
                <w:rFonts w:ascii="Arial" w:cs="Arial" w:eastAsia="Arial" w:hAnsi="Arial"/>
                <w:sz w:val="17"/>
                <w:szCs w:val="17"/>
                <w:color w:val="auto"/>
                <w:w w:val="98"/>
              </w:rPr>
              <w:t>(916) 539-8198</w:t>
            </w:r>
          </w:p>
        </w:tc>
      </w:tr>
    </w:tbl>
    <w:p>
      <w:pPr>
        <w:ind w:left="997"/>
        <w:spacing w:after="0"/>
        <w:rPr>
          <w:sz w:val="20"/>
          <w:szCs w:val="20"/>
          <w:color w:val="auto"/>
        </w:rPr>
      </w:pPr>
      <w:r>
        <w:rPr>
          <w:rFonts w:ascii="Arial" w:cs="Arial" w:eastAsia="Arial" w:hAnsi="Arial"/>
          <w:sz w:val="17"/>
          <w:szCs w:val="17"/>
          <w:color w:val="auto"/>
        </w:rPr>
        <w:t>Email: millsr@water.ca.gov</w:t>
      </w:r>
    </w:p>
    <w:p>
      <w:pPr>
        <w:spacing w:after="0" w:line="132" w:lineRule="exact"/>
        <w:rPr>
          <w:sz w:val="20"/>
          <w:szCs w:val="20"/>
          <w:color w:val="auto"/>
        </w:rPr>
      </w:pPr>
    </w:p>
    <w:p>
      <w:pPr>
        <w:ind w:left="497" w:hanging="497"/>
        <w:spacing w:after="0"/>
        <w:tabs>
          <w:tab w:leader="none" w:pos="497"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Utility Contact Persons</w:t>
      </w:r>
      <w:r>
        <w:rPr>
          <w:rFonts w:ascii="Arial" w:cs="Arial" w:eastAsia="Arial" w:hAnsi="Arial"/>
          <w:sz w:val="17"/>
          <w:szCs w:val="17"/>
          <w:color w:val="auto"/>
        </w:rPr>
        <w:t>:</w:t>
      </w:r>
    </w:p>
    <w:p>
      <w:pPr>
        <w:spacing w:after="0" w:line="155" w:lineRule="exact"/>
        <w:rPr>
          <w:rFonts w:ascii="Arial" w:cs="Arial" w:eastAsia="Arial" w:hAnsi="Arial"/>
          <w:sz w:val="17"/>
          <w:szCs w:val="17"/>
          <w:color w:val="auto"/>
        </w:rPr>
      </w:pPr>
    </w:p>
    <w:p>
      <w:pPr>
        <w:ind w:left="497"/>
        <w:spacing w:after="0"/>
        <w:rPr>
          <w:rFonts w:ascii="Arial" w:cs="Arial" w:eastAsia="Arial" w:hAnsi="Arial"/>
          <w:sz w:val="17"/>
          <w:szCs w:val="17"/>
          <w:color w:val="auto"/>
        </w:rPr>
      </w:pPr>
      <w:r>
        <w:rPr>
          <w:rFonts w:ascii="Arial" w:cs="Arial" w:eastAsia="Arial" w:hAnsi="Arial"/>
          <w:sz w:val="14"/>
          <w:szCs w:val="14"/>
          <w:color w:val="auto"/>
        </w:rPr>
        <w:t>The Utility shall make the following contact person(s) available with respect to the operational matters described below:</w:t>
      </w:r>
    </w:p>
    <w:p>
      <w:pPr>
        <w:spacing w:after="0" w:line="190" w:lineRule="exact"/>
        <w:rPr>
          <w:sz w:val="20"/>
          <w:szCs w:val="20"/>
          <w:color w:val="auto"/>
        </w:rPr>
      </w:pPr>
    </w:p>
    <w:p>
      <w:pPr>
        <w:ind w:left="997" w:hanging="501"/>
        <w:spacing w:after="0"/>
        <w:tabs>
          <w:tab w:leader="none" w:pos="997"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Billing Services</w:t>
      </w:r>
      <w:r>
        <w:rPr>
          <w:rFonts w:ascii="Arial" w:cs="Arial" w:eastAsia="Arial" w:hAnsi="Arial"/>
          <w:sz w:val="17"/>
          <w:szCs w:val="17"/>
          <w:color w:val="auto"/>
        </w:rPr>
        <w:t>:</w:t>
      </w:r>
    </w:p>
    <w:p>
      <w:pPr>
        <w:spacing w:after="0" w:line="156" w:lineRule="exact"/>
        <w:rPr>
          <w:sz w:val="20"/>
          <w:szCs w:val="20"/>
          <w:color w:val="auto"/>
        </w:rPr>
      </w:pPr>
    </w:p>
    <w:p>
      <w:pPr>
        <w:ind w:left="1497"/>
        <w:spacing w:after="0"/>
        <w:rPr>
          <w:sz w:val="20"/>
          <w:szCs w:val="20"/>
          <w:color w:val="auto"/>
        </w:rPr>
      </w:pPr>
      <w:r>
        <w:rPr>
          <w:rFonts w:ascii="Arial" w:cs="Arial" w:eastAsia="Arial" w:hAnsi="Arial"/>
          <w:sz w:val="17"/>
          <w:szCs w:val="17"/>
          <w:color w:val="auto"/>
        </w:rPr>
        <w:t>San Diego Gas &amp; Electric Company</w:t>
      </w:r>
    </w:p>
    <w:p>
      <w:pPr>
        <w:ind w:left="1497"/>
        <w:spacing w:after="0" w:line="234" w:lineRule="auto"/>
        <w:rPr>
          <w:sz w:val="20"/>
          <w:szCs w:val="20"/>
          <w:color w:val="auto"/>
        </w:rPr>
      </w:pPr>
      <w:r>
        <w:rPr>
          <w:rFonts w:ascii="Arial" w:cs="Arial" w:eastAsia="Arial" w:hAnsi="Arial"/>
          <w:sz w:val="17"/>
          <w:szCs w:val="17"/>
          <w:color w:val="auto"/>
        </w:rPr>
        <w:t>Financial Reporting &amp; Remittance:</w:t>
      </w:r>
    </w:p>
    <w:p>
      <w:pPr>
        <w:ind w:left="1497"/>
        <w:spacing w:after="0" w:line="228" w:lineRule="auto"/>
        <w:rPr>
          <w:sz w:val="20"/>
          <w:szCs w:val="20"/>
          <w:color w:val="auto"/>
        </w:rPr>
      </w:pPr>
      <w:r>
        <w:rPr>
          <w:rFonts w:ascii="Arial" w:cs="Arial" w:eastAsia="Arial" w:hAnsi="Arial"/>
          <w:sz w:val="17"/>
          <w:szCs w:val="17"/>
          <w:color w:val="auto"/>
        </w:rPr>
        <w:t>Financial Accounting</w:t>
      </w:r>
    </w:p>
    <w:p>
      <w:pPr>
        <w:ind w:left="1497"/>
        <w:spacing w:after="0" w:line="228" w:lineRule="auto"/>
        <w:rPr>
          <w:sz w:val="20"/>
          <w:szCs w:val="20"/>
          <w:color w:val="auto"/>
        </w:rPr>
      </w:pPr>
      <w:r>
        <w:rPr>
          <w:rFonts w:ascii="Arial" w:cs="Arial" w:eastAsia="Arial" w:hAnsi="Arial"/>
          <w:sz w:val="17"/>
          <w:szCs w:val="17"/>
          <w:color w:val="auto"/>
        </w:rPr>
        <w:t>101 Ash Street, PZ05B</w:t>
      </w:r>
    </w:p>
    <w:p>
      <w:pPr>
        <w:spacing w:after="0" w:line="1" w:lineRule="exact"/>
        <w:rPr>
          <w:sz w:val="20"/>
          <w:szCs w:val="20"/>
          <w:color w:val="auto"/>
        </w:rPr>
      </w:pPr>
    </w:p>
    <w:p>
      <w:pPr>
        <w:ind w:left="1497"/>
        <w:spacing w:after="0"/>
        <w:rPr>
          <w:sz w:val="20"/>
          <w:szCs w:val="20"/>
          <w:color w:val="auto"/>
        </w:rPr>
      </w:pPr>
      <w:r>
        <w:rPr>
          <w:rFonts w:ascii="Arial" w:cs="Arial" w:eastAsia="Arial" w:hAnsi="Arial"/>
          <w:sz w:val="17"/>
          <w:szCs w:val="17"/>
          <w:color w:val="auto"/>
        </w:rPr>
        <w:t>San Diego, California 92101</w:t>
      </w:r>
    </w:p>
    <w:p>
      <w:pPr>
        <w:spacing w:after="0" w:line="142" w:lineRule="exact"/>
        <w:rPr>
          <w:sz w:val="20"/>
          <w:szCs w:val="20"/>
          <w:color w:val="auto"/>
        </w:rPr>
      </w:pPr>
    </w:p>
    <w:p>
      <w:pPr>
        <w:ind w:left="1497"/>
        <w:spacing w:after="0"/>
        <w:rPr>
          <w:sz w:val="20"/>
          <w:szCs w:val="20"/>
          <w:color w:val="auto"/>
        </w:rPr>
      </w:pPr>
      <w:r>
        <w:rPr>
          <w:rFonts w:ascii="Arial" w:cs="Arial" w:eastAsia="Arial" w:hAnsi="Arial"/>
          <w:sz w:val="17"/>
          <w:szCs w:val="17"/>
          <w:color w:val="auto"/>
        </w:rPr>
        <w:t>Attn: Alan Burye</w:t>
      </w:r>
    </w:p>
    <w:p>
      <w:pPr>
        <w:ind w:left="1497"/>
        <w:spacing w:after="0" w:line="221" w:lineRule="auto"/>
        <w:rPr>
          <w:sz w:val="20"/>
          <w:szCs w:val="20"/>
          <w:color w:val="auto"/>
        </w:rPr>
      </w:pPr>
      <w:r>
        <w:rPr>
          <w:rFonts w:ascii="Arial" w:cs="Arial" w:eastAsia="Arial" w:hAnsi="Arial"/>
          <w:sz w:val="17"/>
          <w:szCs w:val="17"/>
          <w:color w:val="auto"/>
        </w:rPr>
        <w:t>Principal Accountant</w:t>
      </w:r>
    </w:p>
    <w:p>
      <w:pPr>
        <w:ind w:left="1497"/>
        <w:spacing w:after="0" w:line="216" w:lineRule="auto"/>
        <w:tabs>
          <w:tab w:leader="none" w:pos="2457" w:val="left"/>
        </w:tabs>
        <w:rPr>
          <w:sz w:val="20"/>
          <w:szCs w:val="20"/>
          <w:color w:val="auto"/>
        </w:rPr>
      </w:pPr>
      <w:r>
        <w:rPr>
          <w:rFonts w:ascii="Arial" w:cs="Arial" w:eastAsia="Arial" w:hAnsi="Arial"/>
          <w:sz w:val="17"/>
          <w:szCs w:val="17"/>
          <w:color w:val="auto"/>
        </w:rPr>
        <w:t>Telephone:</w:t>
      </w:r>
      <w:r>
        <w:rPr>
          <w:sz w:val="20"/>
          <w:szCs w:val="20"/>
          <w:color w:val="auto"/>
        </w:rPr>
        <w:tab/>
      </w:r>
      <w:r>
        <w:rPr>
          <w:rFonts w:ascii="Arial" w:cs="Arial" w:eastAsia="Arial" w:hAnsi="Arial"/>
          <w:sz w:val="17"/>
          <w:szCs w:val="17"/>
          <w:color w:val="auto"/>
        </w:rPr>
        <w:t>(619) 696-2221</w:t>
      </w:r>
    </w:p>
    <w:p>
      <w:pPr>
        <w:ind w:left="1497"/>
        <w:spacing w:after="0" w:line="228" w:lineRule="auto"/>
        <w:tabs>
          <w:tab w:leader="none" w:pos="2457" w:val="left"/>
        </w:tabs>
        <w:rPr>
          <w:sz w:val="20"/>
          <w:szCs w:val="20"/>
          <w:color w:val="auto"/>
        </w:rPr>
      </w:pPr>
      <w:r>
        <w:rPr>
          <w:rFonts w:ascii="Arial" w:cs="Arial" w:eastAsia="Arial" w:hAnsi="Arial"/>
          <w:sz w:val="17"/>
          <w:szCs w:val="17"/>
          <w:color w:val="auto"/>
        </w:rPr>
        <w:t>Facsimile:</w:t>
      </w:r>
      <w:r>
        <w:rPr>
          <w:sz w:val="20"/>
          <w:szCs w:val="20"/>
          <w:color w:val="auto"/>
        </w:rPr>
        <w:tab/>
      </w:r>
      <w:r>
        <w:rPr>
          <w:rFonts w:ascii="Arial" w:cs="Arial" w:eastAsia="Arial" w:hAnsi="Arial"/>
          <w:sz w:val="17"/>
          <w:szCs w:val="17"/>
          <w:color w:val="auto"/>
        </w:rPr>
        <w:t>(619) 696-4182</w:t>
      </w:r>
    </w:p>
    <w:p>
      <w:pPr>
        <w:ind w:left="1497"/>
        <w:spacing w:after="0"/>
        <w:rPr>
          <w:sz w:val="20"/>
          <w:szCs w:val="20"/>
          <w:color w:val="auto"/>
        </w:rPr>
      </w:pPr>
      <w:r>
        <w:rPr>
          <w:rFonts w:ascii="Arial" w:cs="Arial" w:eastAsia="Arial" w:hAnsi="Arial"/>
          <w:sz w:val="17"/>
          <w:szCs w:val="17"/>
          <w:color w:val="auto"/>
        </w:rPr>
        <w:t>Email: aburye@semprautilities.com</w:t>
      </w:r>
    </w:p>
    <w:p>
      <w:pPr>
        <w:spacing w:after="0" w:line="142" w:lineRule="exact"/>
        <w:rPr>
          <w:sz w:val="20"/>
          <w:szCs w:val="20"/>
          <w:color w:val="auto"/>
        </w:rPr>
      </w:pPr>
    </w:p>
    <w:p>
      <w:pPr>
        <w:ind w:left="1497"/>
        <w:spacing w:after="0"/>
        <w:rPr>
          <w:sz w:val="20"/>
          <w:szCs w:val="20"/>
          <w:color w:val="auto"/>
        </w:rPr>
      </w:pPr>
      <w:r>
        <w:rPr>
          <w:rFonts w:ascii="Arial" w:cs="Arial" w:eastAsia="Arial" w:hAnsi="Arial"/>
          <w:sz w:val="17"/>
          <w:szCs w:val="17"/>
          <w:u w:val="single" w:color="auto"/>
          <w:color w:val="auto"/>
        </w:rPr>
        <w:t>For Utility Fees &amp; Charges</w:t>
      </w:r>
      <w:r>
        <w:rPr>
          <w:rFonts w:ascii="Arial" w:cs="Arial" w:eastAsia="Arial" w:hAnsi="Arial"/>
          <w:sz w:val="17"/>
          <w:szCs w:val="17"/>
          <w:color w:val="auto"/>
        </w:rPr>
        <w:t>:</w:t>
      </w:r>
    </w:p>
    <w:p>
      <w:pPr>
        <w:spacing w:after="0" w:line="156" w:lineRule="exact"/>
        <w:rPr>
          <w:sz w:val="20"/>
          <w:szCs w:val="20"/>
          <w:color w:val="auto"/>
        </w:rPr>
      </w:pPr>
    </w:p>
    <w:p>
      <w:pPr>
        <w:ind w:left="1497"/>
        <w:spacing w:after="0"/>
        <w:rPr>
          <w:sz w:val="20"/>
          <w:szCs w:val="20"/>
          <w:color w:val="auto"/>
        </w:rPr>
      </w:pPr>
      <w:r>
        <w:rPr>
          <w:rFonts w:ascii="Arial" w:cs="Arial" w:eastAsia="Arial" w:hAnsi="Arial"/>
          <w:sz w:val="17"/>
          <w:szCs w:val="17"/>
          <w:color w:val="auto"/>
        </w:rPr>
        <w:t>San Diego Gas &amp; Electric Company</w:t>
      </w:r>
    </w:p>
    <w:p>
      <w:pPr>
        <w:ind w:left="1497"/>
        <w:spacing w:after="0" w:line="234" w:lineRule="auto"/>
        <w:rPr>
          <w:sz w:val="20"/>
          <w:szCs w:val="20"/>
          <w:color w:val="auto"/>
        </w:rPr>
      </w:pPr>
      <w:r>
        <w:rPr>
          <w:rFonts w:ascii="Arial" w:cs="Arial" w:eastAsia="Arial" w:hAnsi="Arial"/>
          <w:sz w:val="17"/>
          <w:szCs w:val="17"/>
          <w:color w:val="auto"/>
        </w:rPr>
        <w:t>Customer Operations - South</w:t>
      </w:r>
    </w:p>
    <w:p>
      <w:pPr>
        <w:ind w:left="1497"/>
        <w:spacing w:after="0" w:line="228" w:lineRule="auto"/>
        <w:rPr>
          <w:sz w:val="20"/>
          <w:szCs w:val="20"/>
          <w:color w:val="auto"/>
        </w:rPr>
      </w:pPr>
      <w:r>
        <w:rPr>
          <w:rFonts w:ascii="Arial" w:cs="Arial" w:eastAsia="Arial" w:hAnsi="Arial"/>
          <w:sz w:val="17"/>
          <w:szCs w:val="17"/>
          <w:color w:val="auto"/>
        </w:rPr>
        <w:t>8306 Century Park Court CP42I</w:t>
      </w:r>
    </w:p>
    <w:p>
      <w:pPr>
        <w:ind w:left="1497"/>
        <w:spacing w:after="0"/>
        <w:rPr>
          <w:sz w:val="20"/>
          <w:szCs w:val="20"/>
          <w:color w:val="auto"/>
        </w:rPr>
      </w:pPr>
      <w:r>
        <w:rPr>
          <w:rFonts w:ascii="Arial" w:cs="Arial" w:eastAsia="Arial" w:hAnsi="Arial"/>
          <w:sz w:val="17"/>
          <w:szCs w:val="17"/>
          <w:color w:val="auto"/>
        </w:rPr>
        <w:t>San Diego, California 92123</w:t>
      </w:r>
    </w:p>
    <w:p>
      <w:pPr>
        <w:spacing w:after="0" w:line="163" w:lineRule="exact"/>
        <w:rPr>
          <w:sz w:val="20"/>
          <w:szCs w:val="20"/>
          <w:color w:val="auto"/>
        </w:rPr>
      </w:pPr>
    </w:p>
    <w:p>
      <w:pPr>
        <w:ind w:left="1497"/>
        <w:spacing w:after="0"/>
        <w:rPr>
          <w:sz w:val="20"/>
          <w:szCs w:val="20"/>
          <w:color w:val="auto"/>
        </w:rPr>
      </w:pPr>
      <w:r>
        <w:rPr>
          <w:rFonts w:ascii="Arial" w:cs="Arial" w:eastAsia="Arial" w:hAnsi="Arial"/>
          <w:sz w:val="17"/>
          <w:szCs w:val="17"/>
          <w:color w:val="auto"/>
        </w:rPr>
        <w:t>Attn: Brad Baugh</w:t>
      </w:r>
    </w:p>
    <w:p>
      <w:pPr>
        <w:ind w:left="1497"/>
        <w:spacing w:after="0" w:line="234" w:lineRule="auto"/>
        <w:rPr>
          <w:sz w:val="20"/>
          <w:szCs w:val="20"/>
          <w:color w:val="auto"/>
        </w:rPr>
      </w:pPr>
      <w:r>
        <w:rPr>
          <w:rFonts w:ascii="Arial" w:cs="Arial" w:eastAsia="Arial" w:hAnsi="Arial"/>
          <w:sz w:val="17"/>
          <w:szCs w:val="17"/>
          <w:color w:val="auto"/>
        </w:rPr>
        <w:t>Billing Manager</w:t>
      </w:r>
    </w:p>
    <w:p>
      <w:pPr>
        <w:ind w:left="1497"/>
        <w:spacing w:after="0" w:line="215" w:lineRule="auto"/>
        <w:tabs>
          <w:tab w:leader="none" w:pos="2457" w:val="left"/>
        </w:tabs>
        <w:rPr>
          <w:sz w:val="20"/>
          <w:szCs w:val="20"/>
          <w:color w:val="auto"/>
        </w:rPr>
      </w:pPr>
      <w:r>
        <w:rPr>
          <w:rFonts w:ascii="Arial" w:cs="Arial" w:eastAsia="Arial" w:hAnsi="Arial"/>
          <w:sz w:val="17"/>
          <w:szCs w:val="17"/>
          <w:color w:val="auto"/>
        </w:rPr>
        <w:t>Telephone:</w:t>
      </w:r>
      <w:r>
        <w:rPr>
          <w:sz w:val="20"/>
          <w:szCs w:val="20"/>
          <w:color w:val="auto"/>
        </w:rPr>
        <w:tab/>
      </w:r>
      <w:r>
        <w:rPr>
          <w:rFonts w:ascii="Arial" w:cs="Arial" w:eastAsia="Arial" w:hAnsi="Arial"/>
          <w:sz w:val="17"/>
          <w:szCs w:val="17"/>
          <w:color w:val="auto"/>
        </w:rPr>
        <w:t>(858) 654-8330</w:t>
      </w:r>
    </w:p>
    <w:p>
      <w:pPr>
        <w:ind w:left="1497"/>
        <w:spacing w:after="0" w:line="229" w:lineRule="auto"/>
        <w:tabs>
          <w:tab w:leader="none" w:pos="2457" w:val="left"/>
        </w:tabs>
        <w:rPr>
          <w:sz w:val="20"/>
          <w:szCs w:val="20"/>
          <w:color w:val="auto"/>
        </w:rPr>
      </w:pPr>
      <w:r>
        <w:rPr>
          <w:rFonts w:ascii="Arial" w:cs="Arial" w:eastAsia="Arial" w:hAnsi="Arial"/>
          <w:sz w:val="17"/>
          <w:szCs w:val="17"/>
          <w:color w:val="auto"/>
        </w:rPr>
        <w:t>Facsimile:</w:t>
      </w:r>
      <w:r>
        <w:rPr>
          <w:sz w:val="20"/>
          <w:szCs w:val="20"/>
          <w:color w:val="auto"/>
        </w:rPr>
        <w:tab/>
      </w:r>
      <w:r>
        <w:rPr>
          <w:rFonts w:ascii="Arial" w:cs="Arial" w:eastAsia="Arial" w:hAnsi="Arial"/>
          <w:sz w:val="17"/>
          <w:szCs w:val="17"/>
          <w:color w:val="auto"/>
        </w:rPr>
        <w:t>(858) 654-8393</w:t>
      </w:r>
    </w:p>
    <w:p>
      <w:pPr>
        <w:ind w:left="1497"/>
        <w:spacing w:after="0"/>
        <w:rPr>
          <w:sz w:val="20"/>
          <w:szCs w:val="20"/>
          <w:color w:val="auto"/>
        </w:rPr>
      </w:pPr>
      <w:r>
        <w:rPr>
          <w:rFonts w:ascii="Arial" w:cs="Arial" w:eastAsia="Arial" w:hAnsi="Arial"/>
          <w:sz w:val="17"/>
          <w:szCs w:val="17"/>
          <w:color w:val="auto"/>
        </w:rPr>
        <w:t>Email: bbaugh@semprautilities.com</w:t>
      </w:r>
    </w:p>
    <w:p>
      <w:pPr>
        <w:spacing w:after="0" w:line="132" w:lineRule="exact"/>
        <w:rPr>
          <w:sz w:val="20"/>
          <w:szCs w:val="20"/>
          <w:color w:val="auto"/>
        </w:rPr>
      </w:pPr>
    </w:p>
    <w:p>
      <w:pPr>
        <w:ind w:left="1497" w:hanging="505"/>
        <w:spacing w:after="0"/>
        <w:tabs>
          <w:tab w:leader="none" w:pos="1497"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Scheduling, Delivery and Transmission</w:t>
      </w:r>
      <w:r>
        <w:rPr>
          <w:rFonts w:ascii="Arial" w:cs="Arial" w:eastAsia="Arial" w:hAnsi="Arial"/>
          <w:sz w:val="17"/>
          <w:szCs w:val="17"/>
          <w:color w:val="auto"/>
        </w:rPr>
        <w:t>:</w:t>
      </w:r>
    </w:p>
    <w:p>
      <w:pPr>
        <w:spacing w:after="0" w:line="155" w:lineRule="exact"/>
        <w:rPr>
          <w:rFonts w:ascii="Arial" w:cs="Arial" w:eastAsia="Arial" w:hAnsi="Arial"/>
          <w:sz w:val="17"/>
          <w:szCs w:val="17"/>
          <w:color w:val="auto"/>
        </w:rPr>
      </w:pPr>
    </w:p>
    <w:p>
      <w:pPr>
        <w:ind w:left="1497" w:right="6339"/>
        <w:spacing w:after="0" w:line="287" w:lineRule="auto"/>
        <w:rPr>
          <w:rFonts w:ascii="Arial" w:cs="Arial" w:eastAsia="Arial" w:hAnsi="Arial"/>
          <w:sz w:val="17"/>
          <w:szCs w:val="17"/>
          <w:color w:val="auto"/>
        </w:rPr>
      </w:pPr>
      <w:r>
        <w:rPr>
          <w:rFonts w:ascii="Arial" w:cs="Arial" w:eastAsia="Arial" w:hAnsi="Arial"/>
          <w:sz w:val="14"/>
          <w:szCs w:val="14"/>
          <w:color w:val="auto"/>
        </w:rPr>
        <w:t>San Diego Gas &amp; Electric Company Electric and Fuel Procurement</w:t>
      </w:r>
    </w:p>
    <w:p>
      <w:pPr>
        <w:spacing w:after="0" w:line="1" w:lineRule="exact"/>
        <w:rPr>
          <w:rFonts w:ascii="Arial" w:cs="Arial" w:eastAsia="Arial" w:hAnsi="Arial"/>
          <w:sz w:val="17"/>
          <w:szCs w:val="17"/>
          <w:color w:val="auto"/>
        </w:rPr>
      </w:pPr>
    </w:p>
    <w:p>
      <w:pPr>
        <w:ind w:left="1497" w:right="6519"/>
        <w:spacing w:after="0" w:line="328" w:lineRule="auto"/>
        <w:rPr>
          <w:rFonts w:ascii="Arial" w:cs="Arial" w:eastAsia="Arial" w:hAnsi="Arial"/>
          <w:sz w:val="17"/>
          <w:szCs w:val="17"/>
          <w:color w:val="auto"/>
        </w:rPr>
      </w:pPr>
      <w:r>
        <w:rPr>
          <w:rFonts w:ascii="Arial" w:cs="Arial" w:eastAsia="Arial" w:hAnsi="Arial"/>
          <w:sz w:val="14"/>
          <w:szCs w:val="14"/>
          <w:color w:val="auto"/>
        </w:rPr>
        <w:t>8315 Century Park Court, CP21D San Diego, California 92123</w:t>
      </w:r>
    </w:p>
    <w:p>
      <w:pPr>
        <w:spacing w:after="0" w:line="83" w:lineRule="exact"/>
        <w:rPr>
          <w:rFonts w:ascii="Arial" w:cs="Arial" w:eastAsia="Arial" w:hAnsi="Arial"/>
          <w:sz w:val="17"/>
          <w:szCs w:val="17"/>
          <w:color w:val="auto"/>
        </w:rPr>
      </w:pPr>
    </w:p>
    <w:p>
      <w:pPr>
        <w:ind w:left="1497" w:right="6239"/>
        <w:spacing w:after="0" w:line="229" w:lineRule="auto"/>
        <w:rPr>
          <w:rFonts w:ascii="Arial" w:cs="Arial" w:eastAsia="Arial" w:hAnsi="Arial"/>
          <w:sz w:val="17"/>
          <w:szCs w:val="17"/>
          <w:color w:val="auto"/>
        </w:rPr>
      </w:pPr>
      <w:r>
        <w:rPr>
          <w:rFonts w:ascii="Arial" w:cs="Arial" w:eastAsia="Arial" w:hAnsi="Arial"/>
          <w:sz w:val="17"/>
          <w:szCs w:val="17"/>
          <w:color w:val="auto"/>
        </w:rPr>
        <w:t>Attn: Vince Bartolomucci Manager - Energy Supply &amp; Dispatch Telephone: (858) 650-6164 Facsimile: (858) 650-6190</w:t>
      </w:r>
    </w:p>
    <w:p>
      <w:pPr>
        <w:spacing w:after="0" w:line="1" w:lineRule="exact"/>
        <w:rPr>
          <w:rFonts w:ascii="Arial" w:cs="Arial" w:eastAsia="Arial" w:hAnsi="Arial"/>
          <w:sz w:val="17"/>
          <w:szCs w:val="17"/>
          <w:color w:val="auto"/>
        </w:rPr>
      </w:pPr>
    </w:p>
    <w:p>
      <w:pPr>
        <w:ind w:left="1497"/>
        <w:spacing w:after="0"/>
        <w:rPr>
          <w:rFonts w:ascii="Arial" w:cs="Arial" w:eastAsia="Arial" w:hAnsi="Arial"/>
          <w:sz w:val="17"/>
          <w:szCs w:val="17"/>
          <w:color w:val="auto"/>
        </w:rPr>
      </w:pPr>
      <w:r>
        <w:rPr>
          <w:rFonts w:ascii="Arial" w:cs="Arial" w:eastAsia="Arial" w:hAnsi="Arial"/>
          <w:sz w:val="17"/>
          <w:szCs w:val="17"/>
          <w:color w:val="auto"/>
        </w:rPr>
        <w:t>Email: vbartolomucci@semprautilities.com</w:t>
      </w:r>
    </w:p>
    <w:p>
      <w:pPr>
        <w:spacing w:after="0" w:line="131" w:lineRule="exact"/>
        <w:rPr>
          <w:rFonts w:ascii="Arial" w:cs="Arial" w:eastAsia="Arial" w:hAnsi="Arial"/>
          <w:sz w:val="17"/>
          <w:szCs w:val="17"/>
          <w:color w:val="auto"/>
        </w:rPr>
      </w:pPr>
    </w:p>
    <w:p>
      <w:pPr>
        <w:ind w:left="1497" w:hanging="505"/>
        <w:spacing w:after="0"/>
        <w:tabs>
          <w:tab w:leader="none" w:pos="1497"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Surplus Energy Power Sales Remittances</w:t>
      </w:r>
      <w:r>
        <w:rPr>
          <w:rFonts w:ascii="Arial" w:cs="Arial" w:eastAsia="Arial" w:hAnsi="Arial"/>
          <w:sz w:val="17"/>
          <w:szCs w:val="17"/>
          <w:color w:val="auto"/>
        </w:rPr>
        <w:t>:</w:t>
      </w:r>
    </w:p>
    <w:p>
      <w:pPr>
        <w:spacing w:after="0" w:line="155" w:lineRule="exact"/>
        <w:rPr>
          <w:rFonts w:ascii="Arial" w:cs="Arial" w:eastAsia="Arial" w:hAnsi="Arial"/>
          <w:sz w:val="17"/>
          <w:szCs w:val="17"/>
          <w:color w:val="auto"/>
        </w:rPr>
      </w:pPr>
    </w:p>
    <w:p>
      <w:pPr>
        <w:ind w:left="1497" w:right="6339"/>
        <w:spacing w:after="0" w:line="287" w:lineRule="auto"/>
        <w:rPr>
          <w:rFonts w:ascii="Arial" w:cs="Arial" w:eastAsia="Arial" w:hAnsi="Arial"/>
          <w:sz w:val="17"/>
          <w:szCs w:val="17"/>
          <w:color w:val="auto"/>
        </w:rPr>
      </w:pPr>
      <w:r>
        <w:rPr>
          <w:rFonts w:ascii="Arial" w:cs="Arial" w:eastAsia="Arial" w:hAnsi="Arial"/>
          <w:sz w:val="14"/>
          <w:szCs w:val="14"/>
          <w:color w:val="auto"/>
        </w:rPr>
        <w:t>San Diego Gas &amp; Electric Company Electric and Fuel Procurement</w:t>
      </w:r>
    </w:p>
    <w:p>
      <w:pPr>
        <w:spacing w:after="0" w:line="1" w:lineRule="exact"/>
        <w:rPr>
          <w:rFonts w:ascii="Arial" w:cs="Arial" w:eastAsia="Arial" w:hAnsi="Arial"/>
          <w:sz w:val="17"/>
          <w:szCs w:val="17"/>
          <w:color w:val="auto"/>
        </w:rPr>
      </w:pPr>
    </w:p>
    <w:p>
      <w:pPr>
        <w:ind w:left="1497" w:right="6519"/>
        <w:spacing w:after="0" w:line="328" w:lineRule="auto"/>
        <w:rPr>
          <w:rFonts w:ascii="Arial" w:cs="Arial" w:eastAsia="Arial" w:hAnsi="Arial"/>
          <w:sz w:val="17"/>
          <w:szCs w:val="17"/>
          <w:color w:val="auto"/>
        </w:rPr>
      </w:pPr>
      <w:r>
        <w:rPr>
          <w:rFonts w:ascii="Arial" w:cs="Arial" w:eastAsia="Arial" w:hAnsi="Arial"/>
          <w:sz w:val="14"/>
          <w:szCs w:val="14"/>
          <w:color w:val="auto"/>
        </w:rPr>
        <w:t>8315 Century Park Court, CP21D San Diego, California 92123</w:t>
      </w:r>
    </w:p>
    <w:p>
      <w:pPr>
        <w:spacing w:after="0" w:line="73" w:lineRule="exact"/>
        <w:rPr>
          <w:rFonts w:ascii="Arial" w:cs="Arial" w:eastAsia="Arial" w:hAnsi="Arial"/>
          <w:sz w:val="17"/>
          <w:szCs w:val="17"/>
          <w:color w:val="auto"/>
        </w:rPr>
      </w:pPr>
    </w:p>
    <w:p>
      <w:pPr>
        <w:ind w:left="1497"/>
        <w:spacing w:after="0"/>
        <w:rPr>
          <w:rFonts w:ascii="Arial" w:cs="Arial" w:eastAsia="Arial" w:hAnsi="Arial"/>
          <w:sz w:val="17"/>
          <w:szCs w:val="17"/>
          <w:color w:val="auto"/>
        </w:rPr>
      </w:pPr>
      <w:r>
        <w:rPr>
          <w:rFonts w:ascii="Arial" w:cs="Arial" w:eastAsia="Arial" w:hAnsi="Arial"/>
          <w:sz w:val="17"/>
          <w:szCs w:val="17"/>
          <w:color w:val="auto"/>
        </w:rPr>
        <w:t>Attn:  Sue Garcia</w:t>
      </w:r>
    </w:p>
    <w:p>
      <w:pPr>
        <w:spacing w:after="0" w:line="4" w:lineRule="exact"/>
        <w:rPr>
          <w:rFonts w:ascii="Arial" w:cs="Arial" w:eastAsia="Arial" w:hAnsi="Arial"/>
          <w:sz w:val="17"/>
          <w:szCs w:val="17"/>
          <w:color w:val="auto"/>
        </w:rPr>
      </w:pPr>
    </w:p>
    <w:p>
      <w:pPr>
        <w:ind w:left="1497" w:right="6139"/>
        <w:spacing w:after="0" w:line="243" w:lineRule="auto"/>
        <w:rPr>
          <w:rFonts w:ascii="Arial" w:cs="Arial" w:eastAsia="Arial" w:hAnsi="Arial"/>
          <w:sz w:val="17"/>
          <w:szCs w:val="17"/>
          <w:color w:val="auto"/>
        </w:rPr>
      </w:pPr>
      <w:r>
        <w:rPr>
          <w:rFonts w:ascii="Arial" w:cs="Arial" w:eastAsia="Arial" w:hAnsi="Arial"/>
          <w:sz w:val="16"/>
          <w:szCs w:val="16"/>
          <w:color w:val="auto"/>
        </w:rPr>
        <w:t>Settlements &amp; Administration Manager Telephone: (858) 650-6189 Facsimile: (858) 650-6190 Email: sgarcia@semprautilities.com</w:t>
      </w:r>
    </w:p>
    <w:p>
      <w:pPr>
        <w:spacing w:after="0" w:line="129" w:lineRule="exact"/>
        <w:rPr>
          <w:rFonts w:ascii="Arial" w:cs="Arial" w:eastAsia="Arial" w:hAnsi="Arial"/>
          <w:sz w:val="17"/>
          <w:szCs w:val="17"/>
          <w:color w:val="auto"/>
        </w:rPr>
      </w:pPr>
    </w:p>
    <w:p>
      <w:pPr>
        <w:ind w:left="1497" w:right="6059" w:hanging="505"/>
        <w:spacing w:after="0" w:line="626" w:lineRule="auto"/>
        <w:tabs>
          <w:tab w:leader="none" w:pos="1497" w:val="left"/>
        </w:tabs>
        <w:numPr>
          <w:ilvl w:val="0"/>
          <w:numId w:val="154"/>
        </w:numPr>
        <w:rPr>
          <w:rFonts w:ascii="Arial" w:cs="Arial" w:eastAsia="Arial" w:hAnsi="Arial"/>
          <w:sz w:val="14"/>
          <w:szCs w:val="14"/>
          <w:color w:val="auto"/>
        </w:rPr>
      </w:pPr>
      <w:r>
        <w:rPr>
          <w:rFonts w:ascii="Arial" w:cs="Arial" w:eastAsia="Arial" w:hAnsi="Arial"/>
          <w:sz w:val="14"/>
          <w:szCs w:val="14"/>
          <w:u w:val="single" w:color="auto"/>
          <w:color w:val="auto"/>
        </w:rPr>
        <w:t>Utility Filings Impacting DWR Charges</w:t>
      </w:r>
      <w:r>
        <w:rPr>
          <w:rFonts w:ascii="Arial" w:cs="Arial" w:eastAsia="Arial" w:hAnsi="Arial"/>
          <w:sz w:val="14"/>
          <w:szCs w:val="14"/>
          <w:color w:val="auto"/>
        </w:rPr>
        <w:t>: San Diego Gas &amp; Electric Company</w:t>
      </w:r>
    </w:p>
    <w:p>
      <w:pPr>
        <w:sectPr>
          <w:pgSz w:w="11900" w:h="16998" w:orient="portrait"/>
          <w:cols w:equalWidth="0" w:num="1">
            <w:col w:w="10237"/>
          </w:cols>
          <w:pgMar w:left="223" w:top="124" w:right="1440" w:bottom="0" w:gutter="0" w:footer="0" w:header="0"/>
        </w:sectPr>
      </w:pPr>
    </w:p>
    <w:bookmarkStart w:id="122" w:name="page123"/>
    <w:bookmarkEnd w:id="122"/>
    <w:p>
      <w:pPr>
        <w:ind w:left="1500"/>
        <w:spacing w:after="0"/>
        <w:rPr>
          <w:sz w:val="20"/>
          <w:szCs w:val="20"/>
          <w:color w:val="auto"/>
        </w:rPr>
      </w:pPr>
      <w:r>
        <w:rPr>
          <w:rFonts w:ascii="Arial" w:cs="Arial" w:eastAsia="Arial" w:hAnsi="Arial"/>
          <w:sz w:val="17"/>
          <w:szCs w:val="17"/>
          <w:color w:val="auto"/>
        </w:rPr>
        <w:t>Rates, Revenues &amp; Tariffs</w:t>
      </w:r>
    </w:p>
    <w:p>
      <w:pPr>
        <w:ind w:left="1500"/>
        <w:spacing w:after="0" w:line="233" w:lineRule="auto"/>
        <w:rPr>
          <w:sz w:val="20"/>
          <w:szCs w:val="20"/>
          <w:color w:val="auto"/>
        </w:rPr>
      </w:pPr>
      <w:r>
        <w:rPr>
          <w:rFonts w:ascii="Arial" w:cs="Arial" w:eastAsia="Arial" w:hAnsi="Arial"/>
          <w:sz w:val="17"/>
          <w:szCs w:val="17"/>
          <w:color w:val="auto"/>
        </w:rPr>
        <w:t>8330 Century Park Court, CP32C</w:t>
      </w:r>
    </w:p>
    <w:p>
      <w:pPr>
        <w:ind w:left="1500"/>
        <w:spacing w:after="0"/>
        <w:rPr>
          <w:sz w:val="20"/>
          <w:szCs w:val="20"/>
          <w:color w:val="auto"/>
        </w:rPr>
      </w:pPr>
      <w:r>
        <w:rPr>
          <w:rFonts w:ascii="Arial" w:cs="Arial" w:eastAsia="Arial" w:hAnsi="Arial"/>
          <w:sz w:val="17"/>
          <w:szCs w:val="17"/>
          <w:color w:val="auto"/>
        </w:rPr>
        <w:t>San Diego, California 92123</w:t>
      </w:r>
    </w:p>
    <w:p>
      <w:pPr>
        <w:spacing w:after="0" w:line="126" w:lineRule="exact"/>
        <w:rPr>
          <w:sz w:val="20"/>
          <w:szCs w:val="20"/>
          <w:color w:val="auto"/>
        </w:rPr>
      </w:pPr>
    </w:p>
    <w:p>
      <w:pPr>
        <w:ind w:left="1500"/>
        <w:spacing w:after="0"/>
        <w:tabs>
          <w:tab w:leader="none" w:pos="1960" w:val="left"/>
        </w:tabs>
        <w:rPr>
          <w:sz w:val="20"/>
          <w:szCs w:val="20"/>
          <w:color w:val="auto"/>
        </w:rPr>
      </w:pPr>
      <w:r>
        <w:rPr>
          <w:rFonts w:ascii="Arial" w:cs="Arial" w:eastAsia="Arial" w:hAnsi="Arial"/>
          <w:sz w:val="17"/>
          <w:szCs w:val="17"/>
          <w:color w:val="auto"/>
        </w:rPr>
        <w:t>Attn:</w:t>
      </w:r>
      <w:r>
        <w:rPr>
          <w:sz w:val="20"/>
          <w:szCs w:val="20"/>
          <w:color w:val="auto"/>
        </w:rPr>
        <w:tab/>
      </w:r>
      <w:r>
        <w:rPr>
          <w:rFonts w:ascii="Arial" w:cs="Arial" w:eastAsia="Arial" w:hAnsi="Arial"/>
          <w:sz w:val="14"/>
          <w:szCs w:val="14"/>
          <w:color w:val="auto"/>
        </w:rPr>
        <w:t>Megan Caulson</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Regulatory Tariff Manager</w:t>
      </w:r>
    </w:p>
    <w:p>
      <w:pPr>
        <w:ind w:left="1500"/>
        <w:spacing w:after="0" w:line="215" w:lineRule="auto"/>
        <w:tabs>
          <w:tab w:leader="none" w:pos="2460" w:val="left"/>
        </w:tabs>
        <w:rPr>
          <w:sz w:val="20"/>
          <w:szCs w:val="20"/>
          <w:color w:val="auto"/>
        </w:rPr>
      </w:pPr>
      <w:r>
        <w:rPr>
          <w:rFonts w:ascii="Arial" w:cs="Arial" w:eastAsia="Arial" w:hAnsi="Arial"/>
          <w:sz w:val="17"/>
          <w:szCs w:val="17"/>
          <w:color w:val="auto"/>
        </w:rPr>
        <w:t>Telephone:</w:t>
      </w:r>
      <w:r>
        <w:rPr>
          <w:sz w:val="20"/>
          <w:szCs w:val="20"/>
          <w:color w:val="auto"/>
        </w:rPr>
        <w:tab/>
      </w:r>
      <w:r>
        <w:rPr>
          <w:rFonts w:ascii="Arial" w:cs="Arial" w:eastAsia="Arial" w:hAnsi="Arial"/>
          <w:sz w:val="17"/>
          <w:szCs w:val="17"/>
          <w:color w:val="auto"/>
        </w:rPr>
        <w:t>(858) 654-1748</w:t>
      </w:r>
    </w:p>
    <w:p>
      <w:pPr>
        <w:ind w:left="1500"/>
        <w:spacing w:after="0" w:line="229" w:lineRule="auto"/>
        <w:tabs>
          <w:tab w:leader="none" w:pos="2460" w:val="left"/>
        </w:tabs>
        <w:rPr>
          <w:sz w:val="20"/>
          <w:szCs w:val="20"/>
          <w:color w:val="auto"/>
        </w:rPr>
      </w:pPr>
      <w:r>
        <w:rPr>
          <w:rFonts w:ascii="Arial" w:cs="Arial" w:eastAsia="Arial" w:hAnsi="Arial"/>
          <w:sz w:val="17"/>
          <w:szCs w:val="17"/>
          <w:color w:val="auto"/>
        </w:rPr>
        <w:t>Facsimile:</w:t>
      </w:r>
      <w:r>
        <w:rPr>
          <w:sz w:val="20"/>
          <w:szCs w:val="20"/>
          <w:color w:val="auto"/>
        </w:rPr>
        <w:tab/>
      </w:r>
      <w:r>
        <w:rPr>
          <w:rFonts w:ascii="Arial" w:cs="Arial" w:eastAsia="Arial" w:hAnsi="Arial"/>
          <w:sz w:val="17"/>
          <w:szCs w:val="17"/>
          <w:color w:val="auto"/>
        </w:rPr>
        <w:t>(858) 654-1788</w:t>
      </w:r>
    </w:p>
    <w:p>
      <w:pPr>
        <w:ind w:left="1500"/>
        <w:spacing w:after="0"/>
        <w:rPr>
          <w:sz w:val="20"/>
          <w:szCs w:val="20"/>
          <w:color w:val="auto"/>
        </w:rPr>
      </w:pPr>
      <w:r>
        <w:rPr>
          <w:rFonts w:ascii="Arial" w:cs="Arial" w:eastAsia="Arial" w:hAnsi="Arial"/>
          <w:sz w:val="17"/>
          <w:szCs w:val="17"/>
          <w:color w:val="auto"/>
        </w:rPr>
        <w:t>Email: mcaulson@semprautilities.com</w:t>
      </w:r>
    </w:p>
    <w:p>
      <w:pPr>
        <w:spacing w:after="0" w:line="132" w:lineRule="exact"/>
        <w:rPr>
          <w:sz w:val="20"/>
          <w:szCs w:val="20"/>
          <w:color w:val="auto"/>
        </w:rPr>
      </w:pPr>
    </w:p>
    <w:p>
      <w:pPr>
        <w:ind w:left="500" w:hanging="497"/>
        <w:spacing w:after="0"/>
        <w:tabs>
          <w:tab w:leader="none" w:pos="500"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DWR Contact Persons</w:t>
      </w:r>
      <w:r>
        <w:rPr>
          <w:rFonts w:ascii="Arial" w:cs="Arial" w:eastAsia="Arial" w:hAnsi="Arial"/>
          <w:sz w:val="17"/>
          <w:szCs w:val="17"/>
          <w:color w:val="auto"/>
        </w:rPr>
        <w:t>:</w:t>
      </w:r>
    </w:p>
    <w:p>
      <w:pPr>
        <w:spacing w:after="0" w:line="155"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7"/>
          <w:szCs w:val="17"/>
          <w:color w:val="auto"/>
        </w:rPr>
        <w:t>DWR will make the following contact persons available with respect to each of the operational matters described in Section B above:</w:t>
      </w:r>
    </w:p>
    <w:p>
      <w:pPr>
        <w:spacing w:after="0" w:line="15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State of California</w:t>
      </w:r>
    </w:p>
    <w:p>
      <w:pPr>
        <w:ind w:left="1500"/>
        <w:spacing w:after="0" w:line="234" w:lineRule="auto"/>
        <w:rPr>
          <w:sz w:val="20"/>
          <w:szCs w:val="20"/>
          <w:color w:val="auto"/>
        </w:rPr>
      </w:pPr>
      <w:r>
        <w:rPr>
          <w:rFonts w:ascii="Arial" w:cs="Arial" w:eastAsia="Arial" w:hAnsi="Arial"/>
          <w:sz w:val="17"/>
          <w:szCs w:val="17"/>
          <w:color w:val="auto"/>
        </w:rPr>
        <w:t>The Resources Agency</w:t>
      </w:r>
    </w:p>
    <w:p>
      <w:pPr>
        <w:ind w:left="1500"/>
        <w:spacing w:after="0" w:line="228" w:lineRule="auto"/>
        <w:rPr>
          <w:sz w:val="20"/>
          <w:szCs w:val="20"/>
          <w:color w:val="auto"/>
        </w:rPr>
      </w:pPr>
      <w:r>
        <w:rPr>
          <w:rFonts w:ascii="Arial" w:cs="Arial" w:eastAsia="Arial" w:hAnsi="Arial"/>
          <w:sz w:val="17"/>
          <w:szCs w:val="17"/>
          <w:color w:val="auto"/>
        </w:rPr>
        <w:t>Department of Water Resources</w:t>
      </w:r>
    </w:p>
    <w:p>
      <w:pPr>
        <w:ind w:left="1500"/>
        <w:spacing w:after="0" w:line="228" w:lineRule="auto"/>
        <w:rPr>
          <w:sz w:val="20"/>
          <w:szCs w:val="20"/>
          <w:color w:val="auto"/>
        </w:rPr>
      </w:pPr>
      <w:r>
        <w:rPr>
          <w:rFonts w:ascii="Arial" w:cs="Arial" w:eastAsia="Arial" w:hAnsi="Arial"/>
          <w:sz w:val="17"/>
          <w:szCs w:val="17"/>
          <w:color w:val="auto"/>
        </w:rPr>
        <w:t>California Energy Resources Scheduling Division</w:t>
      </w:r>
    </w:p>
    <w:p>
      <w:pPr>
        <w:ind w:left="1500"/>
        <w:spacing w:after="0" w:line="229" w:lineRule="auto"/>
        <w:rPr>
          <w:sz w:val="20"/>
          <w:szCs w:val="20"/>
          <w:color w:val="auto"/>
        </w:rPr>
      </w:pPr>
      <w:r>
        <w:rPr>
          <w:rFonts w:ascii="Arial" w:cs="Arial" w:eastAsia="Arial" w:hAnsi="Arial"/>
          <w:sz w:val="17"/>
          <w:szCs w:val="17"/>
          <w:color w:val="auto"/>
        </w:rPr>
        <w:t>2033 Howe Avenue, Suite 220</w:t>
      </w:r>
    </w:p>
    <w:p>
      <w:pPr>
        <w:ind w:left="1500"/>
        <w:spacing w:after="0"/>
        <w:rPr>
          <w:sz w:val="20"/>
          <w:szCs w:val="20"/>
          <w:color w:val="auto"/>
        </w:rPr>
      </w:pPr>
      <w:r>
        <w:rPr>
          <w:rFonts w:ascii="Arial" w:cs="Arial" w:eastAsia="Arial" w:hAnsi="Arial"/>
          <w:sz w:val="17"/>
          <w:szCs w:val="17"/>
          <w:color w:val="auto"/>
        </w:rPr>
        <w:t>Sacramento, California 95825</w:t>
      </w:r>
    </w:p>
    <w:p>
      <w:pPr>
        <w:spacing w:after="0" w:line="163" w:lineRule="exact"/>
        <w:rPr>
          <w:sz w:val="20"/>
          <w:szCs w:val="20"/>
          <w:color w:val="auto"/>
        </w:rPr>
      </w:pPr>
    </w:p>
    <w:p>
      <w:pPr>
        <w:ind w:left="1500"/>
        <w:spacing w:after="0"/>
        <w:tabs>
          <w:tab w:leader="none" w:pos="1960" w:val="left"/>
        </w:tabs>
        <w:rPr>
          <w:sz w:val="20"/>
          <w:szCs w:val="20"/>
          <w:color w:val="auto"/>
        </w:rPr>
      </w:pPr>
      <w:r>
        <w:rPr>
          <w:rFonts w:ascii="Arial" w:cs="Arial" w:eastAsia="Arial" w:hAnsi="Arial"/>
          <w:sz w:val="17"/>
          <w:szCs w:val="17"/>
          <w:color w:val="auto"/>
        </w:rPr>
        <w:t>Attn:</w:t>
      </w:r>
      <w:r>
        <w:rPr>
          <w:sz w:val="20"/>
          <w:szCs w:val="20"/>
          <w:color w:val="auto"/>
        </w:rPr>
        <w:tab/>
      </w:r>
      <w:r>
        <w:rPr>
          <w:rFonts w:ascii="Arial" w:cs="Arial" w:eastAsia="Arial" w:hAnsi="Arial"/>
          <w:sz w:val="14"/>
          <w:szCs w:val="14"/>
          <w:color w:val="auto"/>
        </w:rPr>
        <w:t>Russell Mills</w:t>
      </w:r>
    </w:p>
    <w:p>
      <w:pPr>
        <w:ind w:left="1500"/>
        <w:spacing w:after="0" w:line="221" w:lineRule="auto"/>
        <w:rPr>
          <w:sz w:val="20"/>
          <w:szCs w:val="20"/>
          <w:color w:val="auto"/>
        </w:rPr>
      </w:pPr>
      <w:r>
        <w:rPr>
          <w:rFonts w:ascii="Arial" w:cs="Arial" w:eastAsia="Arial" w:hAnsi="Arial"/>
          <w:sz w:val="17"/>
          <w:szCs w:val="17"/>
          <w:color w:val="auto"/>
        </w:rPr>
        <w:t>Chief Financial Management Office</w:t>
      </w:r>
    </w:p>
    <w:tbl>
      <w:tblPr>
        <w:tblLayout w:type="fixed"/>
        <w:tblInd w:w="1500" w:type="dxa"/>
        <w:tblCellMar>
          <w:top w:w="0" w:type="dxa"/>
          <w:left w:w="0" w:type="dxa"/>
          <w:bottom w:w="0" w:type="dxa"/>
          <w:right w:w="0" w:type="dxa"/>
        </w:tblCellMar>
      </w:tblPr>
      <w:tr>
        <w:trPr>
          <w:trHeight w:val="162"/>
        </w:trPr>
        <w:tc>
          <w:tcPr>
            <w:tcW w:w="860" w:type="dxa"/>
            <w:vAlign w:val="bottom"/>
          </w:tcPr>
          <w:p>
            <w:pPr>
              <w:spacing w:after="0" w:line="162" w:lineRule="exact"/>
              <w:rPr>
                <w:sz w:val="20"/>
                <w:szCs w:val="20"/>
                <w:color w:val="auto"/>
              </w:rPr>
            </w:pPr>
            <w:r>
              <w:rPr>
                <w:rFonts w:ascii="Arial" w:cs="Arial" w:eastAsia="Arial" w:hAnsi="Arial"/>
                <w:sz w:val="17"/>
                <w:szCs w:val="17"/>
                <w:color w:val="auto"/>
                <w:w w:val="98"/>
              </w:rPr>
              <w:t>Telephone:</w:t>
            </w:r>
          </w:p>
        </w:tc>
        <w:tc>
          <w:tcPr>
            <w:tcW w:w="1500" w:type="dxa"/>
            <w:vAlign w:val="bottom"/>
          </w:tcPr>
          <w:p>
            <w:pPr>
              <w:ind w:left="120"/>
              <w:spacing w:after="0" w:line="162" w:lineRule="exact"/>
              <w:rPr>
                <w:sz w:val="20"/>
                <w:szCs w:val="20"/>
                <w:color w:val="auto"/>
              </w:rPr>
            </w:pPr>
            <w:r>
              <w:rPr>
                <w:rFonts w:ascii="Arial" w:cs="Arial" w:eastAsia="Arial" w:hAnsi="Arial"/>
                <w:sz w:val="17"/>
                <w:szCs w:val="17"/>
                <w:color w:val="auto"/>
              </w:rPr>
              <w:t>(916) 574-2756</w:t>
            </w: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Facsimile:</w:t>
            </w:r>
          </w:p>
        </w:tc>
        <w:tc>
          <w:tcPr>
            <w:tcW w:w="1500" w:type="dxa"/>
            <w:vAlign w:val="bottom"/>
          </w:tcPr>
          <w:p>
            <w:pPr>
              <w:ind w:left="120"/>
              <w:spacing w:after="0" w:line="186" w:lineRule="exact"/>
              <w:rPr>
                <w:sz w:val="20"/>
                <w:szCs w:val="20"/>
                <w:color w:val="auto"/>
              </w:rPr>
            </w:pPr>
            <w:r>
              <w:rPr>
                <w:rFonts w:ascii="Arial" w:cs="Arial" w:eastAsia="Arial" w:hAnsi="Arial"/>
                <w:sz w:val="17"/>
                <w:szCs w:val="17"/>
                <w:color w:val="auto"/>
              </w:rPr>
              <w:t>(916) 574-0301</w:t>
            </w:r>
          </w:p>
        </w:tc>
      </w:tr>
      <w:tr>
        <w:trPr>
          <w:trHeight w:val="176"/>
        </w:trPr>
        <w:tc>
          <w:tcPr>
            <w:tcW w:w="860" w:type="dxa"/>
            <w:vAlign w:val="bottom"/>
          </w:tcPr>
          <w:p>
            <w:pPr>
              <w:spacing w:after="0" w:line="176" w:lineRule="exact"/>
              <w:rPr>
                <w:sz w:val="20"/>
                <w:szCs w:val="20"/>
                <w:color w:val="auto"/>
              </w:rPr>
            </w:pPr>
            <w:r>
              <w:rPr>
                <w:rFonts w:ascii="Arial" w:cs="Arial" w:eastAsia="Arial" w:hAnsi="Arial"/>
                <w:sz w:val="17"/>
                <w:szCs w:val="17"/>
                <w:color w:val="auto"/>
              </w:rPr>
              <w:t>Cellular:</w:t>
            </w:r>
          </w:p>
        </w:tc>
        <w:tc>
          <w:tcPr>
            <w:tcW w:w="1500" w:type="dxa"/>
            <w:vAlign w:val="bottom"/>
          </w:tcPr>
          <w:p>
            <w:pPr>
              <w:ind w:left="120"/>
              <w:spacing w:after="0" w:line="176" w:lineRule="exact"/>
              <w:rPr>
                <w:sz w:val="20"/>
                <w:szCs w:val="20"/>
                <w:color w:val="auto"/>
              </w:rPr>
            </w:pPr>
            <w:r>
              <w:rPr>
                <w:rFonts w:ascii="Arial" w:cs="Arial" w:eastAsia="Arial" w:hAnsi="Arial"/>
                <w:sz w:val="17"/>
                <w:szCs w:val="17"/>
                <w:color w:val="auto"/>
              </w:rPr>
              <w:t>(916) 539-8198</w:t>
            </w:r>
          </w:p>
        </w:tc>
      </w:tr>
      <w:tr>
        <w:trPr>
          <w:trHeight w:val="220"/>
        </w:trPr>
        <w:tc>
          <w:tcPr>
            <w:tcW w:w="860" w:type="dxa"/>
            <w:vAlign w:val="bottom"/>
          </w:tcPr>
          <w:p>
            <w:pPr>
              <w:spacing w:after="0"/>
              <w:rPr>
                <w:sz w:val="20"/>
                <w:szCs w:val="20"/>
                <w:color w:val="auto"/>
              </w:rPr>
            </w:pPr>
            <w:r>
              <w:rPr>
                <w:rFonts w:ascii="Arial" w:cs="Arial" w:eastAsia="Arial" w:hAnsi="Arial"/>
                <w:sz w:val="17"/>
                <w:szCs w:val="17"/>
                <w:color w:val="auto"/>
              </w:rPr>
              <w:t>Email:</w:t>
            </w:r>
          </w:p>
        </w:tc>
        <w:tc>
          <w:tcPr>
            <w:tcW w:w="1500" w:type="dxa"/>
            <w:vAlign w:val="bottom"/>
          </w:tcPr>
          <w:p>
            <w:pPr>
              <w:ind w:left="120"/>
              <w:spacing w:after="0"/>
              <w:rPr>
                <w:sz w:val="20"/>
                <w:szCs w:val="20"/>
                <w:color w:val="auto"/>
              </w:rPr>
            </w:pPr>
            <w:r>
              <w:rPr>
                <w:rFonts w:ascii="Arial" w:cs="Arial" w:eastAsia="Arial" w:hAnsi="Arial"/>
                <w:sz w:val="17"/>
                <w:szCs w:val="17"/>
                <w:color w:val="auto"/>
                <w:w w:val="88"/>
              </w:rPr>
              <w:t>millsr@water.ca.gov</w:t>
            </w:r>
          </w:p>
        </w:tc>
      </w:tr>
    </w:tbl>
    <w:p>
      <w:pPr>
        <w:spacing w:after="0" w:line="15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With a copy to:</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Michael Wofford,</w:t>
      </w:r>
    </w:p>
    <w:p>
      <w:pPr>
        <w:ind w:left="1500"/>
        <w:spacing w:after="0" w:line="221" w:lineRule="auto"/>
        <w:rPr>
          <w:sz w:val="20"/>
          <w:szCs w:val="20"/>
          <w:color w:val="auto"/>
        </w:rPr>
      </w:pPr>
      <w:r>
        <w:rPr>
          <w:rFonts w:ascii="Arial" w:cs="Arial" w:eastAsia="Arial" w:hAnsi="Arial"/>
          <w:sz w:val="17"/>
          <w:szCs w:val="17"/>
          <w:color w:val="auto"/>
        </w:rPr>
        <w:t>Chief IOU Remittance Section</w:t>
      </w:r>
    </w:p>
    <w:p>
      <w:pPr>
        <w:ind w:left="1500"/>
        <w:spacing w:after="0" w:line="228" w:lineRule="auto"/>
        <w:tabs>
          <w:tab w:leader="none" w:pos="2460" w:val="left"/>
        </w:tabs>
        <w:rPr>
          <w:sz w:val="20"/>
          <w:szCs w:val="20"/>
          <w:color w:val="auto"/>
        </w:rPr>
      </w:pPr>
      <w:r>
        <w:rPr>
          <w:rFonts w:ascii="Arial" w:cs="Arial" w:eastAsia="Arial" w:hAnsi="Arial"/>
          <w:sz w:val="17"/>
          <w:szCs w:val="17"/>
          <w:color w:val="auto"/>
        </w:rPr>
        <w:t>Telephone:</w:t>
      </w:r>
      <w:r>
        <w:rPr>
          <w:sz w:val="20"/>
          <w:szCs w:val="20"/>
          <w:color w:val="auto"/>
        </w:rPr>
        <w:tab/>
      </w:r>
      <w:r>
        <w:rPr>
          <w:rFonts w:ascii="Arial" w:cs="Arial" w:eastAsia="Arial" w:hAnsi="Arial"/>
          <w:sz w:val="17"/>
          <w:szCs w:val="17"/>
          <w:color w:val="auto"/>
        </w:rPr>
        <w:t>(916) 574-0317</w:t>
      </w:r>
    </w:p>
    <w:p>
      <w:pPr>
        <w:ind w:left="1500"/>
        <w:spacing w:after="0" w:line="216" w:lineRule="auto"/>
        <w:tabs>
          <w:tab w:leader="none" w:pos="2460" w:val="left"/>
        </w:tabs>
        <w:rPr>
          <w:sz w:val="20"/>
          <w:szCs w:val="20"/>
          <w:color w:val="auto"/>
        </w:rPr>
      </w:pPr>
      <w:r>
        <w:rPr>
          <w:rFonts w:ascii="Arial" w:cs="Arial" w:eastAsia="Arial" w:hAnsi="Arial"/>
          <w:sz w:val="17"/>
          <w:szCs w:val="17"/>
          <w:color w:val="auto"/>
        </w:rPr>
        <w:t>Facsimile:</w:t>
      </w:r>
      <w:r>
        <w:rPr>
          <w:sz w:val="20"/>
          <w:szCs w:val="20"/>
          <w:color w:val="auto"/>
        </w:rPr>
        <w:tab/>
      </w:r>
      <w:r>
        <w:rPr>
          <w:rFonts w:ascii="Arial" w:cs="Arial" w:eastAsia="Arial" w:hAnsi="Arial"/>
          <w:sz w:val="17"/>
          <w:szCs w:val="17"/>
          <w:color w:val="auto"/>
        </w:rPr>
        <w:t>(916) 574-2214</w:t>
      </w:r>
    </w:p>
    <w:p>
      <w:pPr>
        <w:ind w:left="1500"/>
        <w:spacing w:after="0"/>
        <w:tabs>
          <w:tab w:leader="none" w:pos="246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7"/>
          <w:szCs w:val="17"/>
          <w:color w:val="auto"/>
        </w:rPr>
        <w:t>mwofford@water.ca.gov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w:t>
      </w:r>
    </w:p>
    <w:p>
      <w:pPr>
        <w:spacing w:after="0" w:line="36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8/23/2010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ATTACHMENT B</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SAN DIEGO GAS &amp; ELECTRIC COMPANY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REMITTANCES OF DWR CHARGES</w:t>
      </w:r>
    </w:p>
    <w:p>
      <w:pPr>
        <w:spacing w:after="0" w:line="160" w:lineRule="exact"/>
        <w:rPr>
          <w:sz w:val="20"/>
          <w:szCs w:val="20"/>
          <w:color w:val="auto"/>
        </w:rPr>
      </w:pPr>
    </w:p>
    <w:p>
      <w:pPr>
        <w:ind w:right="120" w:firstLine="496"/>
        <w:spacing w:after="0" w:line="245" w:lineRule="auto"/>
        <w:rPr>
          <w:sz w:val="20"/>
          <w:szCs w:val="20"/>
          <w:color w:val="auto"/>
        </w:rPr>
      </w:pPr>
      <w:r>
        <w:rPr>
          <w:rFonts w:ascii="Arial" w:cs="Arial" w:eastAsia="Arial" w:hAnsi="Arial"/>
          <w:sz w:val="17"/>
          <w:szCs w:val="17"/>
          <w:color w:val="auto"/>
        </w:rPr>
        <w:t>Consistent with the remittance methodology set forth in this Attachment B, SDG&amp;E shall remit DWR Charges, consisting of all applicable Fund Types with respect to each applicable Customer Type, on each Utility Business Day of the Term.</w:t>
      </w:r>
    </w:p>
    <w:p>
      <w:pPr>
        <w:spacing w:after="0" w:line="128" w:lineRule="exact"/>
        <w:rPr>
          <w:sz w:val="20"/>
          <w:szCs w:val="20"/>
          <w:color w:val="auto"/>
        </w:rPr>
      </w:pPr>
    </w:p>
    <w:p>
      <w:pPr>
        <w:ind w:left="500" w:hanging="497"/>
        <w:spacing w:after="0"/>
        <w:tabs>
          <w:tab w:leader="none" w:pos="500"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Billing and Remittance of DWR Charges</w:t>
      </w:r>
    </w:p>
    <w:p>
      <w:pPr>
        <w:spacing w:after="0" w:line="156" w:lineRule="exact"/>
        <w:rPr>
          <w:sz w:val="20"/>
          <w:szCs w:val="20"/>
          <w:color w:val="auto"/>
        </w:rPr>
      </w:pPr>
    </w:p>
    <w:p>
      <w:pPr>
        <w:ind w:right="60" w:firstLine="496"/>
        <w:spacing w:after="0" w:line="259" w:lineRule="auto"/>
        <w:rPr>
          <w:sz w:val="20"/>
          <w:szCs w:val="20"/>
          <w:color w:val="auto"/>
        </w:rPr>
      </w:pPr>
      <w:r>
        <w:rPr>
          <w:rFonts w:ascii="Arial" w:cs="Arial" w:eastAsia="Arial" w:hAnsi="Arial"/>
          <w:sz w:val="16"/>
          <w:szCs w:val="16"/>
          <w:color w:val="auto"/>
        </w:rPr>
        <w:t>In providing Utility Billing Services set forth in Service Attachment 1, the amount included in Utility Bills for the applicable Fund Type of the Customer Type of the DWR Charge shall be calculated by SDG&amp;E as provided in the corresponding Appendix to this Attachment B. By the 7th Utility Business Day after the end of a billing month during the Term, SDG&amp;E will provide to DWR a Monthly Billing Report substantially in the form set forth in Section 1C of Attachment C.</w:t>
      </w:r>
    </w:p>
    <w:p>
      <w:pPr>
        <w:spacing w:after="0" w:line="128" w:lineRule="exact"/>
        <w:rPr>
          <w:sz w:val="20"/>
          <w:szCs w:val="20"/>
          <w:color w:val="auto"/>
        </w:rPr>
      </w:pPr>
    </w:p>
    <w:p>
      <w:pPr>
        <w:ind w:firstLine="496"/>
        <w:spacing w:after="0" w:line="245" w:lineRule="auto"/>
        <w:rPr>
          <w:sz w:val="20"/>
          <w:szCs w:val="20"/>
          <w:color w:val="auto"/>
        </w:rPr>
      </w:pPr>
      <w:r>
        <w:rPr>
          <w:rFonts w:ascii="Arial" w:cs="Arial" w:eastAsia="Arial" w:hAnsi="Arial"/>
          <w:sz w:val="17"/>
          <w:szCs w:val="17"/>
          <w:color w:val="auto"/>
        </w:rPr>
        <w:t>Customer payments for DWR Charges will be collected by SDG&amp;E on behalf of DWR, all as further provided in this Servicing Order. SDG&amp;E shall remit payments for DWR Charges on a daily basis following the process described in Section B of this Attachment B.</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Customer payments for Utility Bills shall be allocated and applied using SDG&amp;E’s payment posting priority process described below in Section G of this Attachment</w:t>
      </w:r>
    </w:p>
    <w:p>
      <w:pPr>
        <w:spacing w:after="0" w:line="39" w:lineRule="exact"/>
        <w:rPr>
          <w:sz w:val="20"/>
          <w:szCs w:val="20"/>
          <w:color w:val="auto"/>
        </w:rPr>
      </w:pPr>
    </w:p>
    <w:p>
      <w:pPr>
        <w:ind w:right="60" w:firstLine="3"/>
        <w:spacing w:after="0" w:line="230" w:lineRule="auto"/>
        <w:tabs>
          <w:tab w:leader="none" w:pos="22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All partial payments to SDG&amp;E for Utility Bills will be prorated based on the said payment posting priority. During SDG&amp;E’s nightly processing during any Utility Business Day, payments for DWR Charges that SDG&amp;E collects on behalf of DWR will be identified and aggregated separately for each Fund Type on all applicable Customer Types, and be credited to DWR’s account and be transmitted on the next Utility Business Day, separately for each Fund Type on all Customer Types by electronic funds transfer. The Parties’ first preference for electronic funds transfer will be by ACH and their secondary preference will be by wire transfer. SDG&amp;E process timing will dictate which electronic funds transfer will be used.</w:t>
      </w:r>
    </w:p>
    <w:p>
      <w:pPr>
        <w:spacing w:after="0" w:line="145" w:lineRule="exact"/>
        <w:rPr>
          <w:sz w:val="20"/>
          <w:szCs w:val="20"/>
          <w:color w:val="auto"/>
        </w:rPr>
      </w:pPr>
    </w:p>
    <w:p>
      <w:pPr>
        <w:jc w:val="both"/>
        <w:ind w:right="20" w:firstLine="496"/>
        <w:spacing w:after="0" w:line="313" w:lineRule="auto"/>
        <w:rPr>
          <w:sz w:val="20"/>
          <w:szCs w:val="20"/>
          <w:color w:val="auto"/>
        </w:rPr>
      </w:pPr>
      <w:r>
        <w:rPr>
          <w:rFonts w:ascii="Arial" w:cs="Arial" w:eastAsia="Arial" w:hAnsi="Arial"/>
          <w:sz w:val="14"/>
          <w:szCs w:val="14"/>
          <w:color w:val="auto"/>
        </w:rPr>
        <w:t>With respect to each Daily Remittance of DWR Charges, SDG&amp;E shall clearly identify the appropriate Fund Type. In determining the Daily Remittance amount of a Fund Type from an applicable Customer Type, SDG&amp;E may net the amount due to DWR against the amount owed to SDG&amp;E only if the adjustment amount belongs to the same Fund Type from the same Customer Type and SDG&amp;E has obtained prior consent from DWR, which consent shall be given on a case by case basis.</w:t>
      </w:r>
    </w:p>
    <w:p>
      <w:pPr>
        <w:spacing w:after="0" w:line="94" w:lineRule="exact"/>
        <w:rPr>
          <w:sz w:val="20"/>
          <w:szCs w:val="20"/>
          <w:color w:val="auto"/>
        </w:rPr>
      </w:pPr>
    </w:p>
    <w:p>
      <w:pPr>
        <w:ind w:left="500" w:hanging="497"/>
        <w:spacing w:after="0"/>
        <w:tabs>
          <w:tab w:leader="none" w:pos="500"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Proposed Process and Timeline for DWR Automated Daily Remittance</w:t>
      </w:r>
    </w:p>
    <w:p>
      <w:pPr>
        <w:spacing w:after="0" w:line="145" w:lineRule="exact"/>
        <w:rPr>
          <w:rFonts w:ascii="Arial" w:cs="Arial" w:eastAsia="Arial" w:hAnsi="Arial"/>
          <w:sz w:val="17"/>
          <w:szCs w:val="17"/>
          <w:color w:val="auto"/>
        </w:rPr>
      </w:pPr>
    </w:p>
    <w:p>
      <w:pPr>
        <w:jc w:val="both"/>
        <w:ind w:right="120" w:firstLine="499"/>
        <w:spacing w:after="0" w:line="301" w:lineRule="auto"/>
        <w:tabs>
          <w:tab w:leader="none" w:pos="992" w:val="left"/>
        </w:tabs>
        <w:numPr>
          <w:ilvl w:val="1"/>
          <w:numId w:val="158"/>
        </w:numPr>
        <w:rPr>
          <w:rFonts w:ascii="Arial" w:cs="Arial" w:eastAsia="Arial" w:hAnsi="Arial"/>
          <w:sz w:val="14"/>
          <w:szCs w:val="14"/>
          <w:color w:val="auto"/>
        </w:rPr>
      </w:pPr>
      <w:r>
        <w:rPr>
          <w:rFonts w:ascii="Arial" w:cs="Arial" w:eastAsia="Arial" w:hAnsi="Arial"/>
          <w:sz w:val="14"/>
          <w:szCs w:val="14"/>
          <w:color w:val="auto"/>
        </w:rPr>
        <w:t>Utility Business Day 0 – SDG&amp;E receives Customer payment and payments are processed. SDG&amp;E’s billing system identifies payments and applies DWR portion based on pre-established payment posting criteria, representing a constructive account for DWR. The Parties acknowledge that payments received from Customers consist of payments to SDG&amp;E and payments to DWR and that until DWR’s portion is remitted to DWR, such funds will be held together by SDG&amp;E. Until remitted to DWR, SDG&amp;E shall hold DWR’s portion of payments in trust for the benefit of DWR (whether or not held together with other monies), consistent with Applicable Law.</w:t>
      </w:r>
    </w:p>
    <w:p>
      <w:pPr>
        <w:spacing w:after="0" w:line="101" w:lineRule="exact"/>
        <w:rPr>
          <w:rFonts w:ascii="Arial" w:cs="Arial" w:eastAsia="Arial" w:hAnsi="Arial"/>
          <w:sz w:val="14"/>
          <w:szCs w:val="14"/>
          <w:color w:val="auto"/>
        </w:rPr>
      </w:pPr>
    </w:p>
    <w:p>
      <w:pPr>
        <w:ind w:right="160" w:firstLine="499"/>
        <w:spacing w:after="0" w:line="295" w:lineRule="auto"/>
        <w:tabs>
          <w:tab w:leader="none" w:pos="992" w:val="left"/>
        </w:tabs>
        <w:numPr>
          <w:ilvl w:val="1"/>
          <w:numId w:val="158"/>
        </w:numPr>
        <w:rPr>
          <w:rFonts w:ascii="Arial" w:cs="Arial" w:eastAsia="Arial" w:hAnsi="Arial"/>
          <w:sz w:val="14"/>
          <w:szCs w:val="14"/>
          <w:color w:val="auto"/>
        </w:rPr>
      </w:pPr>
      <w:r>
        <w:rPr>
          <w:rFonts w:ascii="Arial" w:cs="Arial" w:eastAsia="Arial" w:hAnsi="Arial"/>
          <w:sz w:val="14"/>
          <w:szCs w:val="14"/>
          <w:color w:val="auto"/>
        </w:rPr>
        <w:t>Utility Business Day 1 - Payments are sent to DWR by 12:00 noon based on remittance schedule. DWR acknowledges delays of up to 3 Utility Business Days may occur due to errors, system failures and other factors. DWR agrees that such delays shall not constitute a default pursuant to Section 5.2 of the Servicing Order; provided, however, that SDG&amp;E shall undertake commercially reasonable efforts to rectify any cause for such delay. SDG&amp;E shall promptly notify DWR when any such delay occurs and the expected date for returning to the normal schedule. In cases where ACH electronic payment is remitted, SDG&amp;E will remit to its bank on Utility Business Day 1. DWR agrees that this payment meets SDG&amp;E’s remittance schedule requirements pursuant to this Attachment B.</w:t>
      </w:r>
    </w:p>
    <w:p>
      <w:pPr>
        <w:spacing w:after="0" w:line="95" w:lineRule="exact"/>
        <w:rPr>
          <w:rFonts w:ascii="Arial" w:cs="Arial" w:eastAsia="Arial" w:hAnsi="Arial"/>
          <w:sz w:val="14"/>
          <w:szCs w:val="14"/>
          <w:color w:val="auto"/>
        </w:rPr>
      </w:pPr>
    </w:p>
    <w:p>
      <w:pPr>
        <w:ind w:right="100" w:firstLine="499"/>
        <w:spacing w:after="0" w:line="245" w:lineRule="auto"/>
        <w:tabs>
          <w:tab w:leader="none" w:pos="992" w:val="left"/>
        </w:tabs>
        <w:numPr>
          <w:ilvl w:val="1"/>
          <w:numId w:val="158"/>
        </w:numPr>
        <w:rPr>
          <w:rFonts w:ascii="Arial" w:cs="Arial" w:eastAsia="Arial" w:hAnsi="Arial"/>
          <w:sz w:val="17"/>
          <w:szCs w:val="17"/>
          <w:color w:val="auto"/>
        </w:rPr>
      </w:pPr>
      <w:r>
        <w:rPr>
          <w:rFonts w:ascii="Arial" w:cs="Arial" w:eastAsia="Arial" w:hAnsi="Arial"/>
          <w:sz w:val="17"/>
          <w:szCs w:val="17"/>
          <w:color w:val="auto"/>
        </w:rPr>
        <w:t>Adjustments for misapplied payments, returned checks, payment transfers, and miscellaneous adjustments will be reflected in the Remittance with respect to each Fund Type of applicable Customer Type, as those adjustments are made in SDG&amp;E’s billing system.</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60"/>
          </w:cols>
          <w:pgMar w:left="220" w:top="124" w:right="219" w:bottom="0" w:gutter="0" w:footer="0" w:header="0"/>
        </w:sectPr>
      </w:pPr>
    </w:p>
    <w:bookmarkStart w:id="123" w:name="page124"/>
    <w:bookmarkEnd w:id="123"/>
    <w:p>
      <w:pPr>
        <w:jc w:val="both"/>
        <w:ind w:right="320" w:firstLine="992"/>
        <w:spacing w:after="0" w:line="237" w:lineRule="auto"/>
        <w:rPr>
          <w:sz w:val="20"/>
          <w:szCs w:val="20"/>
          <w:color w:val="auto"/>
        </w:rPr>
      </w:pPr>
      <w:r>
        <w:rPr>
          <w:rFonts w:ascii="Arial" w:cs="Arial" w:eastAsia="Arial" w:hAnsi="Arial"/>
          <w:sz w:val="17"/>
          <w:szCs w:val="17"/>
          <w:color w:val="auto"/>
        </w:rPr>
        <w:t>Daily Remittances shall be accompanied by a single Daily Remittance Report separately identifying the remitted amounts of DWR Charges of each Fund Type of each Customer Type, substantially in the form set forth in Section 1A of Attachment C. Each Daily Remittance Report shall be accompanied by the Remittance Netting Report, substantially in the form set forth in Section 1B of Attachment C.</w:t>
      </w:r>
    </w:p>
    <w:p>
      <w:pPr>
        <w:spacing w:after="0" w:line="133" w:lineRule="exact"/>
        <w:rPr>
          <w:sz w:val="20"/>
          <w:szCs w:val="20"/>
          <w:color w:val="auto"/>
        </w:rPr>
      </w:pPr>
    </w:p>
    <w:p>
      <w:pPr>
        <w:ind w:left="500" w:hanging="497"/>
        <w:spacing w:after="0"/>
        <w:tabs>
          <w:tab w:leader="none" w:pos="500"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Collection of DWR Charges</w:t>
      </w:r>
    </w:p>
    <w:p>
      <w:pPr>
        <w:spacing w:after="0" w:line="155" w:lineRule="exact"/>
        <w:rPr>
          <w:rFonts w:ascii="Arial" w:cs="Arial" w:eastAsia="Arial" w:hAnsi="Arial"/>
          <w:sz w:val="17"/>
          <w:szCs w:val="17"/>
          <w:color w:val="auto"/>
        </w:rPr>
      </w:pPr>
    </w:p>
    <w:p>
      <w:pPr>
        <w:ind w:right="220" w:firstLine="499"/>
        <w:spacing w:after="0" w:line="245" w:lineRule="auto"/>
        <w:tabs>
          <w:tab w:leader="none" w:pos="992" w:val="left"/>
        </w:tabs>
        <w:numPr>
          <w:ilvl w:val="1"/>
          <w:numId w:val="159"/>
        </w:numPr>
        <w:rPr>
          <w:rFonts w:ascii="Arial" w:cs="Arial" w:eastAsia="Arial" w:hAnsi="Arial"/>
          <w:sz w:val="17"/>
          <w:szCs w:val="17"/>
          <w:color w:val="auto"/>
        </w:rPr>
      </w:pPr>
      <w:r>
        <w:rPr>
          <w:rFonts w:ascii="Arial" w:cs="Arial" w:eastAsia="Arial" w:hAnsi="Arial"/>
          <w:sz w:val="17"/>
          <w:szCs w:val="17"/>
          <w:color w:val="auto"/>
        </w:rPr>
        <w:t>As permitted by Applicable Law, SDG&amp;E will disconnect Customers’ electric service for unpaid DWR Charges. Disconnection for DWR Charges will be performed in the same manner as SDG&amp;E disconnects for its own charges and consistent with Applicable Tariffs.</w:t>
      </w:r>
    </w:p>
    <w:p>
      <w:pPr>
        <w:spacing w:after="0" w:line="128" w:lineRule="exact"/>
        <w:rPr>
          <w:rFonts w:ascii="Arial" w:cs="Arial" w:eastAsia="Arial" w:hAnsi="Arial"/>
          <w:sz w:val="17"/>
          <w:szCs w:val="17"/>
          <w:color w:val="auto"/>
        </w:rPr>
      </w:pPr>
    </w:p>
    <w:p>
      <w:pPr>
        <w:jc w:val="both"/>
        <w:ind w:right="780" w:firstLine="499"/>
        <w:spacing w:after="0" w:line="349" w:lineRule="auto"/>
        <w:tabs>
          <w:tab w:leader="none" w:pos="992" w:val="left"/>
        </w:tabs>
        <w:numPr>
          <w:ilvl w:val="1"/>
          <w:numId w:val="159"/>
        </w:numPr>
        <w:rPr>
          <w:rFonts w:ascii="Arial" w:cs="Arial" w:eastAsia="Arial" w:hAnsi="Arial"/>
          <w:sz w:val="14"/>
          <w:szCs w:val="14"/>
          <w:color w:val="auto"/>
        </w:rPr>
      </w:pPr>
      <w:r>
        <w:rPr>
          <w:rFonts w:ascii="Arial" w:cs="Arial" w:eastAsia="Arial" w:hAnsi="Arial"/>
          <w:sz w:val="14"/>
          <w:szCs w:val="14"/>
          <w:color w:val="auto"/>
        </w:rPr>
        <w:t>Responsibility for collection of any DWR Charges that remain unpaid 180 calendar days after the final statement was issued shall become the sole responsibility of DWR. However, Customer payments received by SDG&amp;E after such reversion to DWR will continue to be applied on a pro-rata basis to DWR.</w:t>
      </w:r>
    </w:p>
    <w:p>
      <w:pPr>
        <w:spacing w:after="0" w:line="58" w:lineRule="exact"/>
        <w:rPr>
          <w:rFonts w:ascii="Arial" w:cs="Arial" w:eastAsia="Arial" w:hAnsi="Arial"/>
          <w:sz w:val="14"/>
          <w:szCs w:val="14"/>
          <w:color w:val="auto"/>
        </w:rPr>
      </w:pPr>
    </w:p>
    <w:p>
      <w:pPr>
        <w:ind w:right="200" w:firstLine="499"/>
        <w:spacing w:after="0" w:line="237" w:lineRule="auto"/>
        <w:tabs>
          <w:tab w:leader="none" w:pos="992" w:val="left"/>
        </w:tabs>
        <w:numPr>
          <w:ilvl w:val="1"/>
          <w:numId w:val="159"/>
        </w:numPr>
        <w:rPr>
          <w:rFonts w:ascii="Arial" w:cs="Arial" w:eastAsia="Arial" w:hAnsi="Arial"/>
          <w:sz w:val="17"/>
          <w:szCs w:val="17"/>
          <w:color w:val="auto"/>
        </w:rPr>
      </w:pPr>
      <w:r>
        <w:rPr>
          <w:rFonts w:ascii="Arial" w:cs="Arial" w:eastAsia="Arial" w:hAnsi="Arial"/>
          <w:sz w:val="17"/>
          <w:szCs w:val="17"/>
          <w:color w:val="auto"/>
        </w:rPr>
        <w:t>SDG&amp;E may use collection agency services to recover outstanding balances on Customers’ closed accounts. When DWR receives benefit of such services through recovery of payments to Customer accounts, Parties agree that DWR’s Remittances will be adjusted to account for the pro-rata share of collection agency fees associated with DWR’s portion of recovered charges.</w:t>
      </w:r>
    </w:p>
    <w:p>
      <w:pPr>
        <w:spacing w:after="0" w:line="144" w:lineRule="exact"/>
        <w:rPr>
          <w:sz w:val="20"/>
          <w:szCs w:val="20"/>
          <w:color w:val="auto"/>
        </w:rPr>
      </w:pPr>
    </w:p>
    <w:p>
      <w:pPr>
        <w:ind w:right="120" w:firstLine="496"/>
        <w:spacing w:after="0" w:line="245" w:lineRule="auto"/>
        <w:rPr>
          <w:sz w:val="20"/>
          <w:szCs w:val="20"/>
          <w:color w:val="auto"/>
        </w:rPr>
      </w:pPr>
      <w:r>
        <w:rPr>
          <w:rFonts w:ascii="Arial" w:cs="Arial" w:eastAsia="Arial" w:hAnsi="Arial"/>
          <w:sz w:val="17"/>
          <w:szCs w:val="17"/>
          <w:color w:val="auto"/>
        </w:rPr>
        <w:t>By the 7th Utility Business Day after the end of a billing month during the Term, SDG&amp;E will provide to DWR a Monthly DWR Charge-Off and Recovery Report, substantially in the form set forth in Section 1E of Attachment C.</w:t>
      </w:r>
    </w:p>
    <w:p>
      <w:pPr>
        <w:spacing w:after="0" w:line="138" w:lineRule="exact"/>
        <w:rPr>
          <w:sz w:val="20"/>
          <w:szCs w:val="20"/>
          <w:color w:val="auto"/>
        </w:rPr>
      </w:pPr>
    </w:p>
    <w:p>
      <w:pPr>
        <w:ind w:left="500" w:hanging="497"/>
        <w:spacing w:after="0"/>
        <w:tabs>
          <w:tab w:leader="none" w:pos="500"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Survival of Payment Obligations</w:t>
      </w:r>
    </w:p>
    <w:p>
      <w:pPr>
        <w:spacing w:after="0" w:line="156" w:lineRule="exact"/>
        <w:rPr>
          <w:sz w:val="20"/>
          <w:szCs w:val="20"/>
          <w:color w:val="auto"/>
        </w:rPr>
      </w:pPr>
    </w:p>
    <w:p>
      <w:pPr>
        <w:ind w:right="60" w:firstLine="496"/>
        <w:spacing w:after="0" w:line="250" w:lineRule="auto"/>
        <w:rPr>
          <w:sz w:val="20"/>
          <w:szCs w:val="20"/>
          <w:color w:val="auto"/>
        </w:rPr>
      </w:pPr>
      <w:r>
        <w:rPr>
          <w:rFonts w:ascii="Arial" w:cs="Arial" w:eastAsia="Arial" w:hAnsi="Arial"/>
          <w:sz w:val="16"/>
          <w:szCs w:val="16"/>
          <w:color w:val="auto"/>
        </w:rPr>
        <w:t>SDG&amp;E has the right but not the obligation to pursue collection of DWR Charges after 180 calendar days following the termination of this Servicing Order pursuant to Section 5. Provided, however, SDG&amp;E may continue collection services for a period of 3 years after the Customer’s account was closed if prior to the termination of this Servicing Order the Parties reach a mutually satisfactory arrangement either to (i) reimburse SDG&amp;E for its estimated reasonable costs to continue with collection and allocation activities for such period or (ii) estimate the amount of collections that are reasonably likely to be recovered, which amount (including discounts for cash flow impacts) SDG&amp;E shall promptly remit to DWR in full satisfaction of its collection services.</w:t>
      </w:r>
    </w:p>
    <w:p>
      <w:pPr>
        <w:spacing w:after="0" w:line="127" w:lineRule="exact"/>
        <w:rPr>
          <w:sz w:val="20"/>
          <w:szCs w:val="20"/>
          <w:color w:val="auto"/>
        </w:rPr>
      </w:pPr>
    </w:p>
    <w:p>
      <w:pPr>
        <w:ind w:left="500" w:hanging="497"/>
        <w:spacing w:after="0"/>
        <w:tabs>
          <w:tab w:leader="none" w:pos="500"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Deposits Securing DWR Charges</w:t>
      </w:r>
    </w:p>
    <w:p>
      <w:pPr>
        <w:spacing w:after="0" w:line="156" w:lineRule="exact"/>
        <w:rPr>
          <w:sz w:val="20"/>
          <w:szCs w:val="20"/>
          <w:color w:val="auto"/>
        </w:rPr>
      </w:pPr>
    </w:p>
    <w:p>
      <w:pPr>
        <w:ind w:right="520" w:firstLine="496"/>
        <w:spacing w:after="0" w:line="245" w:lineRule="auto"/>
        <w:rPr>
          <w:sz w:val="20"/>
          <w:szCs w:val="20"/>
          <w:color w:val="auto"/>
        </w:rPr>
      </w:pPr>
      <w:r>
        <w:rPr>
          <w:rFonts w:ascii="Arial" w:cs="Arial" w:eastAsia="Arial" w:hAnsi="Arial"/>
          <w:sz w:val="17"/>
          <w:szCs w:val="17"/>
          <w:color w:val="auto"/>
        </w:rPr>
        <w:t>In accordance with Applicable Tariffs, SDG&amp;E shall collect security deposits from Customers and return those security deposits to Customers. Such security deposits will be applied pro rata to DWR Charges in the event a Customer’s billing account with SDG&amp;E is closed.</w:t>
      </w:r>
    </w:p>
    <w:p>
      <w:pPr>
        <w:spacing w:after="0" w:line="128" w:lineRule="exact"/>
        <w:rPr>
          <w:sz w:val="20"/>
          <w:szCs w:val="20"/>
          <w:color w:val="auto"/>
        </w:rPr>
      </w:pPr>
    </w:p>
    <w:p>
      <w:pPr>
        <w:ind w:left="500" w:hanging="497"/>
        <w:spacing w:after="0"/>
        <w:tabs>
          <w:tab w:leader="none" w:pos="500"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Other Operating Revenue Collected by SDG&amp;E</w:t>
      </w:r>
    </w:p>
    <w:p>
      <w:pPr>
        <w:spacing w:after="0" w:line="156" w:lineRule="exact"/>
        <w:rPr>
          <w:sz w:val="20"/>
          <w:szCs w:val="20"/>
          <w:color w:val="auto"/>
        </w:rPr>
      </w:pPr>
    </w:p>
    <w:p>
      <w:pPr>
        <w:ind w:right="360" w:firstLine="496"/>
        <w:spacing w:after="0" w:line="294" w:lineRule="auto"/>
        <w:rPr>
          <w:sz w:val="20"/>
          <w:szCs w:val="20"/>
          <w:color w:val="auto"/>
        </w:rPr>
      </w:pPr>
      <w:r>
        <w:rPr>
          <w:rFonts w:ascii="Arial" w:cs="Arial" w:eastAsia="Arial" w:hAnsi="Arial"/>
          <w:sz w:val="14"/>
          <w:szCs w:val="14"/>
          <w:color w:val="auto"/>
        </w:rPr>
        <w:t>DWR shall have no rights in or entitlements to charges associated with SDG&amp;E’s collection or payment activities, including but not limited to, returned check charge, reconnection of service charge, field assignment charge, and other service charges related to billing, payment, or collections. However, pursuant to Section 6 of</w:t>
      </w:r>
    </w:p>
    <w:p>
      <w:pPr>
        <w:spacing w:after="0" w:line="1" w:lineRule="exact"/>
        <w:rPr>
          <w:sz w:val="20"/>
          <w:szCs w:val="20"/>
          <w:color w:val="auto"/>
        </w:rPr>
      </w:pPr>
    </w:p>
    <w:p>
      <w:pPr>
        <w:ind w:right="100"/>
        <w:spacing w:after="0" w:line="208" w:lineRule="auto"/>
        <w:rPr>
          <w:sz w:val="20"/>
          <w:szCs w:val="20"/>
          <w:color w:val="auto"/>
        </w:rPr>
      </w:pPr>
      <w:r>
        <w:rPr>
          <w:rFonts w:ascii="Arial" w:cs="Arial" w:eastAsia="Arial" w:hAnsi="Arial"/>
          <w:sz w:val="17"/>
          <w:szCs w:val="17"/>
          <w:color w:val="auto"/>
        </w:rPr>
        <w:t>Service Attachment 1, late payment interest charges will be applied pro-rata to DWR Charges. By the 7</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Utility Business Day of each billing month during the Term, SDG&amp;E will provide to DWR a Monthly Late Payment Charge Report presenting the calculation of pro-rata sharing of late payments for the preceding month substantially in the form set forth in Section 1D of Attachment C.</w:t>
      </w:r>
    </w:p>
    <w:p>
      <w:pPr>
        <w:spacing w:after="0" w:line="144" w:lineRule="exact"/>
        <w:rPr>
          <w:sz w:val="20"/>
          <w:szCs w:val="20"/>
          <w:color w:val="auto"/>
        </w:rPr>
      </w:pPr>
    </w:p>
    <w:p>
      <w:pPr>
        <w:ind w:left="500" w:hanging="497"/>
        <w:spacing w:after="0"/>
        <w:tabs>
          <w:tab w:leader="none" w:pos="500"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Payment Posting Priority for Utility Billing</w:t>
      </w:r>
    </w:p>
    <w:p>
      <w:pPr>
        <w:spacing w:after="0" w:line="145"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7"/>
          <w:szCs w:val="17"/>
          <w:color w:val="auto"/>
        </w:rPr>
        <w:t>l.</w:t>
      </w:r>
      <w:r>
        <w:rPr>
          <w:rFonts w:ascii="Arial" w:cs="Arial" w:eastAsia="Arial" w:hAnsi="Arial"/>
          <w:sz w:val="16"/>
          <w:szCs w:val="16"/>
          <w:color w:val="auto"/>
        </w:rPr>
        <w:t>Priority</w:t>
      </w:r>
    </w:p>
    <w:p>
      <w:pPr>
        <w:spacing w:after="0" w:line="156" w:lineRule="exact"/>
        <w:rPr>
          <w:sz w:val="20"/>
          <w:szCs w:val="20"/>
          <w:color w:val="auto"/>
        </w:rPr>
      </w:pPr>
    </w:p>
    <w:p>
      <w:pPr>
        <w:ind w:firstLine="496"/>
        <w:spacing w:after="0" w:line="249" w:lineRule="auto"/>
        <w:rPr>
          <w:sz w:val="20"/>
          <w:szCs w:val="20"/>
          <w:color w:val="auto"/>
        </w:rPr>
      </w:pPr>
      <w:r>
        <w:rPr>
          <w:rFonts w:ascii="Arial" w:cs="Arial" w:eastAsia="Arial" w:hAnsi="Arial"/>
          <w:sz w:val="16"/>
          <w:szCs w:val="16"/>
          <w:color w:val="auto"/>
        </w:rPr>
        <w:t>Payment posting rules for Utility Bills will assign equal priority to SDG&amp;E gas and electric energy and service charges and DWR Charges to the extent that such charges are presented on a Utility Bill. To the extent a Customer’s security deposit request has been included on the customer’s monthly billing statement, the Customer’s payment will be first applied to the outstanding deposit amount. Thereafter, payments will be prorated among disconnectible SDG&amp;E gas and electric energy and service charges and DWR Charges based on the amount owing in each statement, beginning with the oldest statement. SDG&amp;E’s payment posting priority enables SDG&amp;E to make timely payments to SDG&amp;E, DWR, and other agencies/Cities where SDG&amp;E is required to collect surcharges, fees and taxes. Any other outstanding disconnectible and non-disconnectible charges will be paid with any remaining credit balance.</w:t>
      </w:r>
    </w:p>
    <w:p>
      <w:pPr>
        <w:spacing w:after="0" w:line="126" w:lineRule="exact"/>
        <w:rPr>
          <w:sz w:val="20"/>
          <w:szCs w:val="20"/>
          <w:color w:val="auto"/>
        </w:rPr>
      </w:pPr>
    </w:p>
    <w:p>
      <w:pPr>
        <w:ind w:left="1000" w:hanging="501"/>
        <w:spacing w:after="0"/>
        <w:tabs>
          <w:tab w:leader="none" w:pos="100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Payment Posting Rules for Utility Billing</w:t>
      </w:r>
    </w:p>
    <w:p>
      <w:pPr>
        <w:spacing w:after="0" w:line="156" w:lineRule="exact"/>
        <w:rPr>
          <w:sz w:val="20"/>
          <w:szCs w:val="20"/>
          <w:color w:val="auto"/>
        </w:rPr>
      </w:pPr>
    </w:p>
    <w:p>
      <w:pPr>
        <w:ind w:left="1000" w:hanging="501"/>
        <w:spacing w:after="0"/>
        <w:tabs>
          <w:tab w:leader="none" w:pos="10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Payments will be applied to outstanding charges from the oldest statement first.</w:t>
      </w:r>
    </w:p>
    <w:p>
      <w:pPr>
        <w:spacing w:after="0" w:line="145" w:lineRule="exact"/>
        <w:rPr>
          <w:rFonts w:ascii="Arial" w:cs="Arial" w:eastAsia="Arial" w:hAnsi="Arial"/>
          <w:sz w:val="17"/>
          <w:szCs w:val="17"/>
          <w:color w:val="auto"/>
        </w:rPr>
      </w:pPr>
    </w:p>
    <w:p>
      <w:pPr>
        <w:ind w:right="40" w:firstLine="499"/>
        <w:spacing w:after="0" w:line="245" w:lineRule="auto"/>
        <w:tabs>
          <w:tab w:leader="none" w:pos="992"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amount of payment applied to SDG&amp;E’s gas and electric energy/service charges on a Utility Bill will be applied on a pro-rata basis between SDG&amp;E gas and electric energy/service charges in the following illustrative manner:</w:t>
      </w:r>
    </w:p>
    <w:p>
      <w:pPr>
        <w:spacing w:after="0" w:line="135" w:lineRule="exact"/>
        <w:rPr>
          <w:sz w:val="20"/>
          <w:szCs w:val="20"/>
          <w:color w:val="auto"/>
        </w:rPr>
      </w:pPr>
    </w:p>
    <w:tbl>
      <w:tblPr>
        <w:tblLayout w:type="fixed"/>
        <w:tblInd w:w="2820" w:type="dxa"/>
        <w:tblCellMar>
          <w:top w:w="0" w:type="dxa"/>
          <w:left w:w="0" w:type="dxa"/>
          <w:bottom w:w="0" w:type="dxa"/>
          <w:right w:w="0" w:type="dxa"/>
        </w:tblCellMar>
      </w:tblPr>
      <w:tr>
        <w:trPr>
          <w:trHeight w:val="195"/>
        </w:trPr>
        <w:tc>
          <w:tcPr>
            <w:tcW w:w="1940" w:type="dxa"/>
            <w:vAlign w:val="bottom"/>
            <w:gridSpan w:val="2"/>
          </w:tcPr>
          <w:p>
            <w:pPr>
              <w:spacing w:after="0"/>
              <w:rPr>
                <w:sz w:val="20"/>
                <w:szCs w:val="20"/>
                <w:color w:val="auto"/>
              </w:rPr>
            </w:pPr>
            <w:r>
              <w:rPr>
                <w:rFonts w:ascii="Arial" w:cs="Arial" w:eastAsia="Arial" w:hAnsi="Arial"/>
                <w:sz w:val="17"/>
                <w:szCs w:val="17"/>
                <w:color w:val="auto"/>
              </w:rPr>
              <w:t>Sample:</w:t>
            </w:r>
          </w:p>
        </w:tc>
        <w:tc>
          <w:tcPr>
            <w:tcW w:w="1460" w:type="dxa"/>
            <w:vAlign w:val="bottom"/>
            <w:gridSpan w:val="2"/>
          </w:tcPr>
          <w:p>
            <w:pPr>
              <w:spacing w:after="0"/>
              <w:rPr>
                <w:sz w:val="20"/>
                <w:szCs w:val="20"/>
                <w:color w:val="auto"/>
              </w:rPr>
            </w:pPr>
            <w:r>
              <w:rPr>
                <w:rFonts w:ascii="Arial" w:cs="Arial" w:eastAsia="Arial" w:hAnsi="Arial"/>
                <w:sz w:val="17"/>
                <w:szCs w:val="17"/>
                <w:color w:val="auto"/>
              </w:rPr>
              <w:t>Electric</w:t>
            </w:r>
          </w:p>
        </w:tc>
        <w:tc>
          <w:tcPr>
            <w:tcW w:w="920" w:type="dxa"/>
            <w:vAlign w:val="bottom"/>
            <w:gridSpan w:val="2"/>
          </w:tcPr>
          <w:p>
            <w:pPr>
              <w:spacing w:after="0"/>
              <w:rPr>
                <w:sz w:val="20"/>
                <w:szCs w:val="20"/>
                <w:color w:val="auto"/>
              </w:rPr>
            </w:pPr>
            <w:r>
              <w:rPr>
                <w:rFonts w:ascii="Arial" w:cs="Arial" w:eastAsia="Arial" w:hAnsi="Arial"/>
                <w:sz w:val="17"/>
                <w:szCs w:val="17"/>
                <w:color w:val="auto"/>
              </w:rPr>
              <w:t>Gas</w:t>
            </w:r>
          </w:p>
        </w:tc>
        <w:tc>
          <w:tcPr>
            <w:tcW w:w="940" w:type="dxa"/>
            <w:vAlign w:val="bottom"/>
            <w:gridSpan w:val="3"/>
          </w:tcPr>
          <w:p>
            <w:pPr>
              <w:ind w:left="400"/>
              <w:spacing w:after="0"/>
              <w:rPr>
                <w:sz w:val="20"/>
                <w:szCs w:val="20"/>
                <w:color w:val="auto"/>
              </w:rPr>
            </w:pPr>
            <w:r>
              <w:rPr>
                <w:rFonts w:ascii="Arial" w:cs="Arial" w:eastAsia="Arial" w:hAnsi="Arial"/>
                <w:sz w:val="17"/>
                <w:szCs w:val="17"/>
                <w:color w:val="auto"/>
              </w:rPr>
              <w:t>Total</w:t>
            </w:r>
          </w:p>
        </w:tc>
      </w:tr>
      <w:tr>
        <w:trPr>
          <w:trHeight w:val="20"/>
        </w:trPr>
        <w:tc>
          <w:tcPr>
            <w:tcW w:w="5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0"/>
        </w:trPr>
        <w:tc>
          <w:tcPr>
            <w:tcW w:w="1940" w:type="dxa"/>
            <w:vAlign w:val="bottom"/>
            <w:gridSpan w:val="2"/>
          </w:tcPr>
          <w:p>
            <w:pPr>
              <w:spacing w:after="0" w:line="180" w:lineRule="exact"/>
              <w:rPr>
                <w:sz w:val="20"/>
                <w:szCs w:val="20"/>
                <w:color w:val="auto"/>
              </w:rPr>
            </w:pPr>
            <w:r>
              <w:rPr>
                <w:rFonts w:ascii="Arial" w:cs="Arial" w:eastAsia="Arial" w:hAnsi="Arial"/>
                <w:sz w:val="17"/>
                <w:szCs w:val="17"/>
                <w:color w:val="auto"/>
              </w:rPr>
              <w:t>Bill Date 1/10/06</w:t>
            </w:r>
          </w:p>
        </w:tc>
        <w:tc>
          <w:tcPr>
            <w:tcW w:w="1460" w:type="dxa"/>
            <w:vAlign w:val="bottom"/>
            <w:gridSpan w:val="2"/>
          </w:tcPr>
          <w:p>
            <w:pPr>
              <w:spacing w:after="0" w:line="180" w:lineRule="exact"/>
              <w:rPr>
                <w:sz w:val="20"/>
                <w:szCs w:val="20"/>
                <w:color w:val="auto"/>
              </w:rPr>
            </w:pPr>
            <w:r>
              <w:rPr>
                <w:rFonts w:ascii="Arial" w:cs="Arial" w:eastAsia="Arial" w:hAnsi="Arial"/>
                <w:sz w:val="17"/>
                <w:szCs w:val="17"/>
                <w:color w:val="auto"/>
              </w:rPr>
              <w:t>$100.00</w:t>
            </w:r>
          </w:p>
        </w:tc>
        <w:tc>
          <w:tcPr>
            <w:tcW w:w="920" w:type="dxa"/>
            <w:vAlign w:val="bottom"/>
            <w:gridSpan w:val="2"/>
          </w:tcPr>
          <w:p>
            <w:pPr>
              <w:spacing w:after="0" w:line="180" w:lineRule="exact"/>
              <w:rPr>
                <w:sz w:val="20"/>
                <w:szCs w:val="20"/>
                <w:color w:val="auto"/>
              </w:rPr>
            </w:pPr>
            <w:r>
              <w:rPr>
                <w:rFonts w:ascii="Arial" w:cs="Arial" w:eastAsia="Arial" w:hAnsi="Arial"/>
                <w:sz w:val="17"/>
                <w:szCs w:val="17"/>
                <w:color w:val="auto"/>
              </w:rPr>
              <w:t>$100.00</w:t>
            </w:r>
          </w:p>
        </w:tc>
        <w:tc>
          <w:tcPr>
            <w:tcW w:w="940" w:type="dxa"/>
            <w:vAlign w:val="bottom"/>
            <w:gridSpan w:val="3"/>
          </w:tcPr>
          <w:p>
            <w:pPr>
              <w:ind w:left="400"/>
              <w:spacing w:after="0" w:line="180" w:lineRule="exact"/>
              <w:rPr>
                <w:sz w:val="20"/>
                <w:szCs w:val="20"/>
                <w:color w:val="auto"/>
              </w:rPr>
            </w:pPr>
            <w:r>
              <w:rPr>
                <w:rFonts w:ascii="Arial" w:cs="Arial" w:eastAsia="Arial" w:hAnsi="Arial"/>
                <w:sz w:val="17"/>
                <w:szCs w:val="17"/>
                <w:color w:val="auto"/>
                <w:w w:val="84"/>
              </w:rPr>
              <w:t>$200.00</w:t>
            </w:r>
          </w:p>
        </w:tc>
      </w:tr>
      <w:tr>
        <w:trPr>
          <w:trHeight w:val="186"/>
        </w:trPr>
        <w:tc>
          <w:tcPr>
            <w:tcW w:w="1940" w:type="dxa"/>
            <w:vAlign w:val="bottom"/>
            <w:gridSpan w:val="2"/>
          </w:tcPr>
          <w:p>
            <w:pPr>
              <w:spacing w:after="0" w:line="186" w:lineRule="exact"/>
              <w:rPr>
                <w:sz w:val="20"/>
                <w:szCs w:val="20"/>
                <w:color w:val="auto"/>
              </w:rPr>
            </w:pPr>
            <w:r>
              <w:rPr>
                <w:rFonts w:ascii="Arial" w:cs="Arial" w:eastAsia="Arial" w:hAnsi="Arial"/>
                <w:sz w:val="17"/>
                <w:szCs w:val="17"/>
                <w:color w:val="auto"/>
              </w:rPr>
              <w:t>% of Total</w:t>
            </w:r>
          </w:p>
        </w:tc>
        <w:tc>
          <w:tcPr>
            <w:tcW w:w="520" w:type="dxa"/>
            <w:vAlign w:val="bottom"/>
          </w:tcPr>
          <w:p>
            <w:pPr>
              <w:spacing w:after="0" w:line="186" w:lineRule="exact"/>
              <w:rPr>
                <w:sz w:val="20"/>
                <w:szCs w:val="20"/>
                <w:color w:val="auto"/>
              </w:rPr>
            </w:pPr>
            <w:r>
              <w:rPr>
                <w:rFonts w:ascii="Arial" w:cs="Arial" w:eastAsia="Arial" w:hAnsi="Arial"/>
                <w:sz w:val="17"/>
                <w:szCs w:val="17"/>
                <w:color w:val="auto"/>
              </w:rPr>
              <w:t>50%</w:t>
            </w:r>
          </w:p>
        </w:tc>
        <w:tc>
          <w:tcPr>
            <w:tcW w:w="940" w:type="dxa"/>
            <w:vAlign w:val="bottom"/>
          </w:tcPr>
          <w:p>
            <w:pPr>
              <w:spacing w:after="0"/>
              <w:rPr>
                <w:sz w:val="16"/>
                <w:szCs w:val="16"/>
                <w:color w:val="auto"/>
              </w:rPr>
            </w:pPr>
          </w:p>
        </w:tc>
        <w:tc>
          <w:tcPr>
            <w:tcW w:w="920" w:type="dxa"/>
            <w:vAlign w:val="bottom"/>
            <w:gridSpan w:val="2"/>
          </w:tcPr>
          <w:p>
            <w:pPr>
              <w:spacing w:after="0" w:line="186" w:lineRule="exact"/>
              <w:rPr>
                <w:sz w:val="20"/>
                <w:szCs w:val="20"/>
                <w:color w:val="auto"/>
              </w:rPr>
            </w:pPr>
            <w:r>
              <w:rPr>
                <w:rFonts w:ascii="Arial" w:cs="Arial" w:eastAsia="Arial" w:hAnsi="Arial"/>
                <w:sz w:val="17"/>
                <w:szCs w:val="17"/>
                <w:color w:val="auto"/>
              </w:rPr>
              <w:t>50%</w:t>
            </w:r>
          </w:p>
        </w:tc>
        <w:tc>
          <w:tcPr>
            <w:tcW w:w="940" w:type="dxa"/>
            <w:vAlign w:val="bottom"/>
            <w:gridSpan w:val="3"/>
          </w:tcPr>
          <w:p>
            <w:pPr>
              <w:ind w:left="400"/>
              <w:spacing w:after="0" w:line="186" w:lineRule="exact"/>
              <w:rPr>
                <w:sz w:val="20"/>
                <w:szCs w:val="20"/>
                <w:color w:val="auto"/>
              </w:rPr>
            </w:pPr>
            <w:r>
              <w:rPr>
                <w:rFonts w:ascii="Arial" w:cs="Arial" w:eastAsia="Arial" w:hAnsi="Arial"/>
                <w:sz w:val="17"/>
                <w:szCs w:val="17"/>
                <w:color w:val="auto"/>
              </w:rPr>
              <w:t>100%</w:t>
            </w:r>
          </w:p>
        </w:tc>
      </w:tr>
      <w:tr>
        <w:trPr>
          <w:trHeight w:val="186"/>
        </w:trPr>
        <w:tc>
          <w:tcPr>
            <w:tcW w:w="1940" w:type="dxa"/>
            <w:vAlign w:val="bottom"/>
            <w:gridSpan w:val="2"/>
          </w:tcPr>
          <w:p>
            <w:pPr>
              <w:spacing w:after="0" w:line="186" w:lineRule="exact"/>
              <w:rPr>
                <w:sz w:val="20"/>
                <w:szCs w:val="20"/>
                <w:color w:val="auto"/>
              </w:rPr>
            </w:pPr>
            <w:r>
              <w:rPr>
                <w:rFonts w:ascii="Arial" w:cs="Arial" w:eastAsia="Arial" w:hAnsi="Arial"/>
                <w:sz w:val="17"/>
                <w:szCs w:val="17"/>
                <w:color w:val="auto"/>
              </w:rPr>
              <w:t>Payment 1/25/06</w:t>
            </w:r>
          </w:p>
        </w:tc>
        <w:tc>
          <w:tcPr>
            <w:tcW w:w="520" w:type="dxa"/>
            <w:vAlign w:val="bottom"/>
          </w:tcPr>
          <w:p>
            <w:pPr>
              <w:spacing w:after="0" w:line="186" w:lineRule="exact"/>
              <w:rPr>
                <w:sz w:val="20"/>
                <w:szCs w:val="20"/>
                <w:color w:val="auto"/>
              </w:rPr>
            </w:pPr>
            <w:r>
              <w:rPr>
                <w:rFonts w:ascii="Arial" w:cs="Arial" w:eastAsia="Arial" w:hAnsi="Arial"/>
                <w:sz w:val="17"/>
                <w:szCs w:val="17"/>
                <w:color w:val="auto"/>
                <w:w w:val="96"/>
              </w:rPr>
              <w:t>$50.00</w:t>
            </w:r>
          </w:p>
        </w:tc>
        <w:tc>
          <w:tcPr>
            <w:tcW w:w="940" w:type="dxa"/>
            <w:vAlign w:val="bottom"/>
          </w:tcPr>
          <w:p>
            <w:pPr>
              <w:spacing w:after="0"/>
              <w:rPr>
                <w:sz w:val="16"/>
                <w:szCs w:val="16"/>
                <w:color w:val="auto"/>
              </w:rPr>
            </w:pPr>
          </w:p>
        </w:tc>
        <w:tc>
          <w:tcPr>
            <w:tcW w:w="920" w:type="dxa"/>
            <w:vAlign w:val="bottom"/>
            <w:gridSpan w:val="2"/>
          </w:tcPr>
          <w:p>
            <w:pPr>
              <w:spacing w:after="0" w:line="186" w:lineRule="exact"/>
              <w:rPr>
                <w:sz w:val="20"/>
                <w:szCs w:val="20"/>
                <w:color w:val="auto"/>
              </w:rPr>
            </w:pPr>
            <w:r>
              <w:rPr>
                <w:rFonts w:ascii="Arial" w:cs="Arial" w:eastAsia="Arial" w:hAnsi="Arial"/>
                <w:sz w:val="17"/>
                <w:szCs w:val="17"/>
                <w:color w:val="auto"/>
              </w:rPr>
              <w:t>$50.00</w:t>
            </w:r>
          </w:p>
        </w:tc>
        <w:tc>
          <w:tcPr>
            <w:tcW w:w="940" w:type="dxa"/>
            <w:vAlign w:val="bottom"/>
            <w:gridSpan w:val="3"/>
          </w:tcPr>
          <w:p>
            <w:pPr>
              <w:ind w:left="400"/>
              <w:spacing w:after="0" w:line="186" w:lineRule="exact"/>
              <w:rPr>
                <w:sz w:val="20"/>
                <w:szCs w:val="20"/>
                <w:color w:val="auto"/>
              </w:rPr>
            </w:pPr>
            <w:r>
              <w:rPr>
                <w:rFonts w:ascii="Arial" w:cs="Arial" w:eastAsia="Arial" w:hAnsi="Arial"/>
                <w:sz w:val="17"/>
                <w:szCs w:val="17"/>
                <w:color w:val="auto"/>
                <w:w w:val="84"/>
              </w:rPr>
              <w:t>$100.00</w:t>
            </w:r>
          </w:p>
        </w:tc>
      </w:tr>
      <w:tr>
        <w:trPr>
          <w:trHeight w:val="209"/>
        </w:trPr>
        <w:tc>
          <w:tcPr>
            <w:tcW w:w="1940" w:type="dxa"/>
            <w:vAlign w:val="bottom"/>
            <w:gridSpan w:val="2"/>
          </w:tcPr>
          <w:p>
            <w:pPr>
              <w:spacing w:after="0"/>
              <w:rPr>
                <w:sz w:val="20"/>
                <w:szCs w:val="20"/>
                <w:color w:val="auto"/>
              </w:rPr>
            </w:pPr>
            <w:r>
              <w:rPr>
                <w:rFonts w:ascii="Arial" w:cs="Arial" w:eastAsia="Arial" w:hAnsi="Arial"/>
                <w:sz w:val="17"/>
                <w:szCs w:val="17"/>
                <w:color w:val="auto"/>
              </w:rPr>
              <w:t>% of Total</w:t>
            </w:r>
          </w:p>
        </w:tc>
        <w:tc>
          <w:tcPr>
            <w:tcW w:w="520" w:type="dxa"/>
            <w:vAlign w:val="bottom"/>
          </w:tcPr>
          <w:p>
            <w:pPr>
              <w:spacing w:after="0"/>
              <w:rPr>
                <w:sz w:val="20"/>
                <w:szCs w:val="20"/>
                <w:color w:val="auto"/>
              </w:rPr>
            </w:pPr>
            <w:r>
              <w:rPr>
                <w:rFonts w:ascii="Arial" w:cs="Arial" w:eastAsia="Arial" w:hAnsi="Arial"/>
                <w:sz w:val="17"/>
                <w:szCs w:val="17"/>
                <w:color w:val="auto"/>
              </w:rPr>
              <w:t>50%</w:t>
            </w:r>
          </w:p>
        </w:tc>
        <w:tc>
          <w:tcPr>
            <w:tcW w:w="9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color w:val="auto"/>
              </w:rPr>
              <w:t>50%</w:t>
            </w:r>
          </w:p>
        </w:tc>
        <w:tc>
          <w:tcPr>
            <w:tcW w:w="940" w:type="dxa"/>
            <w:vAlign w:val="bottom"/>
            <w:gridSpan w:val="3"/>
          </w:tcPr>
          <w:p>
            <w:pPr>
              <w:ind w:left="400"/>
              <w:spacing w:after="0"/>
              <w:rPr>
                <w:sz w:val="20"/>
                <w:szCs w:val="20"/>
                <w:color w:val="auto"/>
              </w:rPr>
            </w:pPr>
            <w:r>
              <w:rPr>
                <w:rFonts w:ascii="Arial" w:cs="Arial" w:eastAsia="Arial" w:hAnsi="Arial"/>
                <w:sz w:val="17"/>
                <w:szCs w:val="17"/>
                <w:color w:val="auto"/>
              </w:rPr>
              <w:t>100%</w:t>
            </w:r>
          </w:p>
        </w:tc>
      </w:tr>
    </w:tbl>
    <w:p>
      <w:pPr>
        <w:spacing w:after="0" w:line="152" w:lineRule="exact"/>
        <w:rPr>
          <w:sz w:val="20"/>
          <w:szCs w:val="20"/>
          <w:color w:val="auto"/>
        </w:rPr>
      </w:pPr>
    </w:p>
    <w:p>
      <w:pPr>
        <w:ind w:right="100" w:firstLine="499"/>
        <w:spacing w:after="0" w:line="237" w:lineRule="auto"/>
        <w:tabs>
          <w:tab w:leader="none" w:pos="992"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To the extent that SDG&amp;E’s Utility Bill also includes applicable DWR Charges, the amount of payment/credit applied for electric energy/services on such Utility Bill will be prorated among all unpaid disconnectible SDG&amp;E electric energy/service charges and DWR Charges based on the amount owing in each category in the following illustrative manner:</w:t>
      </w:r>
    </w:p>
    <w:p>
      <w:pPr>
        <w:spacing w:after="0" w:line="141" w:lineRule="exact"/>
        <w:rPr>
          <w:sz w:val="20"/>
          <w:szCs w:val="20"/>
          <w:color w:val="auto"/>
        </w:rPr>
      </w:pPr>
    </w:p>
    <w:tbl>
      <w:tblPr>
        <w:tblLayout w:type="fixed"/>
        <w:tblInd w:w="2240" w:type="dxa"/>
        <w:tblCellMar>
          <w:top w:w="0" w:type="dxa"/>
          <w:left w:w="0" w:type="dxa"/>
          <w:bottom w:w="0" w:type="dxa"/>
          <w:right w:w="0" w:type="dxa"/>
        </w:tblCellMar>
      </w:tblPr>
      <w:tr>
        <w:trPr>
          <w:trHeight w:val="195"/>
        </w:trPr>
        <w:tc>
          <w:tcPr>
            <w:tcW w:w="1820" w:type="dxa"/>
            <w:vAlign w:val="bottom"/>
            <w:gridSpan w:val="2"/>
          </w:tcPr>
          <w:p>
            <w:pPr>
              <w:spacing w:after="0"/>
              <w:rPr>
                <w:sz w:val="20"/>
                <w:szCs w:val="20"/>
                <w:color w:val="auto"/>
              </w:rPr>
            </w:pPr>
            <w:r>
              <w:rPr>
                <w:rFonts w:ascii="Arial" w:cs="Arial" w:eastAsia="Arial" w:hAnsi="Arial"/>
                <w:sz w:val="17"/>
                <w:szCs w:val="17"/>
                <w:color w:val="auto"/>
              </w:rPr>
              <w:t>Sample:</w:t>
            </w:r>
          </w:p>
        </w:tc>
        <w:tc>
          <w:tcPr>
            <w:tcW w:w="1320" w:type="dxa"/>
            <w:vAlign w:val="bottom"/>
            <w:gridSpan w:val="2"/>
          </w:tcPr>
          <w:p>
            <w:pPr>
              <w:spacing w:after="0"/>
              <w:rPr>
                <w:sz w:val="20"/>
                <w:szCs w:val="20"/>
                <w:color w:val="auto"/>
              </w:rPr>
            </w:pPr>
            <w:r>
              <w:rPr>
                <w:rFonts w:ascii="Arial" w:cs="Arial" w:eastAsia="Arial" w:hAnsi="Arial"/>
                <w:sz w:val="17"/>
                <w:szCs w:val="17"/>
                <w:color w:val="auto"/>
              </w:rPr>
              <w:t>SDG&amp;E</w:t>
            </w:r>
          </w:p>
        </w:tc>
        <w:tc>
          <w:tcPr>
            <w:tcW w:w="1300" w:type="dxa"/>
            <w:vAlign w:val="bottom"/>
            <w:gridSpan w:val="3"/>
          </w:tcPr>
          <w:p>
            <w:pPr>
              <w:spacing w:after="0"/>
              <w:rPr>
                <w:sz w:val="20"/>
                <w:szCs w:val="20"/>
                <w:color w:val="auto"/>
              </w:rPr>
            </w:pPr>
            <w:r>
              <w:rPr>
                <w:rFonts w:ascii="Arial" w:cs="Arial" w:eastAsia="Arial" w:hAnsi="Arial"/>
                <w:sz w:val="17"/>
                <w:szCs w:val="17"/>
                <w:color w:val="auto"/>
              </w:rPr>
              <w:t>Sum of All DWR</w:t>
            </w:r>
          </w:p>
        </w:tc>
        <w:tc>
          <w:tcPr>
            <w:tcW w:w="760" w:type="dxa"/>
            <w:vAlign w:val="bottom"/>
            <w:gridSpan w:val="2"/>
          </w:tcPr>
          <w:p>
            <w:pPr>
              <w:ind w:left="140"/>
              <w:spacing w:after="0"/>
              <w:rPr>
                <w:sz w:val="20"/>
                <w:szCs w:val="20"/>
                <w:color w:val="auto"/>
              </w:rPr>
            </w:pPr>
            <w:r>
              <w:rPr>
                <w:rFonts w:ascii="Arial" w:cs="Arial" w:eastAsia="Arial" w:hAnsi="Arial"/>
                <w:sz w:val="17"/>
                <w:szCs w:val="17"/>
                <w:color w:val="auto"/>
                <w:w w:val="83"/>
              </w:rPr>
              <w:t>FF/Taxes</w:t>
            </w:r>
          </w:p>
        </w:tc>
        <w:tc>
          <w:tcPr>
            <w:tcW w:w="1240" w:type="dxa"/>
            <w:vAlign w:val="bottom"/>
            <w:gridSpan w:val="3"/>
          </w:tcPr>
          <w:p>
            <w:pPr>
              <w:ind w:left="700"/>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820" w:type="dxa"/>
            <w:vAlign w:val="bottom"/>
            <w:gridSpan w:val="2"/>
            <w:vMerge w:val="restart"/>
          </w:tcPr>
          <w:p>
            <w:pPr>
              <w:spacing w:after="0"/>
              <w:rPr>
                <w:sz w:val="20"/>
                <w:szCs w:val="20"/>
                <w:color w:val="auto"/>
              </w:rPr>
            </w:pPr>
            <w:r>
              <w:rPr>
                <w:rFonts w:ascii="Arial" w:cs="Arial" w:eastAsia="Arial" w:hAnsi="Arial"/>
                <w:sz w:val="17"/>
                <w:szCs w:val="17"/>
                <w:color w:val="auto"/>
              </w:rPr>
              <w:t>Bill Date 1/10/06</w:t>
            </w:r>
          </w:p>
        </w:tc>
        <w:tc>
          <w:tcPr>
            <w:tcW w:w="560" w:type="dxa"/>
            <w:vAlign w:val="bottom"/>
            <w:vMerge w:val="restart"/>
          </w:tcPr>
          <w:p>
            <w:pPr>
              <w:spacing w:after="0"/>
              <w:rPr>
                <w:sz w:val="20"/>
                <w:szCs w:val="20"/>
                <w:color w:val="auto"/>
              </w:rPr>
            </w:pPr>
            <w:r>
              <w:rPr>
                <w:rFonts w:ascii="Arial" w:cs="Arial" w:eastAsia="Arial" w:hAnsi="Arial"/>
                <w:sz w:val="17"/>
                <w:szCs w:val="17"/>
                <w:color w:val="auto"/>
              </w:rPr>
              <w:t>$35.00</w:t>
            </w:r>
          </w:p>
        </w:tc>
        <w:tc>
          <w:tcPr>
            <w:tcW w:w="760" w:type="dxa"/>
            <w:vAlign w:val="bottom"/>
          </w:tcPr>
          <w:p>
            <w:pPr>
              <w:spacing w:after="0"/>
              <w:rPr>
                <w:sz w:val="14"/>
                <w:szCs w:val="14"/>
                <w:color w:val="auto"/>
              </w:rPr>
            </w:pPr>
          </w:p>
        </w:tc>
        <w:tc>
          <w:tcPr>
            <w:tcW w:w="1300" w:type="dxa"/>
            <w:vAlign w:val="bottom"/>
            <w:gridSpan w:val="3"/>
          </w:tcPr>
          <w:p>
            <w:pPr>
              <w:spacing w:after="0" w:line="166" w:lineRule="exact"/>
              <w:rPr>
                <w:sz w:val="20"/>
                <w:szCs w:val="20"/>
                <w:color w:val="auto"/>
              </w:rPr>
            </w:pPr>
            <w:r>
              <w:rPr>
                <w:rFonts w:ascii="Arial" w:cs="Arial" w:eastAsia="Arial" w:hAnsi="Arial"/>
                <w:sz w:val="17"/>
                <w:szCs w:val="17"/>
                <w:color w:val="auto"/>
              </w:rPr>
              <w:t>Charges</w:t>
            </w:r>
          </w:p>
        </w:tc>
        <w:tc>
          <w:tcPr>
            <w:tcW w:w="760" w:type="dxa"/>
            <w:vAlign w:val="bottom"/>
            <w:gridSpan w:val="2"/>
            <w:vMerge w:val="restart"/>
          </w:tcPr>
          <w:p>
            <w:pPr>
              <w:ind w:left="140"/>
              <w:spacing w:after="0"/>
              <w:rPr>
                <w:sz w:val="20"/>
                <w:szCs w:val="20"/>
                <w:color w:val="auto"/>
              </w:rPr>
            </w:pPr>
            <w:r>
              <w:rPr>
                <w:rFonts w:ascii="Arial" w:cs="Arial" w:eastAsia="Arial" w:hAnsi="Arial"/>
                <w:sz w:val="17"/>
                <w:szCs w:val="17"/>
                <w:color w:val="auto"/>
              </w:rPr>
              <w:t>$5.00</w:t>
            </w:r>
          </w:p>
        </w:tc>
        <w:tc>
          <w:tcPr>
            <w:tcW w:w="1240" w:type="dxa"/>
            <w:vAlign w:val="bottom"/>
            <w:gridSpan w:val="3"/>
            <w:vMerge w:val="restart"/>
          </w:tcPr>
          <w:p>
            <w:pPr>
              <w:ind w:left="700"/>
              <w:spacing w:after="0"/>
              <w:rPr>
                <w:sz w:val="20"/>
                <w:szCs w:val="20"/>
                <w:color w:val="auto"/>
              </w:rPr>
            </w:pPr>
            <w:r>
              <w:rPr>
                <w:rFonts w:ascii="Arial" w:cs="Arial" w:eastAsia="Arial" w:hAnsi="Arial"/>
                <w:sz w:val="17"/>
                <w:szCs w:val="17"/>
                <w:color w:val="auto"/>
                <w:w w:val="84"/>
              </w:rPr>
              <w:t>$100.00</w:t>
            </w:r>
          </w:p>
        </w:tc>
        <w:tc>
          <w:tcPr>
            <w:tcW w:w="0" w:type="dxa"/>
            <w:vAlign w:val="bottom"/>
          </w:tcPr>
          <w:p>
            <w:pPr>
              <w:spacing w:after="0"/>
              <w:rPr>
                <w:sz w:val="1"/>
                <w:szCs w:val="1"/>
                <w:color w:val="auto"/>
              </w:rPr>
            </w:pPr>
          </w:p>
        </w:tc>
      </w:tr>
      <w:tr>
        <w:trPr>
          <w:trHeight w:val="180"/>
        </w:trPr>
        <w:tc>
          <w:tcPr>
            <w:tcW w:w="182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w w:val="99"/>
              </w:rPr>
              <w:t>$60.00</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820" w:type="dxa"/>
            <w:vAlign w:val="bottom"/>
            <w:gridSpan w:val="2"/>
          </w:tcPr>
          <w:p>
            <w:pPr>
              <w:spacing w:after="0"/>
              <w:rPr>
                <w:sz w:val="20"/>
                <w:szCs w:val="20"/>
                <w:color w:val="auto"/>
              </w:rPr>
            </w:pPr>
            <w:r>
              <w:rPr>
                <w:rFonts w:ascii="Arial" w:cs="Arial" w:eastAsia="Arial" w:hAnsi="Arial"/>
                <w:sz w:val="17"/>
                <w:szCs w:val="17"/>
                <w:color w:val="auto"/>
              </w:rPr>
              <w:t>% of Total Billed</w:t>
            </w:r>
          </w:p>
        </w:tc>
        <w:tc>
          <w:tcPr>
            <w:tcW w:w="560" w:type="dxa"/>
            <w:vAlign w:val="bottom"/>
          </w:tcPr>
          <w:p>
            <w:pPr>
              <w:spacing w:after="0"/>
              <w:rPr>
                <w:sz w:val="20"/>
                <w:szCs w:val="20"/>
                <w:color w:val="auto"/>
              </w:rPr>
            </w:pPr>
            <w:r>
              <w:rPr>
                <w:rFonts w:ascii="Arial" w:cs="Arial" w:eastAsia="Arial" w:hAnsi="Arial"/>
                <w:sz w:val="17"/>
                <w:szCs w:val="17"/>
                <w:color w:val="auto"/>
              </w:rPr>
              <w:t>35%</w:t>
            </w:r>
          </w:p>
        </w:tc>
        <w:tc>
          <w:tcPr>
            <w:tcW w:w="76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7"/>
                <w:szCs w:val="17"/>
                <w:color w:val="auto"/>
              </w:rPr>
              <w:t>60%</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7"/>
                <w:szCs w:val="17"/>
                <w:color w:val="auto"/>
              </w:rPr>
              <w:t>5%</w:t>
            </w:r>
          </w:p>
        </w:tc>
        <w:tc>
          <w:tcPr>
            <w:tcW w:w="1240" w:type="dxa"/>
            <w:vAlign w:val="bottom"/>
            <w:gridSpan w:val="3"/>
          </w:tcPr>
          <w:p>
            <w:pPr>
              <w:ind w:left="7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328"/>
        </w:trPr>
        <w:tc>
          <w:tcPr>
            <w:tcW w:w="1820" w:type="dxa"/>
            <w:vAlign w:val="bottom"/>
            <w:gridSpan w:val="2"/>
          </w:tcPr>
          <w:p>
            <w:pPr>
              <w:spacing w:after="0"/>
              <w:rPr>
                <w:sz w:val="20"/>
                <w:szCs w:val="20"/>
                <w:color w:val="auto"/>
              </w:rPr>
            </w:pPr>
            <w:r>
              <w:rPr>
                <w:rFonts w:ascii="Arial" w:cs="Arial" w:eastAsia="Arial" w:hAnsi="Arial"/>
                <w:sz w:val="17"/>
                <w:szCs w:val="17"/>
                <w:color w:val="auto"/>
              </w:rPr>
              <w:t>Payment 1/25/06</w:t>
            </w:r>
          </w:p>
        </w:tc>
        <w:tc>
          <w:tcPr>
            <w:tcW w:w="560" w:type="dxa"/>
            <w:vAlign w:val="bottom"/>
          </w:tcPr>
          <w:p>
            <w:pPr>
              <w:spacing w:after="0"/>
              <w:rPr>
                <w:sz w:val="20"/>
                <w:szCs w:val="20"/>
                <w:color w:val="auto"/>
              </w:rPr>
            </w:pPr>
            <w:r>
              <w:rPr>
                <w:rFonts w:ascii="Arial" w:cs="Arial" w:eastAsia="Arial" w:hAnsi="Arial"/>
                <w:sz w:val="17"/>
                <w:szCs w:val="17"/>
                <w:color w:val="auto"/>
              </w:rPr>
              <w:t>$17.50</w:t>
            </w:r>
          </w:p>
        </w:tc>
        <w:tc>
          <w:tcPr>
            <w:tcW w:w="76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7"/>
                <w:szCs w:val="17"/>
                <w:color w:val="auto"/>
                <w:w w:val="99"/>
              </w:rPr>
              <w:t>$30.00</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ind w:left="140"/>
              <w:spacing w:after="0"/>
              <w:rPr>
                <w:sz w:val="20"/>
                <w:szCs w:val="20"/>
                <w:color w:val="auto"/>
              </w:rPr>
            </w:pPr>
            <w:r>
              <w:rPr>
                <w:rFonts w:ascii="Arial" w:cs="Arial" w:eastAsia="Arial" w:hAnsi="Arial"/>
                <w:sz w:val="17"/>
                <w:szCs w:val="17"/>
                <w:color w:val="auto"/>
              </w:rPr>
              <w:t>$2.50</w:t>
            </w:r>
          </w:p>
        </w:tc>
        <w:tc>
          <w:tcPr>
            <w:tcW w:w="1240" w:type="dxa"/>
            <w:vAlign w:val="bottom"/>
            <w:gridSpan w:val="3"/>
          </w:tcPr>
          <w:p>
            <w:pPr>
              <w:ind w:left="700"/>
              <w:spacing w:after="0"/>
              <w:rPr>
                <w:sz w:val="20"/>
                <w:szCs w:val="20"/>
                <w:color w:val="auto"/>
              </w:rPr>
            </w:pPr>
            <w:r>
              <w:rPr>
                <w:rFonts w:ascii="Arial" w:cs="Arial" w:eastAsia="Arial" w:hAnsi="Arial"/>
                <w:sz w:val="17"/>
                <w:szCs w:val="17"/>
                <w:color w:val="auto"/>
                <w:w w:val="99"/>
              </w:rPr>
              <w:t>$50.00</w:t>
            </w:r>
          </w:p>
        </w:tc>
        <w:tc>
          <w:tcPr>
            <w:tcW w:w="0" w:type="dxa"/>
            <w:vAlign w:val="bottom"/>
          </w:tcPr>
          <w:p>
            <w:pPr>
              <w:spacing w:after="0"/>
              <w:rPr>
                <w:sz w:val="1"/>
                <w:szCs w:val="1"/>
                <w:color w:val="auto"/>
              </w:rPr>
            </w:pPr>
          </w:p>
        </w:tc>
      </w:tr>
      <w:tr>
        <w:trPr>
          <w:trHeight w:val="209"/>
        </w:trPr>
        <w:tc>
          <w:tcPr>
            <w:tcW w:w="1820" w:type="dxa"/>
            <w:vAlign w:val="bottom"/>
            <w:gridSpan w:val="2"/>
          </w:tcPr>
          <w:p>
            <w:pPr>
              <w:spacing w:after="0"/>
              <w:rPr>
                <w:sz w:val="20"/>
                <w:szCs w:val="20"/>
                <w:color w:val="auto"/>
              </w:rPr>
            </w:pPr>
            <w:r>
              <w:rPr>
                <w:rFonts w:ascii="Arial" w:cs="Arial" w:eastAsia="Arial" w:hAnsi="Arial"/>
                <w:sz w:val="17"/>
                <w:szCs w:val="17"/>
                <w:color w:val="auto"/>
              </w:rPr>
              <w:t>% of Total Payment</w:t>
            </w:r>
          </w:p>
        </w:tc>
        <w:tc>
          <w:tcPr>
            <w:tcW w:w="560" w:type="dxa"/>
            <w:vAlign w:val="bottom"/>
          </w:tcPr>
          <w:p>
            <w:pPr>
              <w:spacing w:after="0"/>
              <w:rPr>
                <w:sz w:val="20"/>
                <w:szCs w:val="20"/>
                <w:color w:val="auto"/>
              </w:rPr>
            </w:pPr>
            <w:r>
              <w:rPr>
                <w:rFonts w:ascii="Arial" w:cs="Arial" w:eastAsia="Arial" w:hAnsi="Arial"/>
                <w:sz w:val="17"/>
                <w:szCs w:val="17"/>
                <w:color w:val="auto"/>
              </w:rPr>
              <w:t>35%</w:t>
            </w:r>
          </w:p>
        </w:tc>
        <w:tc>
          <w:tcPr>
            <w:tcW w:w="76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7"/>
                <w:szCs w:val="17"/>
                <w:color w:val="auto"/>
              </w:rPr>
              <w:t>60%</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7"/>
                <w:szCs w:val="17"/>
                <w:color w:val="auto"/>
              </w:rPr>
              <w:t>5%</w:t>
            </w:r>
          </w:p>
        </w:tc>
        <w:tc>
          <w:tcPr>
            <w:tcW w:w="1240" w:type="dxa"/>
            <w:vAlign w:val="bottom"/>
            <w:gridSpan w:val="3"/>
          </w:tcPr>
          <w:p>
            <w:pPr>
              <w:ind w:left="7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right="340" w:firstLine="499"/>
        <w:spacing w:after="0" w:line="245" w:lineRule="auto"/>
        <w:tabs>
          <w:tab w:leader="none" w:pos="992"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payment/credit for the sum of all DWR Charges determined in Step 3 above shall be further prorated between unpaid DWR Power Charge and Bond Charge of a Customer Types in the following illustrative manner:</w:t>
      </w:r>
    </w:p>
    <w:p>
      <w:pPr>
        <w:spacing w:after="0" w:line="135" w:lineRule="exact"/>
        <w:rPr>
          <w:sz w:val="20"/>
          <w:szCs w:val="20"/>
          <w:color w:val="auto"/>
        </w:rPr>
      </w:pPr>
    </w:p>
    <w:tbl>
      <w:tblPr>
        <w:tblLayout w:type="fixed"/>
        <w:tblInd w:w="2900" w:type="dxa"/>
        <w:tblCellMar>
          <w:top w:w="0" w:type="dxa"/>
          <w:left w:w="0" w:type="dxa"/>
          <w:bottom w:w="0" w:type="dxa"/>
          <w:right w:w="0" w:type="dxa"/>
        </w:tblCellMar>
      </w:tblPr>
      <w:tr>
        <w:trPr>
          <w:trHeight w:val="195"/>
        </w:trPr>
        <w:tc>
          <w:tcPr>
            <w:tcW w:w="1700" w:type="dxa"/>
            <w:vAlign w:val="bottom"/>
            <w:gridSpan w:val="2"/>
          </w:tcPr>
          <w:p>
            <w:pPr>
              <w:spacing w:after="0"/>
              <w:rPr>
                <w:sz w:val="20"/>
                <w:szCs w:val="20"/>
                <w:color w:val="auto"/>
              </w:rPr>
            </w:pPr>
            <w:r>
              <w:rPr>
                <w:rFonts w:ascii="Arial" w:cs="Arial" w:eastAsia="Arial" w:hAnsi="Arial"/>
                <w:sz w:val="17"/>
                <w:szCs w:val="17"/>
                <w:color w:val="auto"/>
              </w:rPr>
              <w:t>Sample:</w:t>
            </w:r>
          </w:p>
        </w:tc>
        <w:tc>
          <w:tcPr>
            <w:tcW w:w="1440" w:type="dxa"/>
            <w:vAlign w:val="bottom"/>
            <w:gridSpan w:val="3"/>
          </w:tcPr>
          <w:p>
            <w:pPr>
              <w:ind w:left="120"/>
              <w:spacing w:after="0"/>
              <w:rPr>
                <w:sz w:val="20"/>
                <w:szCs w:val="20"/>
                <w:color w:val="auto"/>
              </w:rPr>
            </w:pPr>
            <w:r>
              <w:rPr>
                <w:rFonts w:ascii="Arial" w:cs="Arial" w:eastAsia="Arial" w:hAnsi="Arial"/>
                <w:sz w:val="17"/>
                <w:szCs w:val="17"/>
                <w:color w:val="auto"/>
              </w:rPr>
              <w:t>Power Charge</w:t>
            </w:r>
          </w:p>
        </w:tc>
        <w:tc>
          <w:tcPr>
            <w:tcW w:w="1440" w:type="dxa"/>
            <w:vAlign w:val="bottom"/>
            <w:gridSpan w:val="2"/>
          </w:tcPr>
          <w:p>
            <w:pPr>
              <w:spacing w:after="0"/>
              <w:rPr>
                <w:sz w:val="20"/>
                <w:szCs w:val="20"/>
                <w:color w:val="auto"/>
              </w:rPr>
            </w:pPr>
            <w:r>
              <w:rPr>
                <w:rFonts w:ascii="Arial" w:cs="Arial" w:eastAsia="Arial" w:hAnsi="Arial"/>
                <w:sz w:val="17"/>
                <w:szCs w:val="17"/>
                <w:color w:val="auto"/>
              </w:rPr>
              <w:t>Bond Charge</w:t>
            </w:r>
          </w:p>
        </w:tc>
        <w:tc>
          <w:tcPr>
            <w:tcW w:w="460" w:type="dxa"/>
            <w:vAlign w:val="bottom"/>
            <w:gridSpan w:val="2"/>
          </w:tcPr>
          <w:p>
            <w:pPr>
              <w:spacing w:after="0"/>
              <w:rPr>
                <w:sz w:val="20"/>
                <w:szCs w:val="20"/>
                <w:color w:val="auto"/>
              </w:rPr>
            </w:pPr>
            <w:r>
              <w:rPr>
                <w:rFonts w:ascii="Arial" w:cs="Arial" w:eastAsia="Arial" w:hAnsi="Arial"/>
                <w:sz w:val="17"/>
                <w:szCs w:val="17"/>
                <w:color w:val="auto"/>
              </w:rPr>
              <w:t>Total</w:t>
            </w:r>
          </w:p>
        </w:tc>
      </w:tr>
      <w:tr>
        <w:trPr>
          <w:trHeight w:val="20"/>
        </w:trPr>
        <w:tc>
          <w:tcPr>
            <w:tcW w:w="5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0"/>
        </w:trPr>
        <w:tc>
          <w:tcPr>
            <w:tcW w:w="1700" w:type="dxa"/>
            <w:vAlign w:val="bottom"/>
            <w:gridSpan w:val="2"/>
          </w:tcPr>
          <w:p>
            <w:pPr>
              <w:spacing w:after="0" w:line="180" w:lineRule="exact"/>
              <w:rPr>
                <w:sz w:val="20"/>
                <w:szCs w:val="20"/>
                <w:color w:val="auto"/>
              </w:rPr>
            </w:pPr>
            <w:r>
              <w:rPr>
                <w:rFonts w:ascii="Arial" w:cs="Arial" w:eastAsia="Arial" w:hAnsi="Arial"/>
                <w:sz w:val="17"/>
                <w:szCs w:val="17"/>
                <w:color w:val="auto"/>
              </w:rPr>
              <w:t>Bill Date 1/10/06</w:t>
            </w:r>
          </w:p>
        </w:tc>
        <w:tc>
          <w:tcPr>
            <w:tcW w:w="1060" w:type="dxa"/>
            <w:vAlign w:val="bottom"/>
            <w:gridSpan w:val="2"/>
          </w:tcPr>
          <w:p>
            <w:pPr>
              <w:ind w:left="120"/>
              <w:spacing w:after="0" w:line="180" w:lineRule="exact"/>
              <w:rPr>
                <w:sz w:val="20"/>
                <w:szCs w:val="20"/>
                <w:color w:val="auto"/>
              </w:rPr>
            </w:pPr>
            <w:r>
              <w:rPr>
                <w:rFonts w:ascii="Arial" w:cs="Arial" w:eastAsia="Arial" w:hAnsi="Arial"/>
                <w:sz w:val="17"/>
                <w:szCs w:val="17"/>
                <w:color w:val="auto"/>
              </w:rPr>
              <w:t>$54.00</w:t>
            </w:r>
          </w:p>
        </w:tc>
        <w:tc>
          <w:tcPr>
            <w:tcW w:w="380" w:type="dxa"/>
            <w:vAlign w:val="bottom"/>
          </w:tcPr>
          <w:p>
            <w:pPr>
              <w:spacing w:after="0"/>
              <w:rPr>
                <w:sz w:val="15"/>
                <w:szCs w:val="15"/>
                <w:color w:val="auto"/>
              </w:rPr>
            </w:pPr>
          </w:p>
        </w:tc>
        <w:tc>
          <w:tcPr>
            <w:tcW w:w="860" w:type="dxa"/>
            <w:vAlign w:val="bottom"/>
          </w:tcPr>
          <w:p>
            <w:pPr>
              <w:spacing w:after="0" w:line="180" w:lineRule="exact"/>
              <w:rPr>
                <w:sz w:val="20"/>
                <w:szCs w:val="20"/>
                <w:color w:val="auto"/>
              </w:rPr>
            </w:pPr>
            <w:r>
              <w:rPr>
                <w:rFonts w:ascii="Arial" w:cs="Arial" w:eastAsia="Arial" w:hAnsi="Arial"/>
                <w:sz w:val="17"/>
                <w:szCs w:val="17"/>
                <w:color w:val="auto"/>
              </w:rPr>
              <w:t>$6.00</w:t>
            </w:r>
          </w:p>
        </w:tc>
        <w:tc>
          <w:tcPr>
            <w:tcW w:w="580" w:type="dxa"/>
            <w:vAlign w:val="bottom"/>
          </w:tcPr>
          <w:p>
            <w:pPr>
              <w:spacing w:after="0"/>
              <w:rPr>
                <w:sz w:val="15"/>
                <w:szCs w:val="15"/>
                <w:color w:val="auto"/>
              </w:rPr>
            </w:pPr>
          </w:p>
        </w:tc>
        <w:tc>
          <w:tcPr>
            <w:tcW w:w="460" w:type="dxa"/>
            <w:vAlign w:val="bottom"/>
            <w:gridSpan w:val="2"/>
          </w:tcPr>
          <w:p>
            <w:pPr>
              <w:spacing w:after="0" w:line="180" w:lineRule="exact"/>
              <w:rPr>
                <w:sz w:val="20"/>
                <w:szCs w:val="20"/>
                <w:color w:val="auto"/>
              </w:rPr>
            </w:pPr>
            <w:r>
              <w:rPr>
                <w:rFonts w:ascii="Arial" w:cs="Arial" w:eastAsia="Arial" w:hAnsi="Arial"/>
                <w:sz w:val="17"/>
                <w:szCs w:val="17"/>
                <w:color w:val="auto"/>
                <w:w w:val="84"/>
              </w:rPr>
              <w:t>$60.00</w:t>
            </w:r>
          </w:p>
        </w:tc>
      </w:tr>
      <w:tr>
        <w:trPr>
          <w:trHeight w:val="186"/>
        </w:trPr>
        <w:tc>
          <w:tcPr>
            <w:tcW w:w="1700" w:type="dxa"/>
            <w:vAlign w:val="bottom"/>
            <w:gridSpan w:val="2"/>
          </w:tcPr>
          <w:p>
            <w:pPr>
              <w:spacing w:after="0" w:line="186" w:lineRule="exact"/>
              <w:rPr>
                <w:sz w:val="20"/>
                <w:szCs w:val="20"/>
                <w:color w:val="auto"/>
              </w:rPr>
            </w:pPr>
            <w:r>
              <w:rPr>
                <w:rFonts w:ascii="Arial" w:cs="Arial" w:eastAsia="Arial" w:hAnsi="Arial"/>
                <w:sz w:val="17"/>
                <w:szCs w:val="17"/>
                <w:color w:val="auto"/>
                <w:w w:val="99"/>
              </w:rPr>
              <w:t>% of Total Billed DWR</w:t>
            </w:r>
          </w:p>
        </w:tc>
        <w:tc>
          <w:tcPr>
            <w:tcW w:w="1060" w:type="dxa"/>
            <w:vAlign w:val="bottom"/>
            <w:gridSpan w:val="2"/>
          </w:tcPr>
          <w:p>
            <w:pPr>
              <w:ind w:left="120"/>
              <w:spacing w:after="0" w:line="186" w:lineRule="exact"/>
              <w:rPr>
                <w:sz w:val="20"/>
                <w:szCs w:val="20"/>
                <w:color w:val="auto"/>
              </w:rPr>
            </w:pPr>
            <w:r>
              <w:rPr>
                <w:rFonts w:ascii="Arial" w:cs="Arial" w:eastAsia="Arial" w:hAnsi="Arial"/>
                <w:sz w:val="17"/>
                <w:szCs w:val="17"/>
                <w:color w:val="auto"/>
              </w:rPr>
              <w:t>90%</w:t>
            </w:r>
          </w:p>
        </w:tc>
        <w:tc>
          <w:tcPr>
            <w:tcW w:w="380" w:type="dxa"/>
            <w:vAlign w:val="bottom"/>
          </w:tcPr>
          <w:p>
            <w:pPr>
              <w:spacing w:after="0"/>
              <w:rPr>
                <w:sz w:val="16"/>
                <w:szCs w:val="16"/>
                <w:color w:val="auto"/>
              </w:rPr>
            </w:pPr>
          </w:p>
        </w:tc>
        <w:tc>
          <w:tcPr>
            <w:tcW w:w="860" w:type="dxa"/>
            <w:vAlign w:val="bottom"/>
          </w:tcPr>
          <w:p>
            <w:pPr>
              <w:spacing w:after="0" w:line="186" w:lineRule="exact"/>
              <w:rPr>
                <w:sz w:val="20"/>
                <w:szCs w:val="20"/>
                <w:color w:val="auto"/>
              </w:rPr>
            </w:pPr>
            <w:r>
              <w:rPr>
                <w:rFonts w:ascii="Arial" w:cs="Arial" w:eastAsia="Arial" w:hAnsi="Arial"/>
                <w:sz w:val="17"/>
                <w:szCs w:val="17"/>
                <w:color w:val="auto"/>
              </w:rPr>
              <w:t>10%</w:t>
            </w:r>
          </w:p>
        </w:tc>
        <w:tc>
          <w:tcPr>
            <w:tcW w:w="580" w:type="dxa"/>
            <w:vAlign w:val="bottom"/>
          </w:tcPr>
          <w:p>
            <w:pPr>
              <w:spacing w:after="0"/>
              <w:rPr>
                <w:sz w:val="16"/>
                <w:szCs w:val="16"/>
                <w:color w:val="auto"/>
              </w:rPr>
            </w:pPr>
          </w:p>
        </w:tc>
        <w:tc>
          <w:tcPr>
            <w:tcW w:w="460" w:type="dxa"/>
            <w:vAlign w:val="bottom"/>
            <w:gridSpan w:val="2"/>
          </w:tcPr>
          <w:p>
            <w:pPr>
              <w:spacing w:after="0" w:line="186" w:lineRule="exact"/>
              <w:rPr>
                <w:sz w:val="20"/>
                <w:szCs w:val="20"/>
                <w:color w:val="auto"/>
              </w:rPr>
            </w:pPr>
            <w:r>
              <w:rPr>
                <w:rFonts w:ascii="Arial" w:cs="Arial" w:eastAsia="Arial" w:hAnsi="Arial"/>
                <w:sz w:val="17"/>
                <w:szCs w:val="17"/>
                <w:color w:val="auto"/>
              </w:rPr>
              <w:t>100%</w:t>
            </w:r>
          </w:p>
        </w:tc>
      </w:tr>
      <w:tr>
        <w:trPr>
          <w:trHeight w:val="209"/>
        </w:trPr>
        <w:tc>
          <w:tcPr>
            <w:tcW w:w="1700" w:type="dxa"/>
            <w:vAlign w:val="bottom"/>
            <w:gridSpan w:val="2"/>
          </w:tcPr>
          <w:p>
            <w:pPr>
              <w:spacing w:after="0"/>
              <w:rPr>
                <w:sz w:val="20"/>
                <w:szCs w:val="20"/>
                <w:color w:val="auto"/>
              </w:rPr>
            </w:pPr>
            <w:r>
              <w:rPr>
                <w:rFonts w:ascii="Arial" w:cs="Arial" w:eastAsia="Arial" w:hAnsi="Arial"/>
                <w:sz w:val="17"/>
                <w:szCs w:val="17"/>
                <w:color w:val="auto"/>
              </w:rPr>
              <w:t>Charges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28"/>
        </w:trPr>
        <w:tc>
          <w:tcPr>
            <w:tcW w:w="1700" w:type="dxa"/>
            <w:vAlign w:val="bottom"/>
            <w:gridSpan w:val="2"/>
          </w:tcPr>
          <w:p>
            <w:pPr>
              <w:spacing w:after="0"/>
              <w:rPr>
                <w:sz w:val="20"/>
                <w:szCs w:val="20"/>
                <w:color w:val="auto"/>
              </w:rPr>
            </w:pPr>
            <w:r>
              <w:rPr>
                <w:rFonts w:ascii="Arial" w:cs="Arial" w:eastAsia="Arial" w:hAnsi="Arial"/>
                <w:sz w:val="17"/>
                <w:szCs w:val="17"/>
                <w:color w:val="auto"/>
                <w:w w:val="94"/>
              </w:rPr>
              <w:t>Total Payment Credited</w:t>
            </w:r>
          </w:p>
        </w:tc>
        <w:tc>
          <w:tcPr>
            <w:tcW w:w="1060" w:type="dxa"/>
            <w:vAlign w:val="bottom"/>
            <w:gridSpan w:val="2"/>
          </w:tcPr>
          <w:p>
            <w:pPr>
              <w:ind w:left="120"/>
              <w:spacing w:after="0"/>
              <w:rPr>
                <w:sz w:val="20"/>
                <w:szCs w:val="20"/>
                <w:color w:val="auto"/>
              </w:rPr>
            </w:pPr>
            <w:r>
              <w:rPr>
                <w:rFonts w:ascii="Arial" w:cs="Arial" w:eastAsia="Arial" w:hAnsi="Arial"/>
                <w:sz w:val="17"/>
                <w:szCs w:val="17"/>
                <w:color w:val="auto"/>
              </w:rPr>
              <w:t>$27.00</w:t>
            </w:r>
          </w:p>
        </w:tc>
        <w:tc>
          <w:tcPr>
            <w:tcW w:w="3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$3.00</w:t>
            </w:r>
          </w:p>
        </w:tc>
        <w:tc>
          <w:tcPr>
            <w:tcW w:w="58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Arial" w:cs="Arial" w:eastAsia="Arial" w:hAnsi="Arial"/>
                <w:sz w:val="17"/>
                <w:szCs w:val="17"/>
                <w:color w:val="auto"/>
                <w:w w:val="84"/>
              </w:rPr>
              <w:t>$30.00</w:t>
            </w:r>
          </w:p>
        </w:tc>
      </w:tr>
      <w:tr>
        <w:trPr>
          <w:trHeight w:val="186"/>
        </w:trPr>
        <w:tc>
          <w:tcPr>
            <w:tcW w:w="1700" w:type="dxa"/>
            <w:vAlign w:val="bottom"/>
            <w:gridSpan w:val="2"/>
          </w:tcPr>
          <w:p>
            <w:pPr>
              <w:spacing w:after="0" w:line="186" w:lineRule="exact"/>
              <w:rPr>
                <w:sz w:val="20"/>
                <w:szCs w:val="20"/>
                <w:color w:val="auto"/>
              </w:rPr>
            </w:pPr>
            <w:r>
              <w:rPr>
                <w:rFonts w:ascii="Arial" w:cs="Arial" w:eastAsia="Arial" w:hAnsi="Arial"/>
                <w:sz w:val="17"/>
                <w:szCs w:val="17"/>
                <w:color w:val="auto"/>
              </w:rPr>
              <w:t>to DWR 1/25/06</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1700" w:type="dxa"/>
            <w:vAlign w:val="bottom"/>
            <w:gridSpan w:val="2"/>
          </w:tcPr>
          <w:p>
            <w:pPr>
              <w:spacing w:after="0" w:line="186" w:lineRule="exact"/>
              <w:rPr>
                <w:sz w:val="20"/>
                <w:szCs w:val="20"/>
                <w:color w:val="auto"/>
              </w:rPr>
            </w:pPr>
            <w:r>
              <w:rPr>
                <w:rFonts w:ascii="Arial" w:cs="Arial" w:eastAsia="Arial" w:hAnsi="Arial"/>
                <w:sz w:val="17"/>
                <w:szCs w:val="17"/>
                <w:color w:val="auto"/>
              </w:rPr>
              <w:t>% of Total Payment</w:t>
            </w:r>
          </w:p>
        </w:tc>
        <w:tc>
          <w:tcPr>
            <w:tcW w:w="1060" w:type="dxa"/>
            <w:vAlign w:val="bottom"/>
            <w:gridSpan w:val="2"/>
          </w:tcPr>
          <w:p>
            <w:pPr>
              <w:ind w:left="120"/>
              <w:spacing w:after="0" w:line="186" w:lineRule="exact"/>
              <w:rPr>
                <w:sz w:val="20"/>
                <w:szCs w:val="20"/>
                <w:color w:val="auto"/>
              </w:rPr>
            </w:pPr>
            <w:r>
              <w:rPr>
                <w:rFonts w:ascii="Arial" w:cs="Arial" w:eastAsia="Arial" w:hAnsi="Arial"/>
                <w:sz w:val="17"/>
                <w:szCs w:val="17"/>
                <w:color w:val="auto"/>
              </w:rPr>
              <w:t>90%</w:t>
            </w:r>
          </w:p>
        </w:tc>
        <w:tc>
          <w:tcPr>
            <w:tcW w:w="380" w:type="dxa"/>
            <w:vAlign w:val="bottom"/>
          </w:tcPr>
          <w:p>
            <w:pPr>
              <w:spacing w:after="0"/>
              <w:rPr>
                <w:sz w:val="16"/>
                <w:szCs w:val="16"/>
                <w:color w:val="auto"/>
              </w:rPr>
            </w:pPr>
          </w:p>
        </w:tc>
        <w:tc>
          <w:tcPr>
            <w:tcW w:w="860" w:type="dxa"/>
            <w:vAlign w:val="bottom"/>
          </w:tcPr>
          <w:p>
            <w:pPr>
              <w:spacing w:after="0" w:line="186" w:lineRule="exact"/>
              <w:rPr>
                <w:sz w:val="20"/>
                <w:szCs w:val="20"/>
                <w:color w:val="auto"/>
              </w:rPr>
            </w:pPr>
            <w:r>
              <w:rPr>
                <w:rFonts w:ascii="Arial" w:cs="Arial" w:eastAsia="Arial" w:hAnsi="Arial"/>
                <w:sz w:val="17"/>
                <w:szCs w:val="17"/>
                <w:color w:val="auto"/>
              </w:rPr>
              <w:t>10%</w:t>
            </w:r>
          </w:p>
        </w:tc>
        <w:tc>
          <w:tcPr>
            <w:tcW w:w="580" w:type="dxa"/>
            <w:vAlign w:val="bottom"/>
          </w:tcPr>
          <w:p>
            <w:pPr>
              <w:spacing w:after="0"/>
              <w:rPr>
                <w:sz w:val="16"/>
                <w:szCs w:val="16"/>
                <w:color w:val="auto"/>
              </w:rPr>
            </w:pPr>
          </w:p>
        </w:tc>
        <w:tc>
          <w:tcPr>
            <w:tcW w:w="460" w:type="dxa"/>
            <w:vAlign w:val="bottom"/>
            <w:gridSpan w:val="2"/>
          </w:tcPr>
          <w:p>
            <w:pPr>
              <w:spacing w:after="0" w:line="186" w:lineRule="exact"/>
              <w:rPr>
                <w:sz w:val="20"/>
                <w:szCs w:val="20"/>
                <w:color w:val="auto"/>
              </w:rPr>
            </w:pPr>
            <w:r>
              <w:rPr>
                <w:rFonts w:ascii="Arial" w:cs="Arial" w:eastAsia="Arial" w:hAnsi="Arial"/>
                <w:sz w:val="17"/>
                <w:szCs w:val="17"/>
                <w:color w:val="auto"/>
              </w:rPr>
              <w:t>100%</w:t>
            </w:r>
          </w:p>
        </w:tc>
      </w:tr>
      <w:tr>
        <w:trPr>
          <w:trHeight w:val="209"/>
        </w:trPr>
        <w:tc>
          <w:tcPr>
            <w:tcW w:w="1700" w:type="dxa"/>
            <w:vAlign w:val="bottom"/>
            <w:gridSpan w:val="2"/>
          </w:tcPr>
          <w:p>
            <w:pPr>
              <w:spacing w:after="0"/>
              <w:rPr>
                <w:sz w:val="20"/>
                <w:szCs w:val="20"/>
                <w:color w:val="auto"/>
              </w:rPr>
            </w:pPr>
            <w:r>
              <w:rPr>
                <w:rFonts w:ascii="Arial" w:cs="Arial" w:eastAsia="Arial" w:hAnsi="Arial"/>
                <w:sz w:val="17"/>
                <w:szCs w:val="17"/>
                <w:color w:val="auto"/>
                <w:w w:val="98"/>
              </w:rPr>
              <w:t>Credit to DWR 1/25/06</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pacing w:after="0" w:line="152" w:lineRule="exact"/>
        <w:rPr>
          <w:sz w:val="20"/>
          <w:szCs w:val="20"/>
          <w:color w:val="auto"/>
        </w:rPr>
      </w:pPr>
    </w:p>
    <w:p>
      <w:pPr>
        <w:ind w:left="500" w:hanging="497"/>
        <w:spacing w:after="0"/>
        <w:tabs>
          <w:tab w:leader="none" w:pos="500"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Reporting of DWR Charges Billing, Collection and Remittance</w:t>
      </w:r>
    </w:p>
    <w:p>
      <w:pPr>
        <w:sectPr>
          <w:pgSz w:w="11900" w:h="16838" w:orient="portrait"/>
          <w:cols w:equalWidth="0" w:num="1">
            <w:col w:w="11460"/>
          </w:cols>
          <w:pgMar w:left="220" w:top="124" w:right="219" w:bottom="0" w:gutter="0" w:footer="0" w:header="0"/>
        </w:sectPr>
      </w:pPr>
    </w:p>
    <w:bookmarkStart w:id="124" w:name="page125"/>
    <w:bookmarkEnd w:id="124"/>
    <w:p>
      <w:pPr>
        <w:ind w:right="60" w:firstLine="496"/>
        <w:spacing w:after="0" w:line="244" w:lineRule="auto"/>
        <w:rPr>
          <w:sz w:val="20"/>
          <w:szCs w:val="20"/>
          <w:color w:val="auto"/>
        </w:rPr>
      </w:pPr>
      <w:r>
        <w:rPr>
          <w:rFonts w:ascii="Arial" w:cs="Arial" w:eastAsia="Arial" w:hAnsi="Arial"/>
          <w:sz w:val="17"/>
          <w:szCs w:val="17"/>
          <w:color w:val="auto"/>
        </w:rPr>
        <w:t>Prior to the Effective Date of the 2007 Servicing Order, SDG&amp;E sent e-mail notices to DWR at least monthly that provided the following billing data or information of DWR Charges as such charges became effective.</w:t>
      </w:r>
    </w:p>
    <w:p>
      <w:pPr>
        <w:spacing w:after="0" w:line="150" w:lineRule="exact"/>
        <w:rPr>
          <w:sz w:val="20"/>
          <w:szCs w:val="20"/>
          <w:color w:val="auto"/>
        </w:rPr>
      </w:pPr>
    </w:p>
    <w:p>
      <w:pPr>
        <w:ind w:left="1000" w:hanging="253"/>
        <w:spacing w:after="0"/>
        <w:tabs>
          <w:tab w:leader="none" w:pos="10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Daily aggregate of billed individual Customer consumptions for each Customer Type relating to DWR Charges;</w:t>
      </w:r>
    </w:p>
    <w:p>
      <w:pPr>
        <w:spacing w:after="0" w:line="4" w:lineRule="exact"/>
        <w:rPr>
          <w:rFonts w:ascii="Arial" w:cs="Arial" w:eastAsia="Arial" w:hAnsi="Arial"/>
          <w:sz w:val="17"/>
          <w:szCs w:val="17"/>
          <w:color w:val="auto"/>
        </w:rPr>
      </w:pPr>
    </w:p>
    <w:p>
      <w:pPr>
        <w:ind w:left="1000" w:right="920" w:hanging="253"/>
        <w:spacing w:after="0" w:line="222" w:lineRule="auto"/>
        <w:tabs>
          <w:tab w:leader="none" w:pos="10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Daily aggregate of billed individual Customer consumptions subject to each Fund Type on each applicable Customer Type, excluding Customer consumptions relating to Power Charge and Bond Charge on Bundled Customers;</w:t>
      </w:r>
    </w:p>
    <w:p>
      <w:pPr>
        <w:ind w:left="1000" w:hanging="253"/>
        <w:spacing w:after="0" w:line="229" w:lineRule="auto"/>
        <w:tabs>
          <w:tab w:leader="none" w:pos="100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DWR’s share of daily aggregate of billed individual Bundled Customer consumptions for determining Power Charge on Bundled Customers; and</w:t>
      </w:r>
    </w:p>
    <w:p>
      <w:pPr>
        <w:ind w:left="1000" w:hanging="253"/>
        <w:spacing w:after="0"/>
        <w:tabs>
          <w:tab w:leader="none" w:pos="10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Daily aggregate of billed dollar amounts for each Fund Type on each applicable Customer Type.</w:t>
      </w:r>
    </w:p>
    <w:p>
      <w:pPr>
        <w:spacing w:after="0" w:line="163" w:lineRule="exact"/>
        <w:rPr>
          <w:sz w:val="20"/>
          <w:szCs w:val="20"/>
          <w:color w:val="auto"/>
        </w:rPr>
      </w:pPr>
    </w:p>
    <w:p>
      <w:pPr>
        <w:ind w:firstLine="496"/>
        <w:spacing w:after="0" w:line="275" w:lineRule="auto"/>
        <w:rPr>
          <w:sz w:val="20"/>
          <w:szCs w:val="20"/>
          <w:color w:val="auto"/>
        </w:rPr>
      </w:pPr>
      <w:r>
        <w:rPr>
          <w:rFonts w:ascii="Arial" w:cs="Arial" w:eastAsia="Arial" w:hAnsi="Arial"/>
          <w:sz w:val="16"/>
          <w:szCs w:val="16"/>
          <w:color w:val="auto"/>
        </w:rPr>
        <w:t>In addition, the billed individual Customer consumption and dollar amount for a Fund Type on a Customer Type in the billing data or information listed above would have been and will continue to be determined consistent with the methodology provided in the appropriate Appendix to this Attachment B.</w:t>
      </w:r>
    </w:p>
    <w:p>
      <w:pPr>
        <w:spacing w:after="0" w:line="137" w:lineRule="exact"/>
        <w:rPr>
          <w:sz w:val="20"/>
          <w:szCs w:val="20"/>
          <w:color w:val="auto"/>
        </w:rPr>
      </w:pPr>
    </w:p>
    <w:p>
      <w:pPr>
        <w:ind w:right="420"/>
        <w:spacing w:after="0" w:line="245" w:lineRule="auto"/>
        <w:rPr>
          <w:sz w:val="20"/>
          <w:szCs w:val="20"/>
          <w:color w:val="auto"/>
        </w:rPr>
      </w:pPr>
      <w:r>
        <w:rPr>
          <w:rFonts w:ascii="Arial" w:cs="Arial" w:eastAsia="Arial" w:hAnsi="Arial"/>
          <w:sz w:val="17"/>
          <w:szCs w:val="17"/>
          <w:color w:val="auto"/>
        </w:rPr>
        <w:t>Further, SDG&amp;E sent e-mail notices to DWR each Utility Business Day prior to the Effective Date of the 2007 Servicing Order that provided the following remittance information of DWR Charges as such charges became effective.</w:t>
      </w:r>
    </w:p>
    <w:p>
      <w:pPr>
        <w:spacing w:after="0" w:line="153" w:lineRule="exact"/>
        <w:rPr>
          <w:sz w:val="20"/>
          <w:szCs w:val="20"/>
          <w:color w:val="auto"/>
        </w:rPr>
      </w:pPr>
    </w:p>
    <w:p>
      <w:pPr>
        <w:ind w:left="1000" w:hanging="253"/>
        <w:spacing w:after="0"/>
        <w:tabs>
          <w:tab w:leader="none" w:pos="10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Remittance processing date;</w:t>
      </w:r>
    </w:p>
    <w:p>
      <w:pPr>
        <w:ind w:left="1000" w:hanging="253"/>
        <w:spacing w:after="0" w:line="215" w:lineRule="auto"/>
        <w:tabs>
          <w:tab w:leader="none" w:pos="10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Daily Remittance amounts for each Fund Type on each applicable Customer Type; and</w:t>
      </w:r>
    </w:p>
    <w:p>
      <w:pPr>
        <w:ind w:left="1000" w:hanging="253"/>
        <w:spacing w:after="0"/>
        <w:tabs>
          <w:tab w:leader="none" w:pos="10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Previous month recovery of charged off amounts.</w:t>
      </w:r>
    </w:p>
    <w:p>
      <w:pPr>
        <w:spacing w:after="0" w:line="163" w:lineRule="exact"/>
        <w:rPr>
          <w:sz w:val="20"/>
          <w:szCs w:val="20"/>
          <w:color w:val="auto"/>
        </w:rPr>
      </w:pPr>
    </w:p>
    <w:p>
      <w:pPr>
        <w:ind w:right="20" w:firstLine="496"/>
        <w:spacing w:after="0" w:line="237" w:lineRule="auto"/>
        <w:rPr>
          <w:sz w:val="20"/>
          <w:szCs w:val="20"/>
          <w:color w:val="auto"/>
        </w:rPr>
      </w:pPr>
      <w:r>
        <w:rPr>
          <w:rFonts w:ascii="Arial" w:cs="Arial" w:eastAsia="Arial" w:hAnsi="Arial"/>
          <w:sz w:val="17"/>
          <w:szCs w:val="17"/>
          <w:color w:val="auto"/>
        </w:rPr>
        <w:t>Also prior to the Effective Date of the 2007 Servicing Order, SDG&amp;E sent e-mail notices to DWR each month that provided a Monthly Late Payment Charge Report presenting the calculation of pro-rata sharing of late payment charge collection and a Monthly DWR Charge and Recovery Report presenting information concerning the charge-off and recovery of DWR Charges.</w:t>
      </w:r>
    </w:p>
    <w:p>
      <w:pPr>
        <w:spacing w:after="0" w:line="165" w:lineRule="exact"/>
        <w:rPr>
          <w:sz w:val="20"/>
          <w:szCs w:val="20"/>
          <w:color w:val="auto"/>
        </w:rPr>
      </w:pPr>
    </w:p>
    <w:p>
      <w:pPr>
        <w:ind w:right="100" w:firstLine="496"/>
        <w:spacing w:after="0" w:line="349" w:lineRule="auto"/>
        <w:rPr>
          <w:sz w:val="20"/>
          <w:szCs w:val="20"/>
          <w:color w:val="auto"/>
        </w:rPr>
      </w:pPr>
      <w:r>
        <w:rPr>
          <w:rFonts w:ascii="Arial" w:cs="Arial" w:eastAsia="Arial" w:hAnsi="Arial"/>
          <w:sz w:val="14"/>
          <w:szCs w:val="14"/>
          <w:color w:val="auto"/>
        </w:rPr>
        <w:t>On and after the Effective Date of the 2007 Servicing Order, SDG&amp;E provided the reports contemplated in this Attachment B, substantially in the forms set forth in Attachment C of the 2007 Servicing Order or as may from time to time be modified as mutually agreed to by the Parties or ordered by the Commission.</w:t>
      </w:r>
    </w:p>
    <w:p>
      <w:pPr>
        <w:spacing w:after="0" w:line="69" w:lineRule="exact"/>
        <w:rPr>
          <w:sz w:val="20"/>
          <w:szCs w:val="20"/>
          <w:color w:val="auto"/>
        </w:rPr>
      </w:pPr>
    </w:p>
    <w:p>
      <w:pPr>
        <w:ind w:right="80" w:firstLine="496"/>
        <w:spacing w:after="0" w:line="245" w:lineRule="auto"/>
        <w:rPr>
          <w:sz w:val="20"/>
          <w:szCs w:val="20"/>
          <w:color w:val="auto"/>
        </w:rPr>
      </w:pPr>
      <w:r>
        <w:rPr>
          <w:rFonts w:ascii="Arial" w:cs="Arial" w:eastAsia="Arial" w:hAnsi="Arial"/>
          <w:sz w:val="17"/>
          <w:szCs w:val="17"/>
          <w:color w:val="auto"/>
        </w:rPr>
        <w:t>On and after the MRTU Effective Date, SDG&amp;E provides the reports contemplated in this Attachment B, substantially in the forms set forth in Attachment C of this 2010 Servicing Order.</w:t>
      </w:r>
    </w:p>
    <w:p>
      <w:pPr>
        <w:spacing w:after="0" w:line="138" w:lineRule="exact"/>
        <w:rPr>
          <w:sz w:val="20"/>
          <w:szCs w:val="20"/>
          <w:color w:val="auto"/>
        </w:rPr>
      </w:pPr>
    </w:p>
    <w:p>
      <w:pPr>
        <w:ind w:right="120" w:firstLine="496"/>
        <w:spacing w:after="0" w:line="237" w:lineRule="auto"/>
        <w:rPr>
          <w:sz w:val="20"/>
          <w:szCs w:val="20"/>
          <w:color w:val="auto"/>
        </w:rPr>
      </w:pPr>
      <w:r>
        <w:rPr>
          <w:rFonts w:ascii="Arial" w:cs="Arial" w:eastAsia="Arial" w:hAnsi="Arial"/>
          <w:sz w:val="17"/>
          <w:szCs w:val="17"/>
          <w:color w:val="auto"/>
        </w:rPr>
        <w:t>To the extent that a different collection rate is to be applied to a sub-group within a Customer Type identified in the Servicing Order pursuant to a future Applicable Commission Order, unless SDG&amp;E and DWR mutually agree to a different reporting format, SDG&amp;E will provide the same information identified in the reporting form related to the original Customer Type as to any sub-group identified within that Customer Type.</w:t>
      </w:r>
    </w:p>
    <w:p>
      <w:pPr>
        <w:spacing w:after="0" w:line="144" w:lineRule="exact"/>
        <w:rPr>
          <w:sz w:val="20"/>
          <w:szCs w:val="20"/>
          <w:color w:val="auto"/>
        </w:rPr>
      </w:pPr>
    </w:p>
    <w:p>
      <w:pPr>
        <w:ind w:right="660" w:firstLine="496"/>
        <w:spacing w:after="0" w:line="235" w:lineRule="auto"/>
        <w:rPr>
          <w:sz w:val="20"/>
          <w:szCs w:val="20"/>
          <w:color w:val="auto"/>
        </w:rPr>
      </w:pPr>
      <w:r>
        <w:rPr>
          <w:rFonts w:ascii="Arial" w:cs="Arial" w:eastAsia="Arial" w:hAnsi="Arial"/>
          <w:sz w:val="17"/>
          <w:szCs w:val="17"/>
          <w:color w:val="auto"/>
        </w:rPr>
        <w:t>Unless expressly provided otherwise, on and after the Effective Date of the 2007 Servicing Order, SDG&amp;E was directed to transmit to DWR all the reports contemplated in Attachment B via secure electronic means or email (password protected or otherwise, as more specifically provided in Attachment C), provided in Microsoft Excel® workbook file format or, to the extent necessary from time to time in comma separated value or fixed width text files, all as further provided in Attachment C.</w:t>
      </w:r>
    </w:p>
    <w:p>
      <w:pPr>
        <w:spacing w:after="0" w:line="144" w:lineRule="exact"/>
        <w:rPr>
          <w:sz w:val="20"/>
          <w:szCs w:val="20"/>
          <w:color w:val="auto"/>
        </w:rPr>
      </w:pPr>
    </w:p>
    <w:p>
      <w:pPr>
        <w:ind w:left="500" w:hanging="497"/>
        <w:spacing w:after="0"/>
        <w:tabs>
          <w:tab w:leader="none" w:pos="500"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Historical Remittance Methodologies</w:t>
      </w:r>
    </w:p>
    <w:p>
      <w:pPr>
        <w:spacing w:after="0" w:line="156" w:lineRule="exact"/>
        <w:rPr>
          <w:sz w:val="20"/>
          <w:szCs w:val="20"/>
          <w:color w:val="auto"/>
        </w:rPr>
      </w:pPr>
    </w:p>
    <w:p>
      <w:pPr>
        <w:ind w:right="660" w:firstLine="496"/>
        <w:spacing w:after="0" w:line="349" w:lineRule="auto"/>
        <w:rPr>
          <w:sz w:val="20"/>
          <w:szCs w:val="20"/>
          <w:color w:val="auto"/>
        </w:rPr>
      </w:pPr>
      <w:r>
        <w:rPr>
          <w:rFonts w:ascii="Arial" w:cs="Arial" w:eastAsia="Arial" w:hAnsi="Arial"/>
          <w:sz w:val="14"/>
          <w:szCs w:val="14"/>
          <w:color w:val="auto"/>
        </w:rPr>
        <w:t>Historical remittance methodologies for specific Fund Types on specific Customer Types for specific historical time periods may differ from the remittance methodologies described in this Attachment B. Such historical remittance methodologies are included in the appropriate Appendices to this Attachment B.</w:t>
      </w:r>
    </w:p>
    <w:p>
      <w:pPr>
        <w:spacing w:after="0" w:line="59" w:lineRule="exact"/>
        <w:rPr>
          <w:sz w:val="20"/>
          <w:szCs w:val="20"/>
          <w:color w:val="auto"/>
        </w:rPr>
      </w:pPr>
    </w:p>
    <w:p>
      <w:pPr>
        <w:ind w:left="500" w:hanging="497"/>
        <w:spacing w:after="0"/>
        <w:tabs>
          <w:tab w:leader="none" w:pos="500"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Utility Filings Impacting DWR Charges</w:t>
      </w:r>
    </w:p>
    <w:p>
      <w:pPr>
        <w:spacing w:after="0" w:line="156" w:lineRule="exact"/>
        <w:rPr>
          <w:sz w:val="20"/>
          <w:szCs w:val="20"/>
          <w:color w:val="auto"/>
        </w:rPr>
      </w:pPr>
    </w:p>
    <w:p>
      <w:pPr>
        <w:ind w:right="20" w:firstLine="496"/>
        <w:spacing w:after="0" w:line="282" w:lineRule="auto"/>
        <w:rPr>
          <w:sz w:val="20"/>
          <w:szCs w:val="20"/>
          <w:color w:val="auto"/>
        </w:rPr>
      </w:pPr>
      <w:r>
        <w:rPr>
          <w:rFonts w:ascii="Arial" w:cs="Arial" w:eastAsia="Arial" w:hAnsi="Arial"/>
          <w:sz w:val="14"/>
          <w:szCs w:val="14"/>
          <w:color w:val="auto"/>
        </w:rPr>
        <w:t>To the extent that SDG&amp;E intends to revise (i) any effective remittance rate for any DWR Charge or (ii) any SDG&amp;E collected rates which would modify effective remittance rate for any CRS component, in either case, applicable to a Customer Type being collected under the 2007 Servicing Order through a filing prepared and submitted by SDG&amp;E to the Commission (hereinafter “DWR Charge Revision”), SDG&amp;E will notify DWR of any such future Commission filings as provided in this Paragraph. Unless the Commission fails to provide SDG&amp;E with at least two (2) Utility Business Days’ notice of a requirement to file a DWR Charge Revision, no less than two (2) Utility Business Days prior to SDG&amp;E’s submission of the filing to the Commission, SDG&amp;E will notify the DWR Contact Persons listed in Section C of Attachment A (“DWR Contact Persons”) or other DWR representative as mutually agreed to by the Parties, that SDG&amp;E intends to submit a filing to the Commission that changes the effective DWR Charge remittance rate; provided, however, that in the event that SDG&amp;E has less than two (2) Utility Business Days’ notice of a requirement to file, SDG&amp;E will notify DWR as soon as is practicable. In the event that the Commission has directed SDG&amp;E and DWR to work collaboratively on the DWR Charge Revision, SDG&amp;E will provide the relevant supporting work papers for the DWR Charge Revision to DWR no later than the time SDG&amp;E provides notice as specified in this paragraph. With respect to all other DWR Charge Revisions filed by SDG&amp;E, after filing of the DWR Charge Revision with the Commission, SDG&amp;E will provide the relevant supporting work papers for a DWR Charge Revision if such papers are requested by DWR. Upon submission of the filing to the Commission, SDG&amp;E will forward a copy of the final SDG&amp;E filing to the DWR Contact Persons within two (2) Utility Business Days of the filing date. When the Commission notifies SDG&amp;E of its action concerning the filing, SDG&amp;E will provide a copy of the Commission’s letter, resolution, or other document concerning the filing to the DWR Contact Persons within five (5 ) Utility Business Days of receipt thereof. SDG&amp;E further agrees to maintain a summary of its Commission filings concerning DWR Charges and other matters covered by the 2007 Servicing Order, and SDG&amp;E will forward an updated copy of such summary to the DWR Contact Persons within 30 days of the end of each calendar quarter. SDG&amp;E’s non-compliance with its obligations under this Paragraph J will not constitute a material breach under the 2007 Servicing Order and shall not be considered an Event of Default under the 2007 Servicing Order.</w:t>
      </w:r>
    </w:p>
    <w:p>
      <w:pPr>
        <w:spacing w:after="0" w:line="200" w:lineRule="exact"/>
        <w:rPr>
          <w:sz w:val="20"/>
          <w:szCs w:val="20"/>
          <w:color w:val="auto"/>
        </w:rPr>
      </w:pPr>
    </w:p>
    <w:p>
      <w:pPr>
        <w:spacing w:after="0" w:line="280" w:lineRule="exact"/>
        <w:rPr>
          <w:sz w:val="20"/>
          <w:szCs w:val="20"/>
          <w:color w:val="auto"/>
        </w:rPr>
      </w:pPr>
    </w:p>
    <w:p>
      <w:pPr>
        <w:ind w:left="500" w:hanging="497"/>
        <w:spacing w:after="0"/>
        <w:tabs>
          <w:tab w:leader="none" w:pos="500"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Collection of DWR Charges through Non-Utility Bills</w:t>
      </w:r>
    </w:p>
    <w:p>
      <w:pPr>
        <w:spacing w:after="0" w:line="177" w:lineRule="exact"/>
        <w:rPr>
          <w:sz w:val="20"/>
          <w:szCs w:val="20"/>
          <w:color w:val="auto"/>
        </w:rPr>
      </w:pPr>
    </w:p>
    <w:p>
      <w:pPr>
        <w:jc w:val="both"/>
        <w:ind w:right="120" w:firstLine="496"/>
        <w:spacing w:after="0" w:line="253" w:lineRule="auto"/>
        <w:rPr>
          <w:sz w:val="20"/>
          <w:szCs w:val="20"/>
          <w:color w:val="auto"/>
        </w:rPr>
      </w:pPr>
      <w:r>
        <w:rPr>
          <w:rFonts w:ascii="Arial" w:cs="Arial" w:eastAsia="Arial" w:hAnsi="Arial"/>
          <w:sz w:val="16"/>
          <w:szCs w:val="16"/>
          <w:color w:val="auto"/>
        </w:rPr>
        <w:t>In the event that any component of DWR Charges are calculated by SDG&amp;E but billed and collected through Non-Utility Bills, SDG&amp;E will agree to provide daily and monthly reports with respect to collections remitted through Non-Utility Bills in the same format as the Fund Type of the Customer Type provided in Attachment C of the 2007 Servicing Order. To the extent that any of the requested data included in the reports are not reasonably available to SDG&amp;E, upon notification by SDG&amp;E, DWR agrees to modify the affected reports to be able to reasonably address the concerns of the Parties.</w:t>
      </w:r>
    </w:p>
    <w:p>
      <w:pPr>
        <w:sectPr>
          <w:pgSz w:w="11900" w:h="16838" w:orient="portrait"/>
          <w:cols w:equalWidth="0" w:num="1">
            <w:col w:w="11440"/>
          </w:cols>
          <w:pgMar w:left="220" w:top="12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B-</w:t>
      </w:r>
    </w:p>
    <w:p>
      <w:pPr>
        <w:sectPr>
          <w:pgSz w:w="11900" w:h="16838" w:orient="portrait"/>
          <w:cols w:equalWidth="0" w:num="1">
            <w:col w:w="11440"/>
          </w:cols>
          <w:pgMar w:left="220" w:top="124" w:right="239" w:bottom="1440" w:gutter="0" w:footer="0" w:header="0"/>
          <w:type w:val="continuous"/>
        </w:sectPr>
      </w:pPr>
    </w:p>
    <w:bookmarkStart w:id="125" w:name="page126"/>
    <w:bookmarkEnd w:id="125"/>
    <w:p>
      <w:pPr>
        <w:jc w:val="right"/>
        <w:spacing w:after="0"/>
        <w:rPr>
          <w:sz w:val="20"/>
          <w:szCs w:val="20"/>
          <w:color w:val="auto"/>
        </w:rPr>
      </w:pPr>
      <w:r>
        <w:rPr>
          <w:rFonts w:ascii="Arial" w:cs="Arial" w:eastAsia="Arial" w:hAnsi="Arial"/>
          <w:sz w:val="17"/>
          <w:szCs w:val="17"/>
          <w:b w:val="1"/>
          <w:bCs w:val="1"/>
          <w:color w:val="auto"/>
        </w:rPr>
        <w:t>Attachment B</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APPENDIX A-1</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SAN DIEGO GAS &amp; ELECTRIC COMPANY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BILL DETERMINATION - BUNDLED CUSTOMER BOND CHARGE</w:t>
      </w:r>
    </w:p>
    <w:p>
      <w:pPr>
        <w:spacing w:after="0" w:line="160" w:lineRule="exact"/>
        <w:rPr>
          <w:sz w:val="20"/>
          <w:szCs w:val="20"/>
          <w:color w:val="auto"/>
        </w:rPr>
      </w:pPr>
    </w:p>
    <w:p>
      <w:pPr>
        <w:ind w:right="60" w:firstLine="496"/>
        <w:spacing w:after="0" w:line="245" w:lineRule="auto"/>
        <w:rPr>
          <w:sz w:val="20"/>
          <w:szCs w:val="20"/>
          <w:color w:val="auto"/>
        </w:rPr>
      </w:pPr>
      <w:r>
        <w:rPr>
          <w:rFonts w:ascii="Arial" w:cs="Arial" w:eastAsia="Arial" w:hAnsi="Arial"/>
          <w:sz w:val="17"/>
          <w:szCs w:val="17"/>
          <w:color w:val="auto"/>
        </w:rPr>
        <w:t>This Appendix A-1 to Attachment B of the Servicing Order sets forth specific methodology to be applied in determining the billed dollar amount of Bond Charge on a Bundled Customer.</w:t>
      </w:r>
    </w:p>
    <w:p>
      <w:pPr>
        <w:spacing w:after="0" w:line="138" w:lineRule="exact"/>
        <w:rPr>
          <w:sz w:val="20"/>
          <w:szCs w:val="20"/>
          <w:color w:val="auto"/>
        </w:rPr>
      </w:pPr>
    </w:p>
    <w:p>
      <w:pPr>
        <w:ind w:right="100" w:firstLine="496"/>
        <w:spacing w:after="0" w:line="237" w:lineRule="auto"/>
        <w:rPr>
          <w:sz w:val="20"/>
          <w:szCs w:val="20"/>
          <w:color w:val="auto"/>
        </w:rPr>
      </w:pPr>
      <w:r>
        <w:rPr>
          <w:rFonts w:ascii="Arial" w:cs="Arial" w:eastAsia="Arial" w:hAnsi="Arial"/>
          <w:sz w:val="17"/>
          <w:szCs w:val="17"/>
          <w:color w:val="auto"/>
        </w:rPr>
        <w:t>The dollar amount of Bond Charge billed or re-billed to a Bundled Customer is the product of (i) the electric consumption subject to Bond Charge billed or re-billed to the Bundled Customer and (ii) the Bundled Customer Bond Charge rate applicable to the period of such electric consumption. All electric consumption of a Bundled Customer is subject to Bond Charge unless exempt by Applicable Commission Orders.</w:t>
      </w:r>
    </w:p>
    <w:p>
      <w:pPr>
        <w:spacing w:after="0" w:line="165" w:lineRule="exact"/>
        <w:rPr>
          <w:sz w:val="20"/>
          <w:szCs w:val="20"/>
          <w:color w:val="auto"/>
        </w:rPr>
      </w:pPr>
    </w:p>
    <w:p>
      <w:pPr>
        <w:ind w:right="180" w:firstLine="496"/>
        <w:spacing w:after="0" w:line="237" w:lineRule="auto"/>
        <w:rPr>
          <w:sz w:val="20"/>
          <w:szCs w:val="20"/>
          <w:color w:val="auto"/>
        </w:rPr>
      </w:pPr>
      <w:r>
        <w:rPr>
          <w:rFonts w:ascii="Arial" w:cs="Arial" w:eastAsia="Arial" w:hAnsi="Arial"/>
          <w:sz w:val="17"/>
          <w:szCs w:val="17"/>
          <w:color w:val="auto"/>
        </w:rPr>
        <w:t>In cases in which the Bundled Customer Bond Charge rate changes during the period of the electric consumption subject to Bond Charge billed or re-billed to a Bundled Customer, SDG&amp;E shall apply each of the differing Bundled Customer Bond Charge rates over such period to a portion of such consumption in proportion to the number of calendar days within the period that each rate was effective.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460"/>
          </w:cols>
          <w:pgMar w:left="220" w:top="120" w:right="219" w:bottom="1440" w:gutter="0" w:footer="0" w:header="0"/>
        </w:sectPr>
      </w:pPr>
    </w:p>
    <w:bookmarkStart w:id="126" w:name="page127"/>
    <w:bookmarkEnd w:id="126"/>
    <w:p>
      <w:pPr>
        <w:jc w:val="right"/>
        <w:spacing w:after="0"/>
        <w:rPr>
          <w:sz w:val="20"/>
          <w:szCs w:val="20"/>
          <w:color w:val="auto"/>
        </w:rPr>
      </w:pPr>
      <w:r>
        <w:rPr>
          <w:rFonts w:ascii="Arial" w:cs="Arial" w:eastAsia="Arial" w:hAnsi="Arial"/>
          <w:sz w:val="17"/>
          <w:szCs w:val="17"/>
          <w:b w:val="1"/>
          <w:bCs w:val="1"/>
          <w:color w:val="auto"/>
        </w:rPr>
        <w:t>Attachment B</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APPENDIX A-2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SAN DIEGO GAS &amp; ELECTRIC COMPANY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BILL DETERMINATION - BUNDLED CUSTOMER POWER CHARGE</w:t>
      </w:r>
    </w:p>
    <w:p>
      <w:pPr>
        <w:spacing w:after="0" w:line="160" w:lineRule="exact"/>
        <w:rPr>
          <w:sz w:val="20"/>
          <w:szCs w:val="20"/>
          <w:color w:val="auto"/>
        </w:rPr>
      </w:pPr>
    </w:p>
    <w:p>
      <w:pPr>
        <w:ind w:firstLine="496"/>
        <w:spacing w:after="0" w:line="234" w:lineRule="auto"/>
        <w:rPr>
          <w:sz w:val="20"/>
          <w:szCs w:val="20"/>
          <w:color w:val="auto"/>
        </w:rPr>
      </w:pPr>
      <w:r>
        <w:rPr>
          <w:rFonts w:ascii="Arial" w:cs="Arial" w:eastAsia="Arial" w:hAnsi="Arial"/>
          <w:sz w:val="17"/>
          <w:szCs w:val="17"/>
          <w:color w:val="auto"/>
        </w:rPr>
        <w:t>This Appendix A-2 to Attachment B of the Servicing Order sets forth specific methodology to be applied in determining the billed dollar amount of Power Charge on a Bundled Customer. In addition, this Appendix A-2 provides an account of historical remittance methodologies for Bundled Customer Power Charge applicable for specific historical time periods. All capitalized terms shall have the meanings set forth in the body of the Servicing Order or Attachment B; provided that any capitalized terms specifically defined and used in this Appendix A-2 shall have the meanings set forth herein and, unless otherwise stated, such defined terms shall only apply in this Appendix A-2.</w:t>
      </w:r>
    </w:p>
    <w:p>
      <w:pPr>
        <w:spacing w:after="0" w:line="128" w:lineRule="exact"/>
        <w:rPr>
          <w:sz w:val="20"/>
          <w:szCs w:val="20"/>
          <w:color w:val="auto"/>
        </w:rPr>
      </w:pPr>
    </w:p>
    <w:p>
      <w:pPr>
        <w:ind w:left="500" w:hanging="497"/>
        <w:spacing w:after="0"/>
        <w:tabs>
          <w:tab w:leader="none" w:pos="500" w:val="left"/>
        </w:tabs>
        <w:numPr>
          <w:ilvl w:val="0"/>
          <w:numId w:val="174"/>
        </w:numPr>
        <w:rPr>
          <w:rFonts w:ascii="Arial" w:cs="Arial" w:eastAsia="Arial" w:hAnsi="Arial"/>
          <w:sz w:val="17"/>
          <w:szCs w:val="17"/>
          <w:b w:val="1"/>
          <w:bCs w:val="1"/>
          <w:color w:val="auto"/>
        </w:rPr>
      </w:pPr>
      <w:r>
        <w:rPr>
          <w:rFonts w:ascii="Arial" w:cs="Arial" w:eastAsia="Arial" w:hAnsi="Arial"/>
          <w:sz w:val="17"/>
          <w:szCs w:val="17"/>
          <w:b w:val="1"/>
          <w:bCs w:val="1"/>
          <w:color w:val="auto"/>
        </w:rPr>
        <w:t>Determination of Billed Dollar Amount for Power Charge on a Bundled Customer</w:t>
      </w:r>
    </w:p>
    <w:p>
      <w:pPr>
        <w:spacing w:after="0" w:line="181" w:lineRule="exact"/>
        <w:rPr>
          <w:sz w:val="20"/>
          <w:szCs w:val="20"/>
          <w:color w:val="auto"/>
        </w:rPr>
      </w:pPr>
    </w:p>
    <w:p>
      <w:pPr>
        <w:ind w:right="220" w:firstLine="496"/>
        <w:spacing w:after="0" w:line="237" w:lineRule="auto"/>
        <w:rPr>
          <w:sz w:val="20"/>
          <w:szCs w:val="20"/>
          <w:color w:val="auto"/>
        </w:rPr>
      </w:pPr>
      <w:r>
        <w:rPr>
          <w:rFonts w:ascii="Arial" w:cs="Arial" w:eastAsia="Arial" w:hAnsi="Arial"/>
          <w:sz w:val="17"/>
          <w:szCs w:val="17"/>
          <w:color w:val="auto"/>
        </w:rPr>
        <w:t>The dollar amount of Power Charge billed or re-billed to a Bundled Customer shall be the product of (i) the electric consumption billed or re-billed to the Bundled Customer (ii) the Bundled Customer Power Charge rate in dollar per kilowatt-hour applicable to the period of the consumption and (iii) the corresponding “Individual Customer Billing Cycle Average DWR Percentage” (described below).</w:t>
      </w:r>
    </w:p>
    <w:p>
      <w:pPr>
        <w:spacing w:after="0" w:line="165" w:lineRule="exact"/>
        <w:rPr>
          <w:sz w:val="20"/>
          <w:szCs w:val="20"/>
          <w:color w:val="auto"/>
        </w:rPr>
      </w:pPr>
    </w:p>
    <w:p>
      <w:pPr>
        <w:ind w:right="120" w:firstLine="496"/>
        <w:spacing w:after="0" w:line="237" w:lineRule="auto"/>
        <w:rPr>
          <w:sz w:val="20"/>
          <w:szCs w:val="20"/>
          <w:color w:val="auto"/>
        </w:rPr>
      </w:pPr>
      <w:r>
        <w:rPr>
          <w:rFonts w:ascii="Arial" w:cs="Arial" w:eastAsia="Arial" w:hAnsi="Arial"/>
          <w:sz w:val="17"/>
          <w:szCs w:val="17"/>
          <w:color w:val="auto"/>
        </w:rPr>
        <w:t>In cases in which the Bundled Customer Power Charge rate changes during the period of the electric consumption subject to Power Charge billed or re-billed to a Bundled Customer, SDG&amp;E shall apply each of the differing Bundled Customer Power Charge rates over such period to a portion of such consumption in proportion to the number of calendar days within the period that each rate was effective.</w:t>
      </w:r>
    </w:p>
    <w:p>
      <w:pPr>
        <w:spacing w:after="0" w:line="165" w:lineRule="exact"/>
        <w:rPr>
          <w:sz w:val="20"/>
          <w:szCs w:val="20"/>
          <w:color w:val="auto"/>
        </w:rPr>
      </w:pPr>
    </w:p>
    <w:p>
      <w:pPr>
        <w:ind w:right="100" w:firstLine="496"/>
        <w:spacing w:after="0" w:line="250" w:lineRule="auto"/>
        <w:rPr>
          <w:sz w:val="20"/>
          <w:szCs w:val="20"/>
          <w:color w:val="auto"/>
        </w:rPr>
      </w:pPr>
      <w:r>
        <w:rPr>
          <w:rFonts w:ascii="Arial" w:cs="Arial" w:eastAsia="Arial" w:hAnsi="Arial"/>
          <w:sz w:val="16"/>
          <w:szCs w:val="16"/>
          <w:color w:val="auto"/>
        </w:rPr>
        <w:t xml:space="preserve">SDG&amp;E shall determine the “Individual Customer Billing Cycle Average DWR Percentage” over the period of electric consumption subject to Power Charge billed or re-billed to a Bundled Customer as the average of all hourly “Rate Group Average DWR Energy Percentages” over such period weighted by the statistical or dynamic load profile of the rate group of the Bundled Customer over the same period. SDG&amp;E shall calculate each hourly “Rate Group Average DWR Energy Percentage” of a rate group as the rate group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Hourly Percentage Factor described in Part I and Part II of this Appendix A-2, in proportion to the rate group’s statistical or dynamic load profile in the same hour as further detailed in SDG&amp;E’s Tariff.</w:t>
      </w:r>
    </w:p>
    <w:p>
      <w:pPr>
        <w:spacing w:after="0" w:line="158" w:lineRule="exact"/>
        <w:rPr>
          <w:sz w:val="20"/>
          <w:szCs w:val="20"/>
          <w:color w:val="auto"/>
        </w:rPr>
      </w:pPr>
    </w:p>
    <w:p>
      <w:pPr>
        <w:ind w:right="240" w:firstLine="496"/>
        <w:spacing w:after="0" w:line="234" w:lineRule="auto"/>
        <w:rPr>
          <w:sz w:val="20"/>
          <w:szCs w:val="20"/>
          <w:color w:val="auto"/>
        </w:rPr>
      </w:pPr>
      <w:r>
        <w:rPr>
          <w:rFonts w:ascii="Arial" w:cs="Arial" w:eastAsia="Arial" w:hAnsi="Arial"/>
          <w:sz w:val="17"/>
          <w:szCs w:val="17"/>
          <w:color w:val="auto"/>
        </w:rPr>
        <w:t>SDG&amp;E shall determine the “Hourly Percentage Factor” in accordance with the principles set forth in Attachment H of the 2003 Servicing Order, which included Part I that provides the detailed process of the More Precise Remittance Methodology applicable for Power Charges from Bundled Customers before the Operating Order Effective Date and Part II that provides the detailed process of the Post-Transition Remittance Methodology applicable for Power Charges on Bundled Customers on and after the Operating Order Effective Date. With formatting changes, Attachment H of the 2003 Servicing Order is provided below in Part I and Part II of Part A of this Appendix A-2.</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Part I: </w:t>
      </w:r>
      <w:r>
        <w:rPr>
          <w:rFonts w:ascii="Arial" w:cs="Arial" w:eastAsia="Arial" w:hAnsi="Arial"/>
          <w:sz w:val="17"/>
          <w:szCs w:val="17"/>
          <w:u w:val="single" w:color="auto"/>
          <w:color w:val="auto"/>
        </w:rPr>
        <w:t>More Precise Remittance Methodology</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methodology in this Part I shall be applied for remittance of Power Charges from Bundled Customers before the Operating Order Effective Date.</w:t>
      </w:r>
    </w:p>
    <w:p>
      <w:pPr>
        <w:spacing w:after="0" w:line="157"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4"/>
          <w:szCs w:val="14"/>
          <w:u w:val="single" w:color="auto"/>
          <w:color w:val="auto"/>
        </w:rPr>
        <w:t>SDG&amp;E Remittance Percentage Calculation and True-up</w:t>
      </w:r>
    </w:p>
    <w:p>
      <w:pPr>
        <w:spacing w:after="0" w:line="156" w:lineRule="exact"/>
        <w:rPr>
          <w:sz w:val="20"/>
          <w:szCs w:val="20"/>
          <w:color w:val="auto"/>
        </w:rPr>
      </w:pPr>
    </w:p>
    <w:p>
      <w:pPr>
        <w:ind w:right="80" w:firstLine="496"/>
        <w:spacing w:after="0" w:line="286" w:lineRule="auto"/>
        <w:rPr>
          <w:sz w:val="20"/>
          <w:szCs w:val="20"/>
          <w:color w:val="auto"/>
        </w:rPr>
      </w:pPr>
      <w:r>
        <w:rPr>
          <w:rFonts w:ascii="Arial" w:cs="Arial" w:eastAsia="Arial" w:hAnsi="Arial"/>
          <w:sz w:val="14"/>
          <w:szCs w:val="14"/>
          <w:color w:val="auto"/>
        </w:rPr>
        <w:t>In accordance with SDG&amp;E’s Schedule EECC, as it may be modified or superseded by the Commission from time to time, SDG&amp;E calculates each hour the percentage of Bundled Customers electricity use that is supplied by DWR (the “Hourly Percentage Factor”). This percentage is calculated using Final Hour-Ahead Schedules that reflect estimated Customer electricity use. “Estimated Customer Use” shall be defined as the forecasted Customer usage used to establish the Final Hour-Ahead Schedule adjusted using other data that may become available within one day of the Trade Day, as appropriate, to more accurately reflect actual Bundled Customer usage. As final settlement statements reflecting actual meter data and electricity deliveries are received from the ISO, SDG&amp;E will calculate the actual Hourly Percentage Factors. For each hour, the estimated Hourly Percentage Factor will be subtracted from the actual Hourly Percentage Factor to determine the Hourly Percentage Factor difference. At the end of each month, a weighted average Hourly Percentage Factor difference will be calculated using all trade dates for which SDG&amp;E has received from the ISO final settlement statements during such month. This weighted average difference will then be adjusted, if necessary, by commodity revenue dollars for the different periods to obtain an adjustment percentage that will be applied as an hourly adjustment in the next month’s calculations of Hourly Percentage Factors.</w:t>
      </w:r>
    </w:p>
    <w:p>
      <w:pPr>
        <w:spacing w:after="0" w:line="103"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b).</w:t>
      </w:r>
      <w:r>
        <w:rPr>
          <w:sz w:val="20"/>
          <w:szCs w:val="20"/>
          <w:color w:val="auto"/>
        </w:rPr>
        <w:tab/>
      </w:r>
      <w:r>
        <w:rPr>
          <w:rFonts w:ascii="Arial" w:cs="Arial" w:eastAsia="Arial" w:hAnsi="Arial"/>
          <w:sz w:val="14"/>
          <w:szCs w:val="14"/>
          <w:u w:val="single" w:color="auto"/>
          <w:color w:val="auto"/>
        </w:rPr>
        <w:t>Detailed Process</w:t>
      </w:r>
    </w:p>
    <w:p>
      <w:pPr>
        <w:spacing w:after="0" w:line="152" w:lineRule="exact"/>
        <w:rPr>
          <w:sz w:val="20"/>
          <w:szCs w:val="20"/>
          <w:color w:val="auto"/>
        </w:rPr>
      </w:pPr>
    </w:p>
    <w:p>
      <w:pPr>
        <w:ind w:left="1000" w:hanging="501"/>
        <w:spacing w:after="0"/>
        <w:tabs>
          <w:tab w:leader="none" w:pos="100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Hourly Percentage Factor Calculation - This calculation is performed on </w:t>
      </w:r>
      <w:r>
        <w:rPr>
          <w:rFonts w:ascii="Arial" w:cs="Arial" w:eastAsia="Arial" w:hAnsi="Arial"/>
          <w:sz w:val="17"/>
          <w:szCs w:val="17"/>
          <w:b w:val="1"/>
          <w:bCs w:val="1"/>
          <w:color w:val="auto"/>
        </w:rPr>
        <w:t>T+1</w:t>
      </w:r>
      <w:r>
        <w:rPr>
          <w:rFonts w:ascii="Arial" w:cs="Arial" w:eastAsia="Arial" w:hAnsi="Arial"/>
          <w:sz w:val="17"/>
          <w:szCs w:val="17"/>
          <w:color w:val="auto"/>
        </w:rPr>
        <w:t xml:space="preserve"> (the day after the energy is used).</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For each day </w:t>
      </w:r>
      <w:r>
        <w:rPr>
          <w:rFonts w:ascii="Arial" w:cs="Arial" w:eastAsia="Arial" w:hAnsi="Arial"/>
          <w:sz w:val="14"/>
          <w:szCs w:val="14"/>
          <w:b w:val="1"/>
          <w:bCs w:val="1"/>
          <w:color w:val="auto"/>
        </w:rPr>
        <w:t>T</w:t>
      </w:r>
      <w:r>
        <w:rPr>
          <w:rFonts w:ascii="Arial" w:cs="Arial" w:eastAsia="Arial" w:hAnsi="Arial"/>
          <w:sz w:val="14"/>
          <w:szCs w:val="14"/>
          <w:color w:val="auto"/>
        </w:rPr>
        <w:t xml:space="preserve"> (trade date) SDG&amp;E will retrieve from ISO published CERS hour-ahead final schedule the amount of DWR energy that is scheduled from SDG&amp;E.</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 xml:space="preserve">For each day </w:t>
      </w:r>
      <w:r>
        <w:rPr>
          <w:rFonts w:ascii="Arial" w:cs="Arial" w:eastAsia="Arial" w:hAnsi="Arial"/>
          <w:sz w:val="17"/>
          <w:szCs w:val="17"/>
          <w:b w:val="1"/>
          <w:bCs w:val="1"/>
          <w:color w:val="auto"/>
        </w:rPr>
        <w:t>T</w:t>
      </w:r>
      <w:r>
        <w:rPr>
          <w:rFonts w:ascii="Arial" w:cs="Arial" w:eastAsia="Arial" w:hAnsi="Arial"/>
          <w:sz w:val="17"/>
          <w:szCs w:val="17"/>
          <w:color w:val="auto"/>
        </w:rPr>
        <w:t xml:space="preserve"> SDG&amp;E will develop estimates of Bundled Customer usage and imbalance energy for each hour.</w:t>
      </w:r>
    </w:p>
    <w:p>
      <w:pPr>
        <w:spacing w:after="0" w:line="160" w:lineRule="exact"/>
        <w:rPr>
          <w:sz w:val="20"/>
          <w:szCs w:val="20"/>
          <w:color w:val="auto"/>
        </w:rPr>
      </w:pPr>
    </w:p>
    <w:p>
      <w:pPr>
        <w:ind w:right="40" w:firstLine="496"/>
        <w:spacing w:after="0" w:line="235" w:lineRule="auto"/>
        <w:rPr>
          <w:sz w:val="20"/>
          <w:szCs w:val="20"/>
          <w:color w:val="auto"/>
        </w:rPr>
      </w:pPr>
      <w:r>
        <w:rPr>
          <w:rFonts w:ascii="Arial" w:cs="Arial" w:eastAsia="Arial" w:hAnsi="Arial"/>
          <w:sz w:val="17"/>
          <w:szCs w:val="17"/>
          <w:color w:val="auto"/>
        </w:rPr>
        <w:t xml:space="preserve">These two components, along with output from the True-up Process, will be used to calculate the Hourly Percentage Factor. SDG&amp;E will calculate the Hourly Percentage Factor for each hour of a trade day </w:t>
      </w:r>
      <w:r>
        <w:rPr>
          <w:rFonts w:ascii="Arial" w:cs="Arial" w:eastAsia="Arial" w:hAnsi="Arial"/>
          <w:sz w:val="17"/>
          <w:szCs w:val="17"/>
          <w:b w:val="1"/>
          <w:bCs w:val="1"/>
          <w:color w:val="auto"/>
        </w:rPr>
        <w:t>T</w:t>
      </w:r>
      <w:r>
        <w:rPr>
          <w:rFonts w:ascii="Arial" w:cs="Arial" w:eastAsia="Arial" w:hAnsi="Arial"/>
          <w:sz w:val="17"/>
          <w:szCs w:val="17"/>
          <w:color w:val="auto"/>
        </w:rPr>
        <w:t xml:space="preserve"> by: (i) dividing the CERS’ Final Hour Ahead Schedule plus estimated imbalance energy schedule for such hour by the SDG&amp;E Estimated Customer Usage for such hour; and (ii) adding the true-up adjustment percentage applicable for the current month, calculated in accordance with Section B.2, below.</w:t>
      </w:r>
    </w:p>
    <w:p>
      <w:pPr>
        <w:spacing w:after="0" w:line="130" w:lineRule="exact"/>
        <w:rPr>
          <w:sz w:val="20"/>
          <w:szCs w:val="20"/>
          <w:color w:val="auto"/>
        </w:rPr>
      </w:pPr>
    </w:p>
    <w:p>
      <w:pPr>
        <w:jc w:val="both"/>
        <w:ind w:right="180" w:firstLine="499"/>
        <w:spacing w:after="0" w:line="303" w:lineRule="auto"/>
        <w:tabs>
          <w:tab w:leader="none" w:pos="992" w:val="left"/>
        </w:tabs>
        <w:numPr>
          <w:ilvl w:val="0"/>
          <w:numId w:val="176"/>
        </w:numPr>
        <w:rPr>
          <w:rFonts w:ascii="Arial" w:cs="Arial" w:eastAsia="Arial" w:hAnsi="Arial"/>
          <w:sz w:val="14"/>
          <w:szCs w:val="14"/>
          <w:color w:val="auto"/>
        </w:rPr>
      </w:pPr>
      <w:r>
        <w:rPr>
          <w:rFonts w:ascii="Arial" w:cs="Arial" w:eastAsia="Arial" w:hAnsi="Arial"/>
          <w:sz w:val="14"/>
          <w:szCs w:val="14"/>
          <w:color w:val="auto"/>
        </w:rPr>
        <w:t xml:space="preserve">True-up Process. The ISO publishes final settlement statements on </w:t>
      </w:r>
      <w:r>
        <w:rPr>
          <w:rFonts w:ascii="Arial" w:cs="Arial" w:eastAsia="Arial" w:hAnsi="Arial"/>
          <w:sz w:val="14"/>
          <w:szCs w:val="14"/>
          <w:b w:val="1"/>
          <w:bCs w:val="1"/>
          <w:color w:val="auto"/>
        </w:rPr>
        <w:t>T + 51</w:t>
      </w:r>
      <w:r>
        <w:rPr>
          <w:rFonts w:ascii="Arial" w:cs="Arial" w:eastAsia="Arial" w:hAnsi="Arial"/>
          <w:sz w:val="14"/>
          <w:szCs w:val="14"/>
          <w:color w:val="auto"/>
        </w:rPr>
        <w:t xml:space="preserve"> Utility Business Days. The actual meter data on the final settlement statements will be used to calculate the actual Hourly Percentage Factor. The CERS Hour Ahead Final Schedule quantity will be divided by the actual meter data to obtain the actual Hourly Percentage Factor, except that during the term of the Restated Letter Agreement, the sum of the CERS Hour Ahead Final Schedule quantity and the imbalance energy for each corresponding hour will be divided by the actual meter data to obtain the actual Hourly Percentage Factor.</w:t>
      </w:r>
    </w:p>
    <w:p>
      <w:pPr>
        <w:spacing w:after="0" w:line="101" w:lineRule="exact"/>
        <w:rPr>
          <w:sz w:val="20"/>
          <w:szCs w:val="20"/>
          <w:color w:val="auto"/>
        </w:rPr>
      </w:pPr>
    </w:p>
    <w:p>
      <w:pPr>
        <w:ind w:right="500" w:firstLine="496"/>
        <w:spacing w:after="0" w:line="245" w:lineRule="auto"/>
        <w:rPr>
          <w:sz w:val="20"/>
          <w:szCs w:val="20"/>
          <w:color w:val="auto"/>
        </w:rPr>
      </w:pPr>
      <w:r>
        <w:rPr>
          <w:rFonts w:ascii="Arial" w:cs="Arial" w:eastAsia="Arial" w:hAnsi="Arial"/>
          <w:sz w:val="17"/>
          <w:szCs w:val="17"/>
          <w:color w:val="auto"/>
        </w:rPr>
        <w:t>For each hour, the estimated Hourly Percentage Factor will be subtracted from the actual Hourly Percentage Factor to determine the Hourly Percentage Factor difference.</w:t>
      </w:r>
    </w:p>
    <w:p>
      <w:pPr>
        <w:spacing w:after="0" w:line="138" w:lineRule="exact"/>
        <w:rPr>
          <w:sz w:val="20"/>
          <w:szCs w:val="20"/>
          <w:color w:val="auto"/>
        </w:rPr>
      </w:pPr>
    </w:p>
    <w:p>
      <w:pPr>
        <w:ind w:right="40" w:firstLine="496"/>
        <w:spacing w:after="0" w:line="250" w:lineRule="auto"/>
        <w:rPr>
          <w:sz w:val="20"/>
          <w:szCs w:val="20"/>
          <w:color w:val="auto"/>
        </w:rPr>
      </w:pPr>
      <w:r>
        <w:rPr>
          <w:rFonts w:ascii="Arial" w:cs="Arial" w:eastAsia="Arial" w:hAnsi="Arial"/>
          <w:sz w:val="16"/>
          <w:szCs w:val="16"/>
          <w:color w:val="auto"/>
        </w:rPr>
        <w:t>At the end of each month, a weighted average Hourly Percentage Factor difference will be calculated using all trade dates for which final settlement statements were received during that current month. The weight for the average will be the total Customer load, based on actual meter data for each hour. For all trade dates, for which final settlement statements were received during the current month, the actual meter data will be obtained. For each hour, the Hourly Percentage Factor difference will be multiplied by the actual meter data for that hour and then divided by the sum of actual meter data for all hours in the month. All the individual hour weighted results for that month will then be summed to obtain the weighted average Hourly Percentage Factor difference.</w:t>
      </w:r>
    </w:p>
    <w:p>
      <w:pPr>
        <w:spacing w:after="0" w:line="137" w:lineRule="exact"/>
        <w:rPr>
          <w:sz w:val="20"/>
          <w:szCs w:val="20"/>
          <w:color w:val="auto"/>
        </w:rPr>
      </w:pPr>
    </w:p>
    <w:p>
      <w:pPr>
        <w:ind w:right="140" w:firstLine="496"/>
        <w:spacing w:after="0" w:line="253" w:lineRule="auto"/>
        <w:rPr>
          <w:sz w:val="20"/>
          <w:szCs w:val="20"/>
          <w:color w:val="auto"/>
        </w:rPr>
      </w:pPr>
      <w:r>
        <w:rPr>
          <w:rFonts w:ascii="Arial" w:cs="Arial" w:eastAsia="Arial" w:hAnsi="Arial"/>
          <w:sz w:val="16"/>
          <w:szCs w:val="16"/>
          <w:color w:val="auto"/>
        </w:rPr>
        <w:t>The Hourly Percentage Factor will then be adjusted by the commodity revenue dollars for the two time periods: (i) trade dates for which final settlement statements were received, and (ii) next calendar month). Average commodity revenue dollars represent the combined billed electric commodity revenues for both SDG&amp;E and DWR (in dollars). The weighted average Hourly Percentage Factor difference will be multiplied by commodity revenue dollars for the trade dates for which final settlement statements were received divided by next forecasted average commodity revenue dollars for the next calendar month.</w:t>
      </w:r>
    </w:p>
    <w:p>
      <w:pPr>
        <w:spacing w:after="0" w:line="134" w:lineRule="exact"/>
        <w:rPr>
          <w:sz w:val="20"/>
          <w:szCs w:val="20"/>
          <w:color w:val="auto"/>
        </w:rPr>
      </w:pPr>
    </w:p>
    <w:p>
      <w:pPr>
        <w:ind w:right="760" w:firstLine="496"/>
        <w:spacing w:after="0" w:line="275" w:lineRule="auto"/>
        <w:rPr>
          <w:sz w:val="20"/>
          <w:szCs w:val="20"/>
          <w:color w:val="auto"/>
        </w:rPr>
      </w:pPr>
      <w:r>
        <w:rPr>
          <w:rFonts w:ascii="Arial" w:cs="Arial" w:eastAsia="Arial" w:hAnsi="Arial"/>
          <w:sz w:val="16"/>
          <w:szCs w:val="16"/>
          <w:color w:val="auto"/>
        </w:rPr>
        <w:t>This adjusted percentage will then be applied as the true-up adjustment percentage in the next month’s Hourly Percentage Factor calculations. The true-up adjustment percentage will be added to the calculation of the Hourly Percentage Factor in accordance with Item 1 of this Part I.</w:t>
      </w:r>
    </w:p>
    <w:p>
      <w:pPr>
        <w:spacing w:after="0" w:line="106"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Part II:</w:t>
      </w:r>
      <w:r>
        <w:rPr>
          <w:sz w:val="20"/>
          <w:szCs w:val="20"/>
          <w:color w:val="auto"/>
        </w:rPr>
        <w:tab/>
      </w:r>
      <w:r>
        <w:rPr>
          <w:rFonts w:ascii="Arial" w:cs="Arial" w:eastAsia="Arial" w:hAnsi="Arial"/>
          <w:sz w:val="14"/>
          <w:szCs w:val="14"/>
          <w:u w:val="single" w:color="auto"/>
          <w:color w:val="auto"/>
        </w:rPr>
        <w:t>Post-Transition Remittance Methodology</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methodology in this Part II shall be applied for remittance of Power Charge on Bundled Customers on and after the Operating Order Effective Date.</w:t>
      </w:r>
    </w:p>
    <w:p>
      <w:pPr>
        <w:sectPr>
          <w:pgSz w:w="11900" w:h="16838" w:orient="portrait"/>
          <w:cols w:equalWidth="0" w:num="1">
            <w:col w:w="11460"/>
          </w:cols>
          <w:pgMar w:left="220" w:top="118" w:right="219" w:bottom="0" w:gutter="0" w:footer="0" w:header="0"/>
        </w:sectPr>
      </w:pPr>
    </w:p>
    <w:bookmarkStart w:id="127" w:name="page128"/>
    <w:bookmarkEnd w:id="127"/>
    <w:p>
      <w:pPr>
        <w:spacing w:after="0"/>
        <w:tabs>
          <w:tab w:leader="none" w:pos="48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4"/>
          <w:szCs w:val="14"/>
          <w:u w:val="single" w:color="auto"/>
          <w:color w:val="auto"/>
        </w:rPr>
        <w:t>SDG&amp;E Remittance Percentage Calculation and True-up</w:t>
      </w:r>
    </w:p>
    <w:p>
      <w:pPr>
        <w:spacing w:after="0" w:line="155" w:lineRule="exact"/>
        <w:rPr>
          <w:sz w:val="20"/>
          <w:szCs w:val="20"/>
          <w:color w:val="auto"/>
        </w:rPr>
      </w:pPr>
    </w:p>
    <w:p>
      <w:pPr>
        <w:ind w:right="80" w:firstLine="496"/>
        <w:spacing w:after="0" w:line="245" w:lineRule="auto"/>
        <w:rPr>
          <w:sz w:val="20"/>
          <w:szCs w:val="20"/>
          <w:color w:val="auto"/>
        </w:rPr>
      </w:pPr>
      <w:r>
        <w:rPr>
          <w:rFonts w:ascii="Arial" w:cs="Arial" w:eastAsia="Arial" w:hAnsi="Arial"/>
          <w:sz w:val="17"/>
          <w:szCs w:val="17"/>
          <w:color w:val="auto"/>
        </w:rPr>
        <w:t>In accordance with SDG&amp;E’s Schedule EECC, as it may be modified or superseded by the CPUC from time to time, SDG&amp;E calculates each hour the percentage of Bundled Customers electricity use that is supplied by DWR (the “Hourly Percentage Factor”).</w:t>
      </w:r>
    </w:p>
    <w:p>
      <w:pPr>
        <w:spacing w:after="0" w:line="128" w:lineRule="exact"/>
        <w:rPr>
          <w:sz w:val="20"/>
          <w:szCs w:val="20"/>
          <w:color w:val="auto"/>
        </w:rPr>
      </w:pPr>
    </w:p>
    <w:p>
      <w:pPr>
        <w:ind w:right="60" w:firstLine="499"/>
        <w:spacing w:after="0" w:line="286" w:lineRule="auto"/>
        <w:tabs>
          <w:tab w:leader="none" w:pos="992" w:val="left"/>
        </w:tabs>
        <w:numPr>
          <w:ilvl w:val="0"/>
          <w:numId w:val="177"/>
        </w:numPr>
        <w:rPr>
          <w:rFonts w:ascii="Arial" w:cs="Arial" w:eastAsia="Arial" w:hAnsi="Arial"/>
          <w:sz w:val="14"/>
          <w:szCs w:val="14"/>
          <w:color w:val="auto"/>
        </w:rPr>
      </w:pPr>
      <w:r>
        <w:rPr>
          <w:rFonts w:ascii="Arial" w:cs="Arial" w:eastAsia="Arial" w:hAnsi="Arial"/>
          <w:sz w:val="14"/>
          <w:szCs w:val="14"/>
          <w:u w:val="single" w:color="auto"/>
          <w:color w:val="auto"/>
        </w:rPr>
        <w:t>Prior to the MRTU Effective Date.</w:t>
      </w:r>
      <w:r>
        <w:rPr>
          <w:rFonts w:ascii="Arial" w:cs="Arial" w:eastAsia="Arial" w:hAnsi="Arial"/>
          <w:sz w:val="14"/>
          <w:szCs w:val="14"/>
          <w:color w:val="auto"/>
        </w:rPr>
        <w:t xml:space="preserve"> This percentage is calculated using Final Hour-Ahead Schedules and other information reasonably available to SDG&amp;E within one day of the Trade Day that reflect estimated dispatched quantities of SDG&amp;E integrated portfolio resources including the Allocated Contracts as well as estimated Bundled Customer electricity use. “Estimated Customer Use” shall be defined as the forecasted Customer usage used to establish the Final Hour-Ahead Schedule adjusted using other data that may become available within one day of the Trade Day, as appropriate, to more accurately reflect actual Customer usage. As final settlement statements reflecting actual meter data and electricity deliveries are received from the ISO, SDG&amp;E will calculate the actual Hourly Percentage Factor. For each hour, the estimated Hourly Percentage Factor will be subtracted from the actual Hourly Percentage Factor to determine the Hourly Percentage Factor difference. At the end of each month, a weighted average Hourly Percentage Factor difference will be calculated using all trade dates for which SDG&amp;E has received from the ISO final settlement statements during such month. This weighted average difference will then be adjusted, if necessary, by commodity revenue dollars for the different periods to obtain an adjustment percentage that will be applied as an hourly adjustment in the next month’s calculations of Hourly Percentage Factor.</w:t>
      </w:r>
    </w:p>
    <w:p>
      <w:pPr>
        <w:spacing w:after="0" w:line="113" w:lineRule="exact"/>
        <w:rPr>
          <w:rFonts w:ascii="Arial" w:cs="Arial" w:eastAsia="Arial" w:hAnsi="Arial"/>
          <w:sz w:val="14"/>
          <w:szCs w:val="14"/>
          <w:color w:val="auto"/>
        </w:rPr>
      </w:pPr>
    </w:p>
    <w:p>
      <w:pPr>
        <w:ind w:right="160" w:firstLine="499"/>
        <w:spacing w:after="0" w:line="253" w:lineRule="auto"/>
        <w:tabs>
          <w:tab w:leader="none" w:pos="992"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On and after the MRTU Effective Date</w:t>
      </w:r>
      <w:r>
        <w:rPr>
          <w:rFonts w:ascii="Arial" w:cs="Arial" w:eastAsia="Arial" w:hAnsi="Arial"/>
          <w:sz w:val="16"/>
          <w:szCs w:val="16"/>
          <w:color w:val="auto"/>
        </w:rPr>
        <w:t>. The term “Hourly Percentage Factor” is replaced by the term “DWR Percentage Calculation” which is the percentage of DWR Contract power relative to the total Estimated Bundled Customer Load, as further described in Section A of Part II of Exhibit C of the 2010 Operating Order. The amount applied to determine DWR Percentage Calculation for DWR Remittance Basis and Estimated Bundled Customer Load shall be as shown in DWR Remittance Basis Calculation Report, substantially in the form set forth in Section 3B of Attachment C.</w:t>
      </w:r>
    </w:p>
    <w:p>
      <w:pPr>
        <w:spacing w:after="0" w:line="134" w:lineRule="exact"/>
        <w:rPr>
          <w:sz w:val="20"/>
          <w:szCs w:val="20"/>
          <w:color w:val="auto"/>
        </w:rPr>
      </w:pPr>
    </w:p>
    <w:p>
      <w:pPr>
        <w:ind w:right="140"/>
        <w:spacing w:after="0" w:line="301" w:lineRule="auto"/>
        <w:rPr>
          <w:sz w:val="20"/>
          <w:szCs w:val="20"/>
          <w:color w:val="auto"/>
        </w:rPr>
      </w:pPr>
      <w:r>
        <w:rPr>
          <w:rFonts w:ascii="Arial" w:cs="Arial" w:eastAsia="Arial" w:hAnsi="Arial"/>
          <w:sz w:val="14"/>
          <w:szCs w:val="14"/>
          <w:color w:val="auto"/>
        </w:rPr>
        <w:t>More specifically as to SDG&amp;E, the Estimated Bundled Customer Load is calculated hourly, using the integration of actual area MW load for one hour obtained from SDG&amp;E’s Energy Management System (“EMS”) and subtracting out hourly transmission losses, which include hourly Palo Verde flow losses and forecasted hourly Non-Bundled Customer Load, consisting of Direct Access Customers, Customer Generation Departing Load Customers, Municipal Departing Load Customers and Community Choice Aggregation Customers, as such Customer Types are specifically defined in the Servicing Order and may exist from time to time with respect to SDG&amp;E.</w:t>
      </w:r>
    </w:p>
    <w:p>
      <w:pPr>
        <w:spacing w:after="0" w:line="92"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b).</w:t>
      </w:r>
      <w:r>
        <w:rPr>
          <w:sz w:val="20"/>
          <w:szCs w:val="20"/>
          <w:color w:val="auto"/>
        </w:rPr>
        <w:tab/>
      </w:r>
      <w:r>
        <w:rPr>
          <w:rFonts w:ascii="Arial" w:cs="Arial" w:eastAsia="Arial" w:hAnsi="Arial"/>
          <w:sz w:val="14"/>
          <w:szCs w:val="14"/>
          <w:u w:val="single" w:color="auto"/>
          <w:color w:val="auto"/>
        </w:rPr>
        <w:t>Detailed Process - Prior to the MRTU Effective Date</w:t>
      </w:r>
      <w:r>
        <w:rPr>
          <w:rFonts w:ascii="Arial" w:cs="Arial" w:eastAsia="Arial" w:hAnsi="Arial"/>
          <w:sz w:val="14"/>
          <w:szCs w:val="14"/>
          <w:color w:val="auto"/>
        </w:rPr>
        <w:t>. The following provisions shall apply prior to the MRTU Effective Date:</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 xml:space="preserve">1. Hourly Percentage Factor Calculation. This calculation is performed on </w:t>
      </w:r>
      <w:r>
        <w:rPr>
          <w:rFonts w:ascii="Arial" w:cs="Arial" w:eastAsia="Arial" w:hAnsi="Arial"/>
          <w:sz w:val="17"/>
          <w:szCs w:val="17"/>
          <w:b w:val="1"/>
          <w:bCs w:val="1"/>
          <w:color w:val="auto"/>
        </w:rPr>
        <w:t>T + 1</w:t>
      </w:r>
      <w:r>
        <w:rPr>
          <w:rFonts w:ascii="Arial" w:cs="Arial" w:eastAsia="Arial" w:hAnsi="Arial"/>
          <w:sz w:val="17"/>
          <w:szCs w:val="17"/>
          <w:color w:val="auto"/>
        </w:rPr>
        <w:t xml:space="preserve"> (the day after the energy is used).</w:t>
      </w:r>
    </w:p>
    <w:p>
      <w:pPr>
        <w:spacing w:after="0" w:line="156" w:lineRule="exact"/>
        <w:rPr>
          <w:sz w:val="20"/>
          <w:szCs w:val="20"/>
          <w:color w:val="auto"/>
        </w:rPr>
      </w:pPr>
    </w:p>
    <w:p>
      <w:pPr>
        <w:ind w:right="180" w:firstLine="496"/>
        <w:spacing w:after="0" w:line="250" w:lineRule="auto"/>
        <w:rPr>
          <w:sz w:val="20"/>
          <w:szCs w:val="20"/>
          <w:color w:val="auto"/>
        </w:rPr>
      </w:pPr>
      <w:r>
        <w:rPr>
          <w:rFonts w:ascii="Arial" w:cs="Arial" w:eastAsia="Arial" w:hAnsi="Arial"/>
          <w:sz w:val="17"/>
          <w:szCs w:val="17"/>
          <w:color w:val="auto"/>
        </w:rPr>
        <w:t xml:space="preserve">For each day </w:t>
      </w:r>
      <w:r>
        <w:rPr>
          <w:rFonts w:ascii="Arial" w:cs="Arial" w:eastAsia="Arial" w:hAnsi="Arial"/>
          <w:sz w:val="17"/>
          <w:szCs w:val="17"/>
          <w:b w:val="1"/>
          <w:bCs w:val="1"/>
          <w:color w:val="auto"/>
        </w:rPr>
        <w:t>T</w:t>
      </w:r>
      <w:r>
        <w:rPr>
          <w:rFonts w:ascii="Arial" w:cs="Arial" w:eastAsia="Arial" w:hAnsi="Arial"/>
          <w:sz w:val="17"/>
          <w:szCs w:val="17"/>
          <w:color w:val="auto"/>
        </w:rPr>
        <w:t xml:space="preserve"> (trade date) SDG&amp;E will retrieve from ISO published hour-ahead final schedules of SDG&amp;E integrated portfolio resources including the Allocated Contracts.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 xml:space="preserve">For each day </w:t>
      </w:r>
      <w:r>
        <w:rPr>
          <w:rFonts w:ascii="Arial" w:cs="Arial" w:eastAsia="Arial" w:hAnsi="Arial"/>
          <w:sz w:val="17"/>
          <w:szCs w:val="17"/>
          <w:b w:val="1"/>
          <w:bCs w:val="1"/>
          <w:color w:val="auto"/>
        </w:rPr>
        <w:t>T</w:t>
      </w:r>
      <w:r>
        <w:rPr>
          <w:rFonts w:ascii="Arial" w:cs="Arial" w:eastAsia="Arial" w:hAnsi="Arial"/>
          <w:sz w:val="17"/>
          <w:szCs w:val="17"/>
          <w:color w:val="auto"/>
        </w:rPr>
        <w:t>, SDG&amp;E will develop estimates of Bundled Customer usage.</w:t>
      </w:r>
    </w:p>
    <w:p>
      <w:pPr>
        <w:spacing w:after="0" w:line="160" w:lineRule="exact"/>
        <w:rPr>
          <w:sz w:val="20"/>
          <w:szCs w:val="20"/>
          <w:color w:val="auto"/>
        </w:rPr>
      </w:pPr>
    </w:p>
    <w:p>
      <w:pPr>
        <w:jc w:val="both"/>
        <w:ind w:right="400" w:firstLine="496"/>
        <w:spacing w:after="0" w:line="237" w:lineRule="auto"/>
        <w:rPr>
          <w:sz w:val="20"/>
          <w:szCs w:val="20"/>
          <w:color w:val="auto"/>
        </w:rPr>
      </w:pPr>
      <w:r>
        <w:rPr>
          <w:rFonts w:ascii="Arial" w:cs="Arial" w:eastAsia="Arial" w:hAnsi="Arial"/>
          <w:sz w:val="17"/>
          <w:szCs w:val="17"/>
          <w:color w:val="auto"/>
        </w:rPr>
        <w:t xml:space="preserve">These two components, along with output from the True-up Process, will be used to calculate the Hourly Percentage Factor. SDG&amp;E will calculate the Hourly Percentage Factor for each hour of a trade day </w:t>
      </w:r>
      <w:r>
        <w:rPr>
          <w:rFonts w:ascii="Arial" w:cs="Arial" w:eastAsia="Arial" w:hAnsi="Arial"/>
          <w:sz w:val="17"/>
          <w:szCs w:val="17"/>
          <w:b w:val="1"/>
          <w:bCs w:val="1"/>
          <w:color w:val="auto"/>
        </w:rPr>
        <w:t>T</w:t>
      </w:r>
      <w:r>
        <w:rPr>
          <w:rFonts w:ascii="Arial" w:cs="Arial" w:eastAsia="Arial" w:hAnsi="Arial"/>
          <w:sz w:val="17"/>
          <w:szCs w:val="17"/>
          <w:color w:val="auto"/>
        </w:rPr>
        <w:t xml:space="preserve"> in accordance with the principles provided in Exhibit C of the Operating Order; and (ii) adding the true-up adjustment percentage applicable for the current month, calculated in accordance with Item.2 below.</w:t>
      </w:r>
    </w:p>
    <w:p>
      <w:pPr>
        <w:spacing w:after="0" w:line="140" w:lineRule="exact"/>
        <w:rPr>
          <w:sz w:val="20"/>
          <w:szCs w:val="20"/>
          <w:color w:val="auto"/>
        </w:rPr>
      </w:pPr>
    </w:p>
    <w:p>
      <w:pPr>
        <w:ind w:right="40" w:firstLine="499"/>
        <w:spacing w:after="0" w:line="250" w:lineRule="auto"/>
        <w:tabs>
          <w:tab w:leader="none" w:pos="70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True-up Process. The ISO publishes final settlement statements on </w:t>
      </w:r>
      <w:r>
        <w:rPr>
          <w:rFonts w:ascii="Arial" w:cs="Arial" w:eastAsia="Arial" w:hAnsi="Arial"/>
          <w:sz w:val="17"/>
          <w:szCs w:val="17"/>
          <w:b w:val="1"/>
          <w:bCs w:val="1"/>
          <w:color w:val="auto"/>
        </w:rPr>
        <w:t>T + 51</w:t>
      </w:r>
      <w:r>
        <w:rPr>
          <w:rFonts w:ascii="Arial" w:cs="Arial" w:eastAsia="Arial" w:hAnsi="Arial"/>
          <w:sz w:val="17"/>
          <w:szCs w:val="17"/>
          <w:color w:val="auto"/>
        </w:rPr>
        <w:t xml:space="preserve"> Utility Business Days. The actual meter data on the final settlement statements will be used to calculate the actual Hourly Percentage Factor in accordance with the principles provided in Exhibit C of the Operating Order.</w:t>
      </w:r>
    </w:p>
    <w:p>
      <w:pPr>
        <w:spacing w:after="0" w:line="134" w:lineRule="exact"/>
        <w:rPr>
          <w:sz w:val="20"/>
          <w:szCs w:val="20"/>
          <w:color w:val="auto"/>
        </w:rPr>
      </w:pPr>
    </w:p>
    <w:p>
      <w:pPr>
        <w:ind w:right="520" w:firstLine="496"/>
        <w:spacing w:after="0" w:line="245" w:lineRule="auto"/>
        <w:rPr>
          <w:sz w:val="20"/>
          <w:szCs w:val="20"/>
          <w:color w:val="auto"/>
        </w:rPr>
      </w:pPr>
      <w:r>
        <w:rPr>
          <w:rFonts w:ascii="Arial" w:cs="Arial" w:eastAsia="Arial" w:hAnsi="Arial"/>
          <w:sz w:val="17"/>
          <w:szCs w:val="17"/>
          <w:color w:val="auto"/>
        </w:rPr>
        <w:t>For each hour the estimated Hourly Percentage Factor will be subtracted from the actual Hourly Percentage Factor to determine the Hourly Percentage Factor difference.</w:t>
      </w:r>
    </w:p>
    <w:p>
      <w:pPr>
        <w:spacing w:after="0" w:line="138" w:lineRule="exact"/>
        <w:rPr>
          <w:sz w:val="20"/>
          <w:szCs w:val="20"/>
          <w:color w:val="auto"/>
        </w:rPr>
      </w:pPr>
    </w:p>
    <w:p>
      <w:pPr>
        <w:ind w:right="60" w:firstLine="496"/>
        <w:spacing w:after="0" w:line="250" w:lineRule="auto"/>
        <w:rPr>
          <w:sz w:val="20"/>
          <w:szCs w:val="20"/>
          <w:color w:val="auto"/>
        </w:rPr>
      </w:pPr>
      <w:r>
        <w:rPr>
          <w:rFonts w:ascii="Arial" w:cs="Arial" w:eastAsia="Arial" w:hAnsi="Arial"/>
          <w:sz w:val="16"/>
          <w:szCs w:val="16"/>
          <w:color w:val="auto"/>
        </w:rPr>
        <w:t>At the end of each month, a weighted average Hourly Percentage Factor difference will be calculated using all trade dates for which final settlement statements were received during that current month. The weight for the average will be the total Bundled Customer load, based on actual meter data for each hour. For all trade dates, for which final settlement statements were received during the current month, the actual meter data will be obtained. For each hour, the Hourly Percentage Factor difference will be multiplied by the actual meter data for that hour and then divided by the sum of actual meter data for all hours in the month. All the individual hour weighted results for that month will then be summed to obtain the weighted average Hourly Percentage Factor difference.</w:t>
      </w:r>
    </w:p>
    <w:p>
      <w:pPr>
        <w:spacing w:after="0" w:line="137" w:lineRule="exact"/>
        <w:rPr>
          <w:sz w:val="20"/>
          <w:szCs w:val="20"/>
          <w:color w:val="auto"/>
        </w:rPr>
      </w:pPr>
    </w:p>
    <w:p>
      <w:pPr>
        <w:ind w:firstLine="496"/>
        <w:spacing w:after="0" w:line="253" w:lineRule="auto"/>
        <w:rPr>
          <w:sz w:val="20"/>
          <w:szCs w:val="20"/>
          <w:color w:val="auto"/>
        </w:rPr>
      </w:pPr>
      <w:r>
        <w:rPr>
          <w:rFonts w:ascii="Arial" w:cs="Arial" w:eastAsia="Arial" w:hAnsi="Arial"/>
          <w:sz w:val="16"/>
          <w:szCs w:val="16"/>
          <w:color w:val="auto"/>
        </w:rPr>
        <w:t>The Hourly Percentage Factor will then be adjusted by the commodity revenue dollars for the two time periods: (i) trade dates for which final settlement statements were received, and (ii) next calendar month. Average commodity revenue dollars represent the combined billed electric commodity revenues for both SDG&amp;E and DWR (in dollars). The weighted average Hourly Percentage Factor difference will be multiplied by commodity revenue dollars for the trade dates for which final settlement statements were received divided by next forecasted average commodity revenue dollars for the next calendar month.</w:t>
      </w:r>
    </w:p>
    <w:p>
      <w:pPr>
        <w:spacing w:after="0" w:line="134" w:lineRule="exact"/>
        <w:rPr>
          <w:sz w:val="20"/>
          <w:szCs w:val="20"/>
          <w:color w:val="auto"/>
        </w:rPr>
      </w:pPr>
    </w:p>
    <w:p>
      <w:pPr>
        <w:ind w:right="760" w:firstLine="496"/>
        <w:spacing w:after="0" w:line="275" w:lineRule="auto"/>
        <w:rPr>
          <w:sz w:val="20"/>
          <w:szCs w:val="20"/>
          <w:color w:val="auto"/>
        </w:rPr>
      </w:pPr>
      <w:r>
        <w:rPr>
          <w:rFonts w:ascii="Arial" w:cs="Arial" w:eastAsia="Arial" w:hAnsi="Arial"/>
          <w:sz w:val="16"/>
          <w:szCs w:val="16"/>
          <w:color w:val="auto"/>
        </w:rPr>
        <w:t>This adjusted percentage will then be applied as the true-up adjustment percentage in the next month’s Hourly Percentage Factor calculations. The true-up adjustment percentage will be added to the calculation of the Hourly Percentage Factor in accordance with Sub-section (b)(l) above.</w:t>
      </w:r>
    </w:p>
    <w:p>
      <w:pPr>
        <w:spacing w:after="0" w:line="106"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c).</w:t>
      </w:r>
      <w:r>
        <w:rPr>
          <w:sz w:val="20"/>
          <w:szCs w:val="20"/>
          <w:color w:val="auto"/>
        </w:rPr>
        <w:tab/>
      </w:r>
      <w:r>
        <w:rPr>
          <w:rFonts w:ascii="Arial" w:cs="Arial" w:eastAsia="Arial" w:hAnsi="Arial"/>
          <w:sz w:val="14"/>
          <w:szCs w:val="14"/>
          <w:u w:val="single" w:color="auto"/>
          <w:color w:val="auto"/>
        </w:rPr>
        <w:t>Detailed Process - On and after the MRTU Effective Date</w:t>
      </w:r>
      <w:r>
        <w:rPr>
          <w:rFonts w:ascii="Arial" w:cs="Arial" w:eastAsia="Arial" w:hAnsi="Arial"/>
          <w:sz w:val="14"/>
          <w:szCs w:val="14"/>
          <w:color w:val="auto"/>
        </w:rPr>
        <w:t>. The following provisions shall apply on and after the MRTU Effective Date:</w:t>
      </w:r>
    </w:p>
    <w:p>
      <w:pPr>
        <w:spacing w:after="0" w:line="156" w:lineRule="exact"/>
        <w:rPr>
          <w:sz w:val="20"/>
          <w:szCs w:val="20"/>
          <w:color w:val="auto"/>
        </w:rPr>
      </w:pPr>
    </w:p>
    <w:p>
      <w:pPr>
        <w:ind w:right="40" w:firstLine="496"/>
        <w:spacing w:after="0" w:line="237" w:lineRule="auto"/>
        <w:rPr>
          <w:sz w:val="20"/>
          <w:szCs w:val="20"/>
          <w:color w:val="auto"/>
        </w:rPr>
      </w:pPr>
      <w:r>
        <w:rPr>
          <w:rFonts w:ascii="Arial" w:cs="Arial" w:eastAsia="Arial" w:hAnsi="Arial"/>
          <w:sz w:val="17"/>
          <w:szCs w:val="17"/>
          <w:color w:val="auto"/>
        </w:rPr>
        <w:t>On and after the MRTU Effective Date, there will not be true-ups of Estimated Bundled Customer Load component that is applied to determine DWR Percentage Calculation. Actual DWR Remittance Basis will be adjusted, corrected or updated as set forth in the SDG&amp;E IST True-Up Report or in the DWR Remittance Basis True-up Report, described in Section 3(B) or 3(D) of Attachment C of this Servicing Order.</w:t>
      </w:r>
    </w:p>
    <w:p>
      <w:pPr>
        <w:spacing w:after="0" w:line="144" w:lineRule="exact"/>
        <w:rPr>
          <w:sz w:val="20"/>
          <w:szCs w:val="20"/>
          <w:color w:val="auto"/>
        </w:rPr>
      </w:pPr>
    </w:p>
    <w:p>
      <w:pPr>
        <w:ind w:right="160" w:firstLine="496"/>
        <w:spacing w:after="0" w:line="245" w:lineRule="auto"/>
        <w:rPr>
          <w:sz w:val="20"/>
          <w:szCs w:val="20"/>
          <w:color w:val="auto"/>
        </w:rPr>
      </w:pPr>
      <w:r>
        <w:rPr>
          <w:rFonts w:ascii="Arial" w:cs="Arial" w:eastAsia="Arial" w:hAnsi="Arial"/>
          <w:sz w:val="17"/>
          <w:szCs w:val="17"/>
          <w:color w:val="auto"/>
        </w:rPr>
        <w:t>In addition, SDG&amp;E will provide DWR with a monthly report indicating the daily Estimated Bundled Customer Load, the ISO metered load, and a monthly simple average of the daily variance amounts.</w:t>
      </w:r>
    </w:p>
    <w:p>
      <w:pPr>
        <w:spacing w:after="0" w:line="134" w:lineRule="exact"/>
        <w:rPr>
          <w:sz w:val="20"/>
          <w:szCs w:val="20"/>
          <w:color w:val="auto"/>
        </w:rPr>
      </w:pPr>
    </w:p>
    <w:p>
      <w:pPr>
        <w:ind w:left="500" w:hanging="497"/>
        <w:spacing w:after="0"/>
        <w:tabs>
          <w:tab w:leader="none" w:pos="500"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color w:val="auto"/>
        </w:rPr>
        <w:t>Additional Applicable Methodologies</w:t>
      </w:r>
    </w:p>
    <w:p>
      <w:pPr>
        <w:spacing w:after="0" w:line="150" w:lineRule="exact"/>
        <w:rPr>
          <w:sz w:val="20"/>
          <w:szCs w:val="20"/>
          <w:color w:val="auto"/>
        </w:rPr>
      </w:pPr>
    </w:p>
    <w:p>
      <w:pPr>
        <w:jc w:val="both"/>
        <w:ind w:firstLine="3"/>
        <w:spacing w:after="0" w:line="235" w:lineRule="auto"/>
        <w:tabs>
          <w:tab w:leader="none" w:pos="496"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Transition Period</w:t>
      </w:r>
      <w:r>
        <w:rPr>
          <w:rFonts w:ascii="Arial" w:cs="Arial" w:eastAsia="Arial" w:hAnsi="Arial"/>
          <w:sz w:val="17"/>
          <w:szCs w:val="17"/>
          <w:color w:val="auto"/>
        </w:rPr>
        <w:t>. The Parties recognize that prior to October 1, 2001, SDG&amp;E has been remitting Power Charge for Bundled Customers to DWR based upon the interim remittance methodologies described in Decision 01-03-081, adopted by the Commission on March 27, 2001, and Decision 01-05-064, adopted by the Commission on May 15, 2001 (collectively the "Interim Remittance Methodologies"). SDG&amp;E shall reconcile the amounts remitted pursuant to the Interim Remittance Methodologies at the time and in the manner set forth in Attachment B to the 2003 Servicing Order.</w:t>
      </w:r>
    </w:p>
    <w:p>
      <w:pPr>
        <w:spacing w:after="0" w:line="133" w:lineRule="exact"/>
        <w:rPr>
          <w:rFonts w:ascii="Arial" w:cs="Arial" w:eastAsia="Arial" w:hAnsi="Arial"/>
          <w:sz w:val="17"/>
          <w:szCs w:val="17"/>
          <w:color w:val="auto"/>
        </w:rPr>
      </w:pPr>
    </w:p>
    <w:p>
      <w:pPr>
        <w:ind w:firstLine="3"/>
        <w:spacing w:after="0" w:line="295" w:lineRule="auto"/>
        <w:tabs>
          <w:tab w:leader="none" w:pos="496" w:val="left"/>
        </w:tabs>
        <w:numPr>
          <w:ilvl w:val="0"/>
          <w:numId w:val="180"/>
        </w:numPr>
        <w:rPr>
          <w:rFonts w:ascii="Arial" w:cs="Arial" w:eastAsia="Arial" w:hAnsi="Arial"/>
          <w:sz w:val="14"/>
          <w:szCs w:val="14"/>
          <w:color w:val="auto"/>
        </w:rPr>
      </w:pPr>
      <w:r>
        <w:rPr>
          <w:rFonts w:ascii="Arial" w:cs="Arial" w:eastAsia="Arial" w:hAnsi="Arial"/>
          <w:sz w:val="14"/>
          <w:szCs w:val="14"/>
          <w:u w:val="single" w:color="auto"/>
          <w:color w:val="auto"/>
        </w:rPr>
        <w:t>Transition to Billing Effective Date and Reconciliation</w:t>
      </w:r>
      <w:r>
        <w:rPr>
          <w:rFonts w:ascii="Arial" w:cs="Arial" w:eastAsia="Arial" w:hAnsi="Arial"/>
          <w:sz w:val="14"/>
          <w:szCs w:val="14"/>
          <w:color w:val="auto"/>
        </w:rPr>
        <w:t>. The Parties recognize that prior to the date on which SDG&amp;E mailed a consolidated Utility Bill which reflected a separate line item or denotation of DWR Charges (the “Billing Effective Date”), SDG&amp;E has remitted DWR Charges based upon the remittance methodology set forth in the Restated Letter Agreement, dated June 18, 2001 and referenced in Attachment E to this Servicing Order (the “Restated Letter Agreement”). Commencing on the Business Day following the Billing Effective Date, SDG&amp;E commenced daily remittances based upon the procedures set forth herein and in Section 4.2 of the Servicing Agreement approved by the Commission pursuant to Decision 01-09-013, as amended from time to time (“More Precise Billing Methodology”).</w:t>
      </w:r>
    </w:p>
    <w:p>
      <w:pPr>
        <w:spacing w:after="0" w:line="106" w:lineRule="exact"/>
        <w:rPr>
          <w:rFonts w:ascii="Arial" w:cs="Arial" w:eastAsia="Arial" w:hAnsi="Arial"/>
          <w:sz w:val="14"/>
          <w:szCs w:val="14"/>
          <w:color w:val="auto"/>
        </w:rPr>
      </w:pPr>
    </w:p>
    <w:p>
      <w:pPr>
        <w:ind w:right="60" w:firstLine="3"/>
        <w:spacing w:after="0" w:line="289" w:lineRule="auto"/>
        <w:tabs>
          <w:tab w:leader="none" w:pos="496" w:val="left"/>
        </w:tabs>
        <w:numPr>
          <w:ilvl w:val="0"/>
          <w:numId w:val="180"/>
        </w:numPr>
        <w:rPr>
          <w:rFonts w:ascii="Arial" w:cs="Arial" w:eastAsia="Arial" w:hAnsi="Arial"/>
          <w:sz w:val="14"/>
          <w:szCs w:val="14"/>
          <w:color w:val="auto"/>
        </w:rPr>
      </w:pPr>
      <w:r>
        <w:rPr>
          <w:rFonts w:ascii="Arial" w:cs="Arial" w:eastAsia="Arial" w:hAnsi="Arial"/>
          <w:sz w:val="14"/>
          <w:szCs w:val="14"/>
          <w:u w:val="single" w:color="auto"/>
          <w:color w:val="auto"/>
        </w:rPr>
        <w:t>Post-Transition Remittance Methodology</w:t>
      </w:r>
      <w:r>
        <w:rPr>
          <w:rFonts w:ascii="Arial" w:cs="Arial" w:eastAsia="Arial" w:hAnsi="Arial"/>
          <w:sz w:val="14"/>
          <w:szCs w:val="14"/>
          <w:color w:val="auto"/>
        </w:rPr>
        <w:t>. On and after the Operating Order Effective Date, SDG&amp;E shall transition from using the More Precise Remittance Methodology to using the Post-Transition Remittance Methodology as provided in Attachments B and H attached to the 2003 Servicing Order, consistent with the Contract Allocation Order and the Settlement Principles for Remittances and Surplus Revenues as set forth in Exhibit C of the Operating Order, and as further set forth this Servicing Order and Attachment B and this Appendix A-2. This transition will include the continuation of the More Precise Remittance Methodology true-up after the Operating Order Effective Date as long as necessary or appropriate (the “Transition Period”) to account for DWR Power provided to Bundled Customers prior to the Operating Order Effective Date. True-Up remittances during the Transition Period using the More Precise Remittance Methodology shall be made in addition to Remittances made in accordance with the Post Transition Remittance Methodology set forth in Attachment H of the 2003 Servicing Order.</w:t>
      </w:r>
    </w:p>
    <w:p>
      <w:pPr>
        <w:spacing w:after="0" w:line="100" w:lineRule="exact"/>
        <w:rPr>
          <w:rFonts w:ascii="Arial" w:cs="Arial" w:eastAsia="Arial" w:hAnsi="Arial"/>
          <w:sz w:val="14"/>
          <w:szCs w:val="14"/>
          <w:color w:val="auto"/>
        </w:rPr>
      </w:pPr>
    </w:p>
    <w:p>
      <w:pPr>
        <w:jc w:val="both"/>
        <w:ind w:right="20" w:firstLine="3"/>
        <w:spacing w:after="0" w:line="313" w:lineRule="auto"/>
        <w:tabs>
          <w:tab w:leader="none" w:pos="496" w:val="left"/>
        </w:tabs>
        <w:numPr>
          <w:ilvl w:val="0"/>
          <w:numId w:val="180"/>
        </w:numPr>
        <w:rPr>
          <w:rFonts w:ascii="Arial" w:cs="Arial" w:eastAsia="Arial" w:hAnsi="Arial"/>
          <w:sz w:val="14"/>
          <w:szCs w:val="14"/>
          <w:color w:val="auto"/>
        </w:rPr>
      </w:pPr>
      <w:r>
        <w:rPr>
          <w:rFonts w:ascii="Arial" w:cs="Arial" w:eastAsia="Arial" w:hAnsi="Arial"/>
          <w:sz w:val="14"/>
          <w:szCs w:val="14"/>
          <w:u w:val="single" w:color="auto"/>
          <w:color w:val="auto"/>
        </w:rPr>
        <w:t>2003 One Time Bill Credit</w:t>
      </w:r>
      <w:r>
        <w:rPr>
          <w:rFonts w:ascii="Arial" w:cs="Arial" w:eastAsia="Arial" w:hAnsi="Arial"/>
          <w:sz w:val="14"/>
          <w:szCs w:val="14"/>
          <w:color w:val="auto"/>
        </w:rPr>
        <w:t>. Pursuant to Commission Decision 03-09-018 and consistent with SDG&amp;E Advice Letter 1523-E, SDG&amp;E implemented a one-time bill credit in the aggregate amount of $135,366,371 to refund DWR Power Charge to Bundled Customers who pay DWR Bond Charge in SDG&amp;E’s service territory. With the agreement of DWR and to fund this one-time bill credit, SDG&amp;E withheld then on-going daily DWR Power Charge remittances SDG&amp;E collected from Bundled Customers</w:t>
      </w:r>
    </w:p>
    <w:p>
      <w:pPr>
        <w:sectPr>
          <w:pgSz w:w="11900" w:h="16838" w:orient="portrait"/>
          <w:cols w:equalWidth="0" w:num="1">
            <w:col w:w="11460"/>
          </w:cols>
          <w:pgMar w:left="220" w:top="124" w:right="219" w:bottom="0" w:gutter="0" w:footer="0" w:header="0"/>
        </w:sectPr>
      </w:pPr>
    </w:p>
    <w:bookmarkStart w:id="128" w:name="page129"/>
    <w:bookmarkEnd w:id="128"/>
    <w:p>
      <w:pPr>
        <w:spacing w:after="0" w:line="253" w:lineRule="auto"/>
        <w:rPr>
          <w:sz w:val="20"/>
          <w:szCs w:val="20"/>
          <w:color w:val="auto"/>
        </w:rPr>
      </w:pPr>
      <w:r>
        <w:rPr>
          <w:rFonts w:ascii="Arial" w:cs="Arial" w:eastAsia="Arial" w:hAnsi="Arial"/>
          <w:sz w:val="16"/>
          <w:szCs w:val="16"/>
          <w:color w:val="auto"/>
        </w:rPr>
        <w:t>and Direct Access Customers commencing on September 18, 2003 and ending on November 18, 2003, inclusive, during which period SDG&amp;E remitted no Power Charge from Bundled Customers and Direct Access Customers to DWR. The one-time bill credit procedures are further provided in that certain letter agreement, dated August 30, 2004, between DWR and SDG&amp;E. Pursuant to the letter agreement, SDG&amp;E credited DWR the undistributed One Time Bill Credit in the amount of $1,731,082.27 against amount DWR owed to SDG&amp;E for DWR Charges related billing and collection system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1380"/>
          </w:cols>
          <w:pgMar w:left="220" w:top="124" w:right="299" w:bottom="1440" w:gutter="0" w:footer="0" w:header="0"/>
        </w:sectPr>
      </w:pPr>
    </w:p>
    <w:bookmarkStart w:id="129" w:name="page130"/>
    <w:bookmarkEnd w:id="129"/>
    <w:p>
      <w:pPr>
        <w:jc w:val="right"/>
        <w:spacing w:after="0"/>
        <w:rPr>
          <w:sz w:val="20"/>
          <w:szCs w:val="20"/>
          <w:color w:val="auto"/>
        </w:rPr>
      </w:pPr>
      <w:r>
        <w:rPr>
          <w:rFonts w:ascii="Arial" w:cs="Arial" w:eastAsia="Arial" w:hAnsi="Arial"/>
          <w:sz w:val="17"/>
          <w:szCs w:val="17"/>
          <w:b w:val="1"/>
          <w:bCs w:val="1"/>
          <w:color w:val="auto"/>
        </w:rPr>
        <w:t>Attachment B</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APPENDIX B-1</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SAN DIEGO GAS &amp; ELECTRIC COMPANY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BILL DETERMINATION - DIRECT ACCESS BOND CHARGE</w:t>
      </w:r>
    </w:p>
    <w:p>
      <w:pPr>
        <w:spacing w:after="0" w:line="160" w:lineRule="exact"/>
        <w:rPr>
          <w:sz w:val="20"/>
          <w:szCs w:val="20"/>
          <w:color w:val="auto"/>
        </w:rPr>
      </w:pPr>
    </w:p>
    <w:p>
      <w:pPr>
        <w:ind w:right="60" w:firstLine="496"/>
        <w:spacing w:after="0" w:line="245" w:lineRule="auto"/>
        <w:rPr>
          <w:sz w:val="20"/>
          <w:szCs w:val="20"/>
          <w:color w:val="auto"/>
        </w:rPr>
      </w:pPr>
      <w:r>
        <w:rPr>
          <w:rFonts w:ascii="Arial" w:cs="Arial" w:eastAsia="Arial" w:hAnsi="Arial"/>
          <w:sz w:val="17"/>
          <w:szCs w:val="17"/>
          <w:color w:val="auto"/>
        </w:rPr>
        <w:t>This Appendix B-1 to Attachment B of the Servicing Order sets forth specific methodology to be applied in determining the billed dollar amount of Bond Charge on a Direct Access Customer.</w:t>
      </w:r>
    </w:p>
    <w:p>
      <w:pPr>
        <w:spacing w:after="0" w:line="138" w:lineRule="exact"/>
        <w:rPr>
          <w:sz w:val="20"/>
          <w:szCs w:val="20"/>
          <w:color w:val="auto"/>
        </w:rPr>
      </w:pPr>
    </w:p>
    <w:p>
      <w:pPr>
        <w:jc w:val="both"/>
        <w:ind w:right="40" w:firstLine="496"/>
        <w:spacing w:after="0" w:line="237" w:lineRule="auto"/>
        <w:rPr>
          <w:sz w:val="20"/>
          <w:szCs w:val="20"/>
          <w:color w:val="auto"/>
        </w:rPr>
      </w:pPr>
      <w:r>
        <w:rPr>
          <w:rFonts w:ascii="Arial" w:cs="Arial" w:eastAsia="Arial" w:hAnsi="Arial"/>
          <w:sz w:val="17"/>
          <w:szCs w:val="17"/>
          <w:color w:val="auto"/>
        </w:rPr>
        <w:t>The dollar amount of Bond Charge billed or re-billed to a DA Customer shall be the product of (i) the electric consumption in kilowatt-hours subject to Bond Charge billed to the DA Customer and (ii) the DA Customer Bond Charge rate applicable to the period of such electric consumption. All electric consumption of a DA Customer is subject to Bond Charge unless exempt by Applicable Commission Orders.</w:t>
      </w:r>
    </w:p>
    <w:p>
      <w:pPr>
        <w:spacing w:after="0" w:line="165" w:lineRule="exact"/>
        <w:rPr>
          <w:sz w:val="20"/>
          <w:szCs w:val="20"/>
          <w:color w:val="auto"/>
        </w:rPr>
      </w:pPr>
    </w:p>
    <w:p>
      <w:pPr>
        <w:jc w:val="both"/>
        <w:ind w:right="380" w:firstLine="496"/>
        <w:spacing w:after="0" w:line="237" w:lineRule="auto"/>
        <w:rPr>
          <w:sz w:val="20"/>
          <w:szCs w:val="20"/>
          <w:color w:val="auto"/>
        </w:rPr>
      </w:pPr>
      <w:r>
        <w:rPr>
          <w:rFonts w:ascii="Arial" w:cs="Arial" w:eastAsia="Arial" w:hAnsi="Arial"/>
          <w:sz w:val="17"/>
          <w:szCs w:val="17"/>
          <w:color w:val="auto"/>
        </w:rPr>
        <w:t>In cases in which the DA Customer Bond Charge rate changes during the period of the electric consumption subject to Bond Charge billed or re-billed to a DA Customer, SDG&amp;E shall apply each of the differing DA Customer Bond Charge rates over such period to a portion of such consumption in proportion to the number of calendar days within the period that each rate was effective.</w:t>
      </w:r>
    </w:p>
    <w:p>
      <w:pPr>
        <w:spacing w:after="0" w:line="165" w:lineRule="exact"/>
        <w:rPr>
          <w:sz w:val="20"/>
          <w:szCs w:val="20"/>
          <w:color w:val="auto"/>
        </w:rPr>
      </w:pPr>
    </w:p>
    <w:p>
      <w:pPr>
        <w:ind w:right="120" w:firstLine="496"/>
        <w:spacing w:after="0" w:line="235" w:lineRule="auto"/>
        <w:rPr>
          <w:sz w:val="20"/>
          <w:szCs w:val="20"/>
          <w:color w:val="auto"/>
        </w:rPr>
      </w:pPr>
      <w:r>
        <w:rPr>
          <w:rFonts w:ascii="Arial" w:cs="Arial" w:eastAsia="Arial" w:hAnsi="Arial"/>
          <w:sz w:val="17"/>
          <w:szCs w:val="17"/>
          <w:color w:val="auto"/>
        </w:rPr>
        <w:t>The DA Customer Bond Charge is one of three SDG&amp;E rate components known as the Customer Responsibility Surcharge. As determined by Applicable Commission Orders, the CRS was capped at a specific amount with specific billing priorities. As determined by Applicable Commission Orders, the DA Customer Bond Charge component received the first billing priority within the capped level that can be billed. The billing priority of DA Customer Bond Charge, including the application of capped level that can be billed, will be as determined by the Commission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B-1-</w:t>
      </w:r>
    </w:p>
    <w:p>
      <w:pPr>
        <w:sectPr>
          <w:pgSz w:w="11900" w:h="16838" w:orient="portrait"/>
          <w:cols w:equalWidth="0" w:num="1">
            <w:col w:w="11460"/>
          </w:cols>
          <w:pgMar w:left="220" w:top="118" w:right="219" w:bottom="1440" w:gutter="0" w:footer="0" w:header="0"/>
        </w:sectPr>
      </w:pPr>
    </w:p>
    <w:bookmarkStart w:id="130" w:name="page131"/>
    <w:bookmarkEnd w:id="130"/>
    <w:p>
      <w:pPr>
        <w:jc w:val="right"/>
        <w:spacing w:after="0"/>
        <w:rPr>
          <w:sz w:val="20"/>
          <w:szCs w:val="20"/>
          <w:color w:val="auto"/>
        </w:rPr>
      </w:pPr>
      <w:r>
        <w:rPr>
          <w:rFonts w:ascii="Arial" w:cs="Arial" w:eastAsia="Arial" w:hAnsi="Arial"/>
          <w:sz w:val="17"/>
          <w:szCs w:val="17"/>
          <w:b w:val="1"/>
          <w:bCs w:val="1"/>
          <w:color w:val="auto"/>
        </w:rPr>
        <w:t>Attachment B</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APPENDIX B-2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SAN DIEGO GAS &amp; ELECTRIC COMPANY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BILL DETERMINATION - DIRECT ACCESS POWER CHARGE</w:t>
      </w:r>
    </w:p>
    <w:p>
      <w:pPr>
        <w:spacing w:after="0" w:line="160" w:lineRule="exact"/>
        <w:rPr>
          <w:sz w:val="20"/>
          <w:szCs w:val="20"/>
          <w:color w:val="auto"/>
        </w:rPr>
      </w:pPr>
    </w:p>
    <w:p>
      <w:pPr>
        <w:ind w:right="320" w:firstLine="496"/>
        <w:spacing w:after="0" w:line="245" w:lineRule="auto"/>
        <w:rPr>
          <w:sz w:val="20"/>
          <w:szCs w:val="20"/>
          <w:color w:val="auto"/>
        </w:rPr>
      </w:pPr>
      <w:r>
        <w:rPr>
          <w:rFonts w:ascii="Arial" w:cs="Arial" w:eastAsia="Arial" w:hAnsi="Arial"/>
          <w:sz w:val="17"/>
          <w:szCs w:val="17"/>
          <w:color w:val="auto"/>
        </w:rPr>
        <w:t>This Appendix B-2 to Attachment B of the Servicing Order sets forth specific methodology to be applied in determining the billed amount of Power Charge on a Direct Access Customer.</w:t>
      </w:r>
    </w:p>
    <w:p>
      <w:pPr>
        <w:spacing w:after="0" w:line="138" w:lineRule="exact"/>
        <w:rPr>
          <w:sz w:val="20"/>
          <w:szCs w:val="20"/>
          <w:color w:val="auto"/>
        </w:rPr>
      </w:pPr>
    </w:p>
    <w:p>
      <w:pPr>
        <w:ind w:right="320" w:firstLine="496"/>
        <w:spacing w:after="0" w:line="237" w:lineRule="auto"/>
        <w:rPr>
          <w:sz w:val="20"/>
          <w:szCs w:val="20"/>
          <w:color w:val="auto"/>
        </w:rPr>
      </w:pPr>
      <w:r>
        <w:rPr>
          <w:rFonts w:ascii="Arial" w:cs="Arial" w:eastAsia="Arial" w:hAnsi="Arial"/>
          <w:sz w:val="17"/>
          <w:szCs w:val="17"/>
          <w:color w:val="auto"/>
        </w:rPr>
        <w:t>The dollar amount of Power Charge billed or re-billed to a DA Customer shall be the product of (i) the electric consumption in kilowatt-hours subject to Power Charge billed to the DA Customer and (ii) the DA Customer Power Charge rate applicable to the period of such electric consumption. All electric consumption of a DA Customer is subject to Power Charge unless exempt by Applicable Commission Orders.</w:t>
      </w:r>
    </w:p>
    <w:p>
      <w:pPr>
        <w:spacing w:after="0" w:line="165" w:lineRule="exact"/>
        <w:rPr>
          <w:sz w:val="20"/>
          <w:szCs w:val="20"/>
          <w:color w:val="auto"/>
        </w:rPr>
      </w:pPr>
    </w:p>
    <w:p>
      <w:pPr>
        <w:jc w:val="both"/>
        <w:ind w:right="320" w:firstLine="496"/>
        <w:spacing w:after="0" w:line="237" w:lineRule="auto"/>
        <w:rPr>
          <w:sz w:val="20"/>
          <w:szCs w:val="20"/>
          <w:color w:val="auto"/>
        </w:rPr>
      </w:pPr>
      <w:r>
        <w:rPr>
          <w:rFonts w:ascii="Arial" w:cs="Arial" w:eastAsia="Arial" w:hAnsi="Arial"/>
          <w:sz w:val="17"/>
          <w:szCs w:val="17"/>
          <w:color w:val="auto"/>
        </w:rPr>
        <w:t>In cases in which the DA Customer Power Charge rate changes during the period of the electric consumption subject to Power Charge billed or re-billed to a DA Customer, SDG&amp;E shall apply each of the differing DA Customer Power Charge rates over such period to a portion of such consumption in proportion to the number of calendar days within the period that each rate was effective.</w:t>
      </w:r>
    </w:p>
    <w:p>
      <w:pPr>
        <w:spacing w:after="0" w:line="165" w:lineRule="exact"/>
        <w:rPr>
          <w:sz w:val="20"/>
          <w:szCs w:val="20"/>
          <w:color w:val="auto"/>
        </w:rPr>
      </w:pPr>
    </w:p>
    <w:p>
      <w:pPr>
        <w:ind w:firstLine="496"/>
        <w:spacing w:after="0" w:line="235" w:lineRule="auto"/>
        <w:rPr>
          <w:sz w:val="20"/>
          <w:szCs w:val="20"/>
          <w:color w:val="auto"/>
        </w:rPr>
      </w:pPr>
      <w:r>
        <w:rPr>
          <w:rFonts w:ascii="Arial" w:cs="Arial" w:eastAsia="Arial" w:hAnsi="Arial"/>
          <w:sz w:val="17"/>
          <w:szCs w:val="17"/>
          <w:color w:val="auto"/>
        </w:rPr>
        <w:t>The DA Customer Power Charge is one of three SDG&amp;E rate components known as the Customer Responsibility Surcharge. As determined by Applicable Commission Orders, the CRS was capped at a specific amount with specific billing priorities. As determined by Applicable Commission Order, the DA Customer Power Charge component received the third billing priority within the capped level that can be billed. The billing priority of DA Customer Power Charge, including the application of capped level that can be billed, will be as determined by the Commission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B-2-</w:t>
      </w:r>
    </w:p>
    <w:p>
      <w:pPr>
        <w:sectPr>
          <w:pgSz w:w="11900" w:h="16838" w:orient="portrait"/>
          <w:cols w:equalWidth="0" w:num="1">
            <w:col w:w="11460"/>
          </w:cols>
          <w:pgMar w:left="220" w:top="118" w:right="219" w:bottom="1440" w:gutter="0" w:footer="0" w:header="0"/>
        </w:sectPr>
      </w:pPr>
    </w:p>
    <w:bookmarkStart w:id="131" w:name="page132"/>
    <w:bookmarkEnd w:id="131"/>
    <w:p>
      <w:pPr>
        <w:jc w:val="right"/>
        <w:spacing w:after="0"/>
        <w:rPr>
          <w:sz w:val="20"/>
          <w:szCs w:val="20"/>
          <w:color w:val="auto"/>
        </w:rPr>
      </w:pPr>
      <w:r>
        <w:rPr>
          <w:rFonts w:ascii="Arial" w:cs="Arial" w:eastAsia="Arial" w:hAnsi="Arial"/>
          <w:sz w:val="17"/>
          <w:szCs w:val="17"/>
          <w:b w:val="1"/>
          <w:bCs w:val="1"/>
          <w:color w:val="auto"/>
        </w:rPr>
        <w:t>Attachment B</w:t>
      </w:r>
    </w:p>
    <w:p>
      <w:pPr>
        <w:spacing w:after="0" w:line="178"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APPENDIX C-1</w:t>
      </w:r>
    </w:p>
    <w:p>
      <w:pPr>
        <w:spacing w:after="0" w:line="156"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SAN DIEGO GAS &amp; ELECTRIC COMPANY</w:t>
      </w:r>
    </w:p>
    <w:p>
      <w:pPr>
        <w:spacing w:after="0" w:line="156"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BILL DETERMINATION - CUSTOMER GENERATION DEPARTING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LOAD BOND CHARGE</w:t>
      </w:r>
    </w:p>
    <w:p>
      <w:pPr>
        <w:spacing w:after="0" w:line="142" w:lineRule="exact"/>
        <w:rPr>
          <w:sz w:val="20"/>
          <w:szCs w:val="20"/>
          <w:color w:val="auto"/>
        </w:rPr>
      </w:pPr>
    </w:p>
    <w:p>
      <w:pPr>
        <w:ind w:right="500" w:firstLine="496"/>
        <w:spacing w:after="0" w:line="245" w:lineRule="auto"/>
        <w:rPr>
          <w:sz w:val="20"/>
          <w:szCs w:val="20"/>
          <w:color w:val="auto"/>
        </w:rPr>
      </w:pPr>
      <w:r>
        <w:rPr>
          <w:rFonts w:ascii="Arial" w:cs="Arial" w:eastAsia="Arial" w:hAnsi="Arial"/>
          <w:sz w:val="17"/>
          <w:szCs w:val="17"/>
          <w:color w:val="auto"/>
        </w:rPr>
        <w:t>This Appendix C-1 to Attachment B of the Servicing Order sets forth specific methodology to be applied in determining the billed amount of Bond Charge on Customer Generation Departing Load Customers.</w:t>
      </w:r>
    </w:p>
    <w:p>
      <w:pPr>
        <w:spacing w:after="0" w:line="138" w:lineRule="exact"/>
        <w:rPr>
          <w:sz w:val="20"/>
          <w:szCs w:val="20"/>
          <w:color w:val="auto"/>
        </w:rPr>
      </w:pPr>
    </w:p>
    <w:p>
      <w:pPr>
        <w:ind w:right="60" w:firstLine="496"/>
        <w:spacing w:after="0" w:line="237" w:lineRule="auto"/>
        <w:rPr>
          <w:sz w:val="20"/>
          <w:szCs w:val="20"/>
          <w:color w:val="auto"/>
        </w:rPr>
      </w:pPr>
      <w:r>
        <w:rPr>
          <w:rFonts w:ascii="Arial" w:cs="Arial" w:eastAsia="Arial" w:hAnsi="Arial"/>
          <w:sz w:val="17"/>
          <w:szCs w:val="17"/>
          <w:color w:val="auto"/>
        </w:rPr>
        <w:t>The dollar amount of Bond Charge billed or re-billed to a CGDL shall be the product of (i) the metered consumption in kilowatt-hours subject to Bond Charge billed to the CGDL and (ii) the CGDL Bond Charge rate applicable to the period of such electric consumption. All electric consumption of a CGDL is subject to Bond Charge unless exempt by Applicable Commission Orders.</w:t>
      </w:r>
    </w:p>
    <w:p>
      <w:pPr>
        <w:spacing w:after="0" w:line="165" w:lineRule="exact"/>
        <w:rPr>
          <w:sz w:val="20"/>
          <w:szCs w:val="20"/>
          <w:color w:val="auto"/>
        </w:rPr>
      </w:pPr>
    </w:p>
    <w:p>
      <w:pPr>
        <w:jc w:val="both"/>
        <w:ind w:right="400" w:firstLine="496"/>
        <w:spacing w:after="0" w:line="237" w:lineRule="auto"/>
        <w:rPr>
          <w:sz w:val="20"/>
          <w:szCs w:val="20"/>
          <w:color w:val="auto"/>
        </w:rPr>
      </w:pPr>
      <w:r>
        <w:rPr>
          <w:rFonts w:ascii="Arial" w:cs="Arial" w:eastAsia="Arial" w:hAnsi="Arial"/>
          <w:sz w:val="17"/>
          <w:szCs w:val="17"/>
          <w:color w:val="auto"/>
        </w:rPr>
        <w:t>In cases in which the CGDL Customer Bond Charge rate changes during the period of the metered consumption subject to Bond Charge billed or re-billed to a CGDL Customer, SDG&amp;E shall apply each of the differing CGDL Customer Bond Charge rates over such period to a portion of such consumption in proportion to the number of calendar days within the period that each rate was effective.</w:t>
      </w:r>
    </w:p>
    <w:p>
      <w:pPr>
        <w:spacing w:after="0" w:line="165" w:lineRule="exact"/>
        <w:rPr>
          <w:sz w:val="20"/>
          <w:szCs w:val="20"/>
          <w:color w:val="auto"/>
        </w:rPr>
      </w:pPr>
    </w:p>
    <w:p>
      <w:pPr>
        <w:ind w:right="60" w:firstLine="496"/>
        <w:spacing w:after="0" w:line="235" w:lineRule="auto"/>
        <w:rPr>
          <w:sz w:val="20"/>
          <w:szCs w:val="20"/>
          <w:color w:val="auto"/>
        </w:rPr>
      </w:pPr>
      <w:r>
        <w:rPr>
          <w:rFonts w:ascii="Arial" w:cs="Arial" w:eastAsia="Arial" w:hAnsi="Arial"/>
          <w:sz w:val="17"/>
          <w:szCs w:val="17"/>
          <w:color w:val="auto"/>
        </w:rPr>
        <w:t>The CGDL Bond Charge is one of three SDG&amp;E rate components known as the Customer Responsibility Surcharge. As determined by Applicable Commission Orders, the CRS was capped at a specific amount with specific billing priorities. As determined by Applicable Commission Orders, the CGDL Bond Charge component received the first billing priority within the capped level that can be billed. The billing priority of CGDL Bond Charge, including the application of capped level that can be billed, will be as determined by the Commission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C-1-</w:t>
      </w:r>
    </w:p>
    <w:p>
      <w:pPr>
        <w:sectPr>
          <w:pgSz w:w="11900" w:h="16838" w:orient="portrait"/>
          <w:cols w:equalWidth="0" w:num="1">
            <w:col w:w="11460"/>
          </w:cols>
          <w:pgMar w:left="220" w:top="118" w:right="219" w:bottom="1440" w:gutter="0" w:footer="0" w:header="0"/>
        </w:sectPr>
      </w:pPr>
    </w:p>
    <w:bookmarkStart w:id="132" w:name="page133"/>
    <w:bookmarkEnd w:id="132"/>
    <w:p>
      <w:pPr>
        <w:jc w:val="right"/>
        <w:spacing w:after="0"/>
        <w:rPr>
          <w:sz w:val="20"/>
          <w:szCs w:val="20"/>
          <w:color w:val="auto"/>
        </w:rPr>
      </w:pPr>
      <w:r>
        <w:rPr>
          <w:rFonts w:ascii="Arial" w:cs="Arial" w:eastAsia="Arial" w:hAnsi="Arial"/>
          <w:sz w:val="17"/>
          <w:szCs w:val="17"/>
          <w:b w:val="1"/>
          <w:bCs w:val="1"/>
          <w:color w:val="auto"/>
        </w:rPr>
        <w:t>Attachment B</w:t>
      </w:r>
    </w:p>
    <w:p>
      <w:pPr>
        <w:spacing w:after="0" w:line="178"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APPENDIX C-2</w:t>
      </w:r>
    </w:p>
    <w:p>
      <w:pPr>
        <w:spacing w:after="0" w:line="156"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SAN DIEGO GAS &amp; ELECTRIC COMPANY</w:t>
      </w:r>
    </w:p>
    <w:p>
      <w:pPr>
        <w:spacing w:after="0" w:line="156"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BILL DETERMINATION - CUSTOMER GENERATION DEPARTING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LOAD POWER CHARGE</w:t>
      </w:r>
    </w:p>
    <w:p>
      <w:pPr>
        <w:spacing w:after="0" w:line="142" w:lineRule="exact"/>
        <w:rPr>
          <w:sz w:val="20"/>
          <w:szCs w:val="20"/>
          <w:color w:val="auto"/>
        </w:rPr>
      </w:pPr>
    </w:p>
    <w:p>
      <w:pPr>
        <w:ind w:right="440" w:firstLine="496"/>
        <w:spacing w:after="0" w:line="245" w:lineRule="auto"/>
        <w:rPr>
          <w:sz w:val="20"/>
          <w:szCs w:val="20"/>
          <w:color w:val="auto"/>
        </w:rPr>
      </w:pPr>
      <w:r>
        <w:rPr>
          <w:rFonts w:ascii="Arial" w:cs="Arial" w:eastAsia="Arial" w:hAnsi="Arial"/>
          <w:sz w:val="17"/>
          <w:szCs w:val="17"/>
          <w:color w:val="auto"/>
        </w:rPr>
        <w:t>This Appendix C-2 to Attachment B of the Servicing Order sets forth specific methodology to be applied in determining the billed amount of Power Charge on Customer Generation Departing Load Customers.</w:t>
      </w:r>
    </w:p>
    <w:p>
      <w:pPr>
        <w:spacing w:after="0" w:line="138" w:lineRule="exact"/>
        <w:rPr>
          <w:sz w:val="20"/>
          <w:szCs w:val="20"/>
          <w:color w:val="auto"/>
        </w:rPr>
      </w:pPr>
    </w:p>
    <w:p>
      <w:pPr>
        <w:jc w:val="both"/>
        <w:ind w:right="280" w:firstLine="496"/>
        <w:spacing w:after="0" w:line="237" w:lineRule="auto"/>
        <w:rPr>
          <w:sz w:val="20"/>
          <w:szCs w:val="20"/>
          <w:color w:val="auto"/>
        </w:rPr>
      </w:pPr>
      <w:r>
        <w:rPr>
          <w:rFonts w:ascii="Arial" w:cs="Arial" w:eastAsia="Arial" w:hAnsi="Arial"/>
          <w:sz w:val="17"/>
          <w:szCs w:val="17"/>
          <w:color w:val="auto"/>
        </w:rPr>
        <w:t>The dollar amount of Power Charge billed or re-billed to a CGDL shall be the product of (i) the metered consumption in kilowatt-hours subject to Power Charge billed to the CGDL and (ii) the CGDL Power Charge rate applicable to the period of such electric consumption. All electric consumption of a CGDL is subject to Power Charge unless exempt by Applicable Commission Orders.</w:t>
      </w:r>
    </w:p>
    <w:p>
      <w:pPr>
        <w:spacing w:after="0" w:line="165" w:lineRule="exact"/>
        <w:rPr>
          <w:sz w:val="20"/>
          <w:szCs w:val="20"/>
          <w:color w:val="auto"/>
        </w:rPr>
      </w:pPr>
    </w:p>
    <w:p>
      <w:pPr>
        <w:jc w:val="both"/>
        <w:ind w:right="340" w:firstLine="496"/>
        <w:spacing w:after="0" w:line="237" w:lineRule="auto"/>
        <w:rPr>
          <w:sz w:val="20"/>
          <w:szCs w:val="20"/>
          <w:color w:val="auto"/>
        </w:rPr>
      </w:pPr>
      <w:r>
        <w:rPr>
          <w:rFonts w:ascii="Arial" w:cs="Arial" w:eastAsia="Arial" w:hAnsi="Arial"/>
          <w:sz w:val="17"/>
          <w:szCs w:val="17"/>
          <w:color w:val="auto"/>
        </w:rPr>
        <w:t>In cases in which the CGDL Customer Power Charge rate changes during the period of the metered consumption subject to Power Charge billed or re-billed to a CGDL Customer, SDG&amp;E shall apply each of the differing CGDL Customer Power Charge rates over such period to a portion of such consumption in proportion to the number of calendar days within the period that each rate was effective.</w:t>
      </w:r>
    </w:p>
    <w:p>
      <w:pPr>
        <w:spacing w:after="0" w:line="165" w:lineRule="exact"/>
        <w:rPr>
          <w:sz w:val="20"/>
          <w:szCs w:val="20"/>
          <w:color w:val="auto"/>
        </w:rPr>
      </w:pPr>
    </w:p>
    <w:p>
      <w:pPr>
        <w:ind w:right="80" w:firstLine="496"/>
        <w:spacing w:after="0" w:line="237" w:lineRule="auto"/>
        <w:rPr>
          <w:sz w:val="20"/>
          <w:szCs w:val="20"/>
          <w:color w:val="auto"/>
        </w:rPr>
      </w:pPr>
      <w:r>
        <w:rPr>
          <w:rFonts w:ascii="Arial" w:cs="Arial" w:eastAsia="Arial" w:hAnsi="Arial"/>
          <w:sz w:val="17"/>
          <w:szCs w:val="17"/>
          <w:color w:val="auto"/>
        </w:rPr>
        <w:t>The CGDL Power Charge is one of three SDG&amp;E rate components known as the Customer Responsibility Surcharge. As determined by Applicable Commission Orders, the CRS was capped at a specific amount with specific billing priorities. The billing priority of CGDL Power Charge, including the application of capped level that can be billed, will be as determined by the Commission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C-2-</w:t>
      </w:r>
    </w:p>
    <w:p>
      <w:pPr>
        <w:sectPr>
          <w:pgSz w:w="11900" w:h="16838" w:orient="portrait"/>
          <w:cols w:equalWidth="0" w:num="1">
            <w:col w:w="11460"/>
          </w:cols>
          <w:pgMar w:left="220" w:top="118" w:right="219" w:bottom="1440" w:gutter="0" w:footer="0" w:header="0"/>
        </w:sectPr>
      </w:pPr>
    </w:p>
    <w:bookmarkStart w:id="133" w:name="page134"/>
    <w:bookmarkEnd w:id="133"/>
    <w:p>
      <w:pPr>
        <w:jc w:val="right"/>
        <w:spacing w:after="0"/>
        <w:rPr>
          <w:sz w:val="20"/>
          <w:szCs w:val="20"/>
          <w:color w:val="auto"/>
        </w:rPr>
      </w:pPr>
      <w:r>
        <w:rPr>
          <w:rFonts w:ascii="Arial" w:cs="Arial" w:eastAsia="Arial" w:hAnsi="Arial"/>
          <w:sz w:val="17"/>
          <w:szCs w:val="17"/>
          <w:b w:val="1"/>
          <w:bCs w:val="1"/>
          <w:color w:val="auto"/>
        </w:rPr>
        <w:t>Attachment B</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APPENDIX D-1</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SAN DIEGO GAS &amp; ELECTRIC COMPANY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BILL DETERMINATION OF - MUNICIPAL DEPARTING LOAD BOND CHARGE</w:t>
      </w:r>
    </w:p>
    <w:p>
      <w:pPr>
        <w:spacing w:after="0" w:line="160" w:lineRule="exact"/>
        <w:rPr>
          <w:sz w:val="20"/>
          <w:szCs w:val="20"/>
          <w:color w:val="auto"/>
        </w:rPr>
      </w:pPr>
    </w:p>
    <w:p>
      <w:pPr>
        <w:ind w:right="460" w:firstLine="496"/>
        <w:spacing w:after="0" w:line="349" w:lineRule="auto"/>
        <w:rPr>
          <w:sz w:val="20"/>
          <w:szCs w:val="20"/>
          <w:color w:val="auto"/>
        </w:rPr>
      </w:pPr>
      <w:r>
        <w:rPr>
          <w:rFonts w:ascii="Arial" w:cs="Arial" w:eastAsia="Arial" w:hAnsi="Arial"/>
          <w:sz w:val="14"/>
          <w:szCs w:val="14"/>
          <w:color w:val="auto"/>
        </w:rPr>
        <w:t>Commission Decision 03-07-028, as amended, clarified or modified by Decision 03-08-076, Decision 04-11-014, Decision 04-12-059 and Decision 05-07-038 impose a CRS, including Bond Charge on certain Municipal Departing Load for load that departed bundled service on and after February 1, 2001.</w:t>
      </w:r>
    </w:p>
    <w:p>
      <w:pPr>
        <w:spacing w:after="0" w:line="69" w:lineRule="exact"/>
        <w:rPr>
          <w:sz w:val="20"/>
          <w:szCs w:val="20"/>
          <w:color w:val="auto"/>
        </w:rPr>
      </w:pPr>
    </w:p>
    <w:p>
      <w:pPr>
        <w:ind w:firstLine="496"/>
        <w:spacing w:after="0" w:line="313" w:lineRule="auto"/>
        <w:rPr>
          <w:sz w:val="20"/>
          <w:szCs w:val="20"/>
          <w:color w:val="auto"/>
        </w:rPr>
      </w:pPr>
      <w:r>
        <w:rPr>
          <w:rFonts w:ascii="Arial" w:cs="Arial" w:eastAsia="Arial" w:hAnsi="Arial"/>
          <w:sz w:val="14"/>
          <w:szCs w:val="14"/>
          <w:color w:val="auto"/>
        </w:rPr>
        <w:t>Upon effectiveness of Applicable Commission Order relating to the remittance of Bond Charge by Municipal Departing Load and to the extent SDG&amp;E is involved, the Parties intend to update this Appendix D-1 to reflect the applicable remittance methods. The Parties further agree that the commencement of billing and collection of Bond Charge on Municipal Departing Load is an event contemplated under Section 10(a)(vi) of this Servicing Order to the extent that SDG&amp;E is involved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D-1-</w:t>
      </w:r>
    </w:p>
    <w:p>
      <w:pPr>
        <w:sectPr>
          <w:pgSz w:w="11900" w:h="16838" w:orient="portrait"/>
          <w:cols w:equalWidth="0" w:num="1">
            <w:col w:w="11460"/>
          </w:cols>
          <w:pgMar w:left="220" w:top="120" w:right="219" w:bottom="1440" w:gutter="0" w:footer="0" w:header="0"/>
        </w:sectPr>
      </w:pPr>
    </w:p>
    <w:bookmarkStart w:id="134" w:name="page135"/>
    <w:bookmarkEnd w:id="134"/>
    <w:p>
      <w:pPr>
        <w:jc w:val="right"/>
        <w:spacing w:after="0"/>
        <w:rPr>
          <w:sz w:val="20"/>
          <w:szCs w:val="20"/>
          <w:color w:val="auto"/>
        </w:rPr>
      </w:pPr>
      <w:r>
        <w:rPr>
          <w:rFonts w:ascii="Arial" w:cs="Arial" w:eastAsia="Arial" w:hAnsi="Arial"/>
          <w:sz w:val="17"/>
          <w:szCs w:val="17"/>
          <w:b w:val="1"/>
          <w:bCs w:val="1"/>
          <w:color w:val="auto"/>
        </w:rPr>
        <w:t>Attachment B</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APPENDIX D-2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SAN DIEGO GAS &amp; ELECTRIC COMPANY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BILL DETERMINATION -MUNICIPAL DEPARTING LOAD POWER CHARGE</w:t>
      </w:r>
    </w:p>
    <w:p>
      <w:pPr>
        <w:spacing w:after="0" w:line="160" w:lineRule="exact"/>
        <w:rPr>
          <w:sz w:val="20"/>
          <w:szCs w:val="20"/>
          <w:color w:val="auto"/>
        </w:rPr>
      </w:pPr>
    </w:p>
    <w:p>
      <w:pPr>
        <w:ind w:right="460" w:firstLine="496"/>
        <w:spacing w:after="0" w:line="349" w:lineRule="auto"/>
        <w:rPr>
          <w:sz w:val="20"/>
          <w:szCs w:val="20"/>
          <w:color w:val="auto"/>
        </w:rPr>
      </w:pPr>
      <w:r>
        <w:rPr>
          <w:rFonts w:ascii="Arial" w:cs="Arial" w:eastAsia="Arial" w:hAnsi="Arial"/>
          <w:sz w:val="14"/>
          <w:szCs w:val="14"/>
          <w:color w:val="auto"/>
        </w:rPr>
        <w:t>Commission Decision 03-07-028, as amended, clarified or modified by Decision 03-08-076, Decision 04-11-014, Decision 04-12-059 and Decision 05-07-038 impose a CRS, including Power Charge on certain Municipal Departing Load for load that departed bundled service on and after February 1, 2001.</w:t>
      </w:r>
    </w:p>
    <w:p>
      <w:pPr>
        <w:spacing w:after="0" w:line="69" w:lineRule="exact"/>
        <w:rPr>
          <w:sz w:val="20"/>
          <w:szCs w:val="20"/>
          <w:color w:val="auto"/>
        </w:rPr>
      </w:pPr>
    </w:p>
    <w:p>
      <w:pPr>
        <w:ind w:right="160" w:firstLine="496"/>
        <w:spacing w:after="0" w:line="235" w:lineRule="auto"/>
        <w:rPr>
          <w:sz w:val="20"/>
          <w:szCs w:val="20"/>
          <w:color w:val="auto"/>
        </w:rPr>
      </w:pPr>
      <w:r>
        <w:rPr>
          <w:rFonts w:ascii="Arial" w:cs="Arial" w:eastAsia="Arial" w:hAnsi="Arial"/>
          <w:sz w:val="17"/>
          <w:szCs w:val="17"/>
          <w:color w:val="auto"/>
        </w:rPr>
        <w:t>Upon effectiveness of Applicable Commission Order relating to the remittance of Power Charge by Municipal Departing Load, and to the extent SDG&amp;E is involved, the Parties intend to update this Appendix D-2 to reflect the applicable remittance methods. The Parties further agree that the commencement of billing and collection of Power Charge on Municipal Departing Load is an event contemplated under Section 10(a)(vi) of this Servicing Order to the extent SDG&amp;E is involved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D-2-</w:t>
      </w:r>
    </w:p>
    <w:p>
      <w:pPr>
        <w:sectPr>
          <w:pgSz w:w="11900" w:h="16838" w:orient="portrait"/>
          <w:cols w:equalWidth="0" w:num="1">
            <w:col w:w="11460"/>
          </w:cols>
          <w:pgMar w:left="220" w:top="120" w:right="219" w:bottom="1440" w:gutter="0" w:footer="0" w:header="0"/>
        </w:sectPr>
      </w:pPr>
    </w:p>
    <w:bookmarkStart w:id="135" w:name="page136"/>
    <w:bookmarkEnd w:id="135"/>
    <w:p>
      <w:pPr>
        <w:jc w:val="right"/>
        <w:spacing w:after="0"/>
        <w:rPr>
          <w:sz w:val="20"/>
          <w:szCs w:val="20"/>
          <w:color w:val="auto"/>
        </w:rPr>
      </w:pPr>
      <w:r>
        <w:rPr>
          <w:rFonts w:ascii="Arial" w:cs="Arial" w:eastAsia="Arial" w:hAnsi="Arial"/>
          <w:sz w:val="17"/>
          <w:szCs w:val="17"/>
          <w:b w:val="1"/>
          <w:bCs w:val="1"/>
          <w:color w:val="auto"/>
        </w:rPr>
        <w:t>Attachment B</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APPENDIX E-1</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SAN DIEGO GAS &amp; ELECTRIC COMPANY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BILL DETERMINATION - COMMUNITY CHOICE AGGREGATION BOND CHARGE</w:t>
      </w:r>
    </w:p>
    <w:p>
      <w:pPr>
        <w:spacing w:after="0" w:line="160" w:lineRule="exact"/>
        <w:rPr>
          <w:sz w:val="20"/>
          <w:szCs w:val="20"/>
          <w:color w:val="auto"/>
        </w:rPr>
      </w:pPr>
    </w:p>
    <w:p>
      <w:pPr>
        <w:ind w:right="80" w:firstLine="496"/>
        <w:spacing w:after="0" w:line="245" w:lineRule="auto"/>
        <w:rPr>
          <w:sz w:val="20"/>
          <w:szCs w:val="20"/>
          <w:color w:val="auto"/>
        </w:rPr>
      </w:pPr>
      <w:r>
        <w:rPr>
          <w:rFonts w:ascii="Arial" w:cs="Arial" w:eastAsia="Arial" w:hAnsi="Arial"/>
          <w:sz w:val="17"/>
          <w:szCs w:val="17"/>
          <w:color w:val="auto"/>
        </w:rPr>
        <w:t>This Appendix E-1 to Attachment B of the Servicing Order sets forth specific methodology to be applied in determining the billed dollar amount of Bond Charge on a Community Choice Aggregation Customer if and when a CCA establishes service within SDG&amp;E’s service territory.</w:t>
      </w:r>
    </w:p>
    <w:p>
      <w:pPr>
        <w:spacing w:after="0" w:line="138" w:lineRule="exact"/>
        <w:rPr>
          <w:sz w:val="20"/>
          <w:szCs w:val="20"/>
          <w:color w:val="auto"/>
        </w:rPr>
      </w:pPr>
    </w:p>
    <w:p>
      <w:pPr>
        <w:ind w:right="80" w:firstLine="496"/>
        <w:spacing w:after="0" w:line="237" w:lineRule="auto"/>
        <w:rPr>
          <w:sz w:val="20"/>
          <w:szCs w:val="20"/>
          <w:color w:val="auto"/>
        </w:rPr>
      </w:pPr>
      <w:r>
        <w:rPr>
          <w:rFonts w:ascii="Arial" w:cs="Arial" w:eastAsia="Arial" w:hAnsi="Arial"/>
          <w:sz w:val="17"/>
          <w:szCs w:val="17"/>
          <w:color w:val="auto"/>
        </w:rPr>
        <w:t>The dollar amount of Bond Charge billed or re-billed to a CCA Customer shall be the product of (i) the electric consumption in kilowatt-hours subject to Bond Charge billed to the CCA Customer and (ii) the CCA Customer Bond Charge rate applicable to the period of such electric consumption. All electric consumption of a CCA Customer is subject to Bond Charge unless exempt by Applicable Commission Orders.</w:t>
      </w:r>
    </w:p>
    <w:p>
      <w:pPr>
        <w:spacing w:after="0" w:line="165" w:lineRule="exact"/>
        <w:rPr>
          <w:sz w:val="20"/>
          <w:szCs w:val="20"/>
          <w:color w:val="auto"/>
        </w:rPr>
      </w:pPr>
    </w:p>
    <w:p>
      <w:pPr>
        <w:jc w:val="both"/>
        <w:ind w:right="240" w:firstLine="496"/>
        <w:spacing w:after="0" w:line="237" w:lineRule="auto"/>
        <w:rPr>
          <w:sz w:val="20"/>
          <w:szCs w:val="20"/>
          <w:color w:val="auto"/>
        </w:rPr>
      </w:pPr>
      <w:r>
        <w:rPr>
          <w:rFonts w:ascii="Arial" w:cs="Arial" w:eastAsia="Arial" w:hAnsi="Arial"/>
          <w:sz w:val="17"/>
          <w:szCs w:val="17"/>
          <w:color w:val="auto"/>
        </w:rPr>
        <w:t>In cases in which the CCA Customer Bond Charge rate changes during the period of the electric consumption subject to Bond Charge billed or re-billed to a CCA Customer, SDG&amp;E shall apply each of the differing CCA Customer Bond Charge rates over such period to a portion of such consumption in proportion to the number of calendar days within the period that each rate was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E-1-</w:t>
      </w:r>
    </w:p>
    <w:p>
      <w:pPr>
        <w:sectPr>
          <w:pgSz w:w="11900" w:h="16838" w:orient="portrait"/>
          <w:cols w:equalWidth="0" w:num="1">
            <w:col w:w="11460"/>
          </w:cols>
          <w:pgMar w:left="220" w:top="118" w:right="219" w:bottom="1440" w:gutter="0" w:footer="0" w:header="0"/>
        </w:sectPr>
      </w:pPr>
    </w:p>
    <w:bookmarkStart w:id="136" w:name="page137"/>
    <w:bookmarkEnd w:id="136"/>
    <w:p>
      <w:pPr>
        <w:spacing w:after="0" w:line="6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Attachment B</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APPENDIX E-2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SAN DIEGO GAS &amp; ELECTRIC COMPANY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BILL DETERMINATION - COMMUNITY CHOICE AGGREGATION POWER CHARGE</w:t>
      </w:r>
    </w:p>
    <w:p>
      <w:pPr>
        <w:spacing w:after="0" w:line="160" w:lineRule="exact"/>
        <w:rPr>
          <w:sz w:val="20"/>
          <w:szCs w:val="20"/>
          <w:color w:val="auto"/>
        </w:rPr>
      </w:pPr>
    </w:p>
    <w:p>
      <w:pPr>
        <w:ind w:right="320" w:firstLine="496"/>
        <w:spacing w:after="0" w:line="245" w:lineRule="auto"/>
        <w:rPr>
          <w:sz w:val="20"/>
          <w:szCs w:val="20"/>
          <w:color w:val="auto"/>
        </w:rPr>
      </w:pPr>
      <w:r>
        <w:rPr>
          <w:rFonts w:ascii="Arial" w:cs="Arial" w:eastAsia="Arial" w:hAnsi="Arial"/>
          <w:sz w:val="17"/>
          <w:szCs w:val="17"/>
          <w:color w:val="auto"/>
        </w:rPr>
        <w:t>This Appendix E-2 to Attachment B of the Servicing Order sets forth specific methodology to be applied in determining the billed amount of Power Charge on a Community Choice Aggregation Customer.</w:t>
      </w:r>
    </w:p>
    <w:p>
      <w:pPr>
        <w:spacing w:after="0" w:line="138" w:lineRule="exact"/>
        <w:rPr>
          <w:sz w:val="20"/>
          <w:szCs w:val="20"/>
          <w:color w:val="auto"/>
        </w:rPr>
      </w:pPr>
    </w:p>
    <w:p>
      <w:pPr>
        <w:ind w:right="20" w:firstLine="496"/>
        <w:spacing w:after="0" w:line="237" w:lineRule="auto"/>
        <w:rPr>
          <w:sz w:val="20"/>
          <w:szCs w:val="20"/>
          <w:color w:val="auto"/>
        </w:rPr>
      </w:pPr>
      <w:r>
        <w:rPr>
          <w:rFonts w:ascii="Arial" w:cs="Arial" w:eastAsia="Arial" w:hAnsi="Arial"/>
          <w:sz w:val="17"/>
          <w:szCs w:val="17"/>
          <w:color w:val="auto"/>
        </w:rPr>
        <w:t>The dollar amount of Power Charge billed or re-billed to a CCA Customer shall be the product of (i) the electric consumption in kilowatt-hours subject to Power Charge billed to the CCA Customer and (ii) the CCA Customer Power Charge rate applicable to the period of such electric consumption. All electric consumption of a CCA Customer is subject to Power Charge unless exempt by Applicable Commission Orders.</w:t>
      </w:r>
    </w:p>
    <w:p>
      <w:pPr>
        <w:spacing w:after="0" w:line="165" w:lineRule="exact"/>
        <w:rPr>
          <w:sz w:val="20"/>
          <w:szCs w:val="20"/>
          <w:color w:val="auto"/>
        </w:rPr>
      </w:pPr>
    </w:p>
    <w:p>
      <w:pPr>
        <w:ind w:right="120" w:firstLine="496"/>
        <w:spacing w:after="0" w:line="237" w:lineRule="auto"/>
        <w:rPr>
          <w:sz w:val="20"/>
          <w:szCs w:val="20"/>
          <w:color w:val="auto"/>
        </w:rPr>
      </w:pPr>
      <w:r>
        <w:rPr>
          <w:rFonts w:ascii="Arial" w:cs="Arial" w:eastAsia="Arial" w:hAnsi="Arial"/>
          <w:sz w:val="17"/>
          <w:szCs w:val="17"/>
          <w:color w:val="auto"/>
        </w:rPr>
        <w:t>In cases in which the CCA Customer Power Charge rate changes during the period of the electric consumption subject to Power Charge billed or re-billed to a CCA Customer, SDG&amp;E shall apply each of the differing CCA Customer Power Charge rates over such period to a portion of such consumption in proportion to the number of calendar days within the period that each rate was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E-2-1</w:t>
      </w:r>
    </w:p>
    <w:p>
      <w:pPr>
        <w:spacing w:after="0" w:line="36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8/23/2010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ATTACHMENT C</w:t>
      </w:r>
    </w:p>
    <w:p>
      <w:pPr>
        <w:spacing w:after="0" w:line="177"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SAN DIEGO GAS &amp; ELECTRIC COMPANY</w:t>
      </w:r>
    </w:p>
    <w:p>
      <w:pPr>
        <w:spacing w:after="0" w:line="8"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SAMPLE DAILY AND MONTHLY REPORTS</w:t>
      </w:r>
    </w:p>
    <w:p>
      <w:pPr>
        <w:spacing w:after="0" w:line="163" w:lineRule="exact"/>
        <w:rPr>
          <w:sz w:val="20"/>
          <w:szCs w:val="20"/>
          <w:color w:val="auto"/>
        </w:rPr>
      </w:pPr>
    </w:p>
    <w:p>
      <w:pPr>
        <w:ind w:right="20" w:firstLine="496"/>
        <w:spacing w:after="0" w:line="250" w:lineRule="auto"/>
        <w:rPr>
          <w:sz w:val="20"/>
          <w:szCs w:val="20"/>
          <w:color w:val="auto"/>
        </w:rPr>
      </w:pPr>
      <w:r>
        <w:rPr>
          <w:rFonts w:ascii="Arial" w:cs="Arial" w:eastAsia="Arial" w:hAnsi="Arial"/>
          <w:sz w:val="16"/>
          <w:szCs w:val="16"/>
          <w:color w:val="auto"/>
        </w:rPr>
        <w:t>SDG&amp;E will provide daily and monthly reports as further described in this Attachment C to DWR. The sample report templates included this Attachment C have been included for illustrative purposes only. Variations of reports specifications from those in this Attachment C may be implemented upon mutual agreement of the Parties. The report specifications in this Attachment C include all contemplated categories of DWR Charges from Customer Types identified and currently pending in Commission proceedings as well as DWR’s sharing of surplus energy sales (prior to the MRTU Effective Date). Upon approval of the Servicing Order by the Commission, actual reports submitted by SDG&amp;E will only include categories of DWR Charges active during the reporting period.</w:t>
      </w:r>
    </w:p>
    <w:p>
      <w:pPr>
        <w:spacing w:after="0" w:line="158" w:lineRule="exact"/>
        <w:rPr>
          <w:sz w:val="20"/>
          <w:szCs w:val="20"/>
          <w:color w:val="auto"/>
        </w:rPr>
      </w:pPr>
    </w:p>
    <w:p>
      <w:pPr>
        <w:jc w:val="both"/>
        <w:ind w:right="100" w:firstLine="496"/>
        <w:spacing w:after="0" w:line="313" w:lineRule="auto"/>
        <w:rPr>
          <w:sz w:val="20"/>
          <w:szCs w:val="20"/>
          <w:color w:val="auto"/>
        </w:rPr>
      </w:pPr>
      <w:r>
        <w:rPr>
          <w:rFonts w:ascii="Arial" w:cs="Arial" w:eastAsia="Arial" w:hAnsi="Arial"/>
          <w:sz w:val="14"/>
          <w:szCs w:val="14"/>
          <w:color w:val="auto"/>
        </w:rPr>
        <w:t>Prior to the approval of the 2007 Servicing Order, SDG&amp;E did not provide all remittance information and data in Microsoft Excel® workbook format. SDG&amp;E has implemented Microsoft Excel® workbook format as specified in this Attachment C by no later than six months after the Effective Date of the 2007 Servicing Order. From time to time, if the need for a new format is identified by SDG&amp;E or DWR, DWR agrees to discuss and agree to additional time as reasonably requested by SDG&amp;E.</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and after the MRTU Effective Date, certain additional information shall be provided to DWR, all as provided in Section 3 of this Attachment C.</w:t>
      </w:r>
    </w:p>
    <w:p>
      <w:pPr>
        <w:spacing w:after="0" w:line="177" w:lineRule="exact"/>
        <w:rPr>
          <w:sz w:val="20"/>
          <w:szCs w:val="20"/>
          <w:color w:val="auto"/>
        </w:rPr>
      </w:pPr>
    </w:p>
    <w:p>
      <w:pPr>
        <w:jc w:val="both"/>
        <w:ind w:right="280" w:firstLine="496"/>
        <w:spacing w:after="0" w:line="259" w:lineRule="auto"/>
        <w:rPr>
          <w:sz w:val="20"/>
          <w:szCs w:val="20"/>
          <w:color w:val="auto"/>
        </w:rPr>
      </w:pPr>
      <w:r>
        <w:rPr>
          <w:rFonts w:ascii="Arial" w:cs="Arial" w:eastAsia="Arial" w:hAnsi="Arial"/>
          <w:sz w:val="16"/>
          <w:szCs w:val="16"/>
          <w:color w:val="auto"/>
        </w:rPr>
        <w:t>Unless otherwise specifically provided elsewhere in this Attachment C, SDG&amp;E will submit all reports by secure electronic means or password protected e-mails addressed to “IOU_Remit@water.ca.gov” and, in either case, in a Microsoft Excel® workbook format, or to the extent necessary from time to time, in comma separated value or fixed width text files, with the appropriate filename and subject line, all as further provided in this Attachment C.</w:t>
      </w:r>
    </w:p>
    <w:p>
      <w:pPr>
        <w:spacing w:after="0" w:line="320"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4"/>
          <w:szCs w:val="14"/>
          <w:b w:val="1"/>
          <w:bCs w:val="1"/>
          <w:color w:val="auto"/>
        </w:rPr>
        <w:t>End-Use Customer Reports</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A</w:t>
      </w:r>
      <w:r>
        <w:rPr>
          <w:rFonts w:ascii="Arial" w:cs="Arial" w:eastAsia="Arial" w:hAnsi="Arial"/>
          <w:sz w:val="17"/>
          <w:szCs w:val="17"/>
          <w:b w:val="1"/>
          <w:bCs w:val="1"/>
          <w:color w:val="auto"/>
        </w:rPr>
        <w:t>.</w:t>
      </w:r>
      <w:r>
        <w:rPr>
          <w:sz w:val="20"/>
          <w:szCs w:val="20"/>
          <w:color w:val="auto"/>
        </w:rPr>
        <w:tab/>
      </w:r>
      <w:r>
        <w:rPr>
          <w:rFonts w:ascii="Arial" w:cs="Arial" w:eastAsia="Arial" w:hAnsi="Arial"/>
          <w:sz w:val="14"/>
          <w:szCs w:val="14"/>
          <w:u w:val="single" w:color="auto"/>
          <w:color w:val="auto"/>
        </w:rPr>
        <w:t>Daily Remittance Report</w:t>
      </w:r>
    </w:p>
    <w:p>
      <w:pPr>
        <w:spacing w:after="0" w:line="181" w:lineRule="exact"/>
        <w:rPr>
          <w:sz w:val="20"/>
          <w:szCs w:val="20"/>
          <w:color w:val="auto"/>
        </w:rPr>
      </w:pPr>
    </w:p>
    <w:p>
      <w:pPr>
        <w:ind w:right="180" w:firstLine="496"/>
        <w:spacing w:after="0" w:line="245" w:lineRule="auto"/>
        <w:rPr>
          <w:sz w:val="20"/>
          <w:szCs w:val="20"/>
          <w:color w:val="auto"/>
        </w:rPr>
      </w:pPr>
      <w:r>
        <w:rPr>
          <w:rFonts w:ascii="Arial" w:cs="Arial" w:eastAsia="Arial" w:hAnsi="Arial"/>
          <w:sz w:val="17"/>
          <w:szCs w:val="17"/>
          <w:color w:val="auto"/>
        </w:rPr>
        <w:t>The Daily Remittance Report is to be prepared and submitted to DWR as a part of the Remittance Netting Report described in Sub-section B below on each Utility Business Day of the Term.</w:t>
      </w:r>
    </w:p>
    <w:p>
      <w:pPr>
        <w:spacing w:after="0" w:line="145" w:lineRule="exact"/>
        <w:rPr>
          <w:sz w:val="20"/>
          <w:szCs w:val="20"/>
          <w:color w:val="auto"/>
        </w:rPr>
      </w:pPr>
    </w:p>
    <w:p>
      <w:pPr>
        <w:ind w:left="1000" w:right="640" w:hanging="501"/>
        <w:spacing w:after="0" w:line="280" w:lineRule="auto"/>
        <w:tabs>
          <w:tab w:leader="none" w:pos="1000"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Delivery Mechanism and Naming Convention - </w:t>
      </w:r>
      <w:r>
        <w:rPr>
          <w:rFonts w:ascii="Arial" w:cs="Arial" w:eastAsia="Arial" w:hAnsi="Arial"/>
          <w:sz w:val="16"/>
          <w:szCs w:val="16"/>
          <w:color w:val="auto"/>
        </w:rPr>
        <w:t>This report should be sent by e-mail to the e-mail address “fmr@water.ca.gov” (or by such secure</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 means as reasonably determined appropriate by SDG&amp;E) with the following filename and subject line:</w:t>
      </w:r>
    </w:p>
    <w:p>
      <w:pPr>
        <w:spacing w:after="0" w:line="123" w:lineRule="exact"/>
        <w:rPr>
          <w:sz w:val="20"/>
          <w:szCs w:val="20"/>
          <w:color w:val="auto"/>
        </w:rPr>
      </w:pPr>
    </w:p>
    <w:p>
      <w:pPr>
        <w:ind w:left="1000" w:right="4840" w:hanging="501"/>
        <w:spacing w:after="0" w:line="485" w:lineRule="auto"/>
        <w:tabs>
          <w:tab w:leader="none" w:pos="752"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The format of the filename: &lt;utility name&gt; - Daily Remittance Report yyyymmdd v#.xls </w:t>
      </w:r>
      <w:r>
        <w:rPr>
          <w:rFonts w:ascii="Arial" w:cs="Arial" w:eastAsia="Arial" w:hAnsi="Arial"/>
          <w:sz w:val="16"/>
          <w:szCs w:val="16"/>
          <w:i w:val="1"/>
          <w:iCs w:val="1"/>
          <w:color w:val="auto"/>
        </w:rPr>
        <w:t>Example: SDG&amp;E - Daily Remittance Report 20090902 v1.xls</w:t>
      </w:r>
    </w:p>
    <w:p>
      <w:pPr>
        <w:ind w:left="1000" w:right="5120" w:hanging="501"/>
        <w:spacing w:after="0" w:line="456" w:lineRule="auto"/>
        <w:tabs>
          <w:tab w:leader="none" w:pos="752"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The subject line of e-mail: &lt;utility name&gt; - Daily Remittance Report for yyyymmdd </w:t>
      </w:r>
      <w:r>
        <w:rPr>
          <w:rFonts w:ascii="Arial" w:cs="Arial" w:eastAsia="Arial" w:hAnsi="Arial"/>
          <w:sz w:val="17"/>
          <w:szCs w:val="17"/>
          <w:i w:val="1"/>
          <w:iCs w:val="1"/>
          <w:color w:val="auto"/>
        </w:rPr>
        <w:t>Example: SDG&amp;E - Daily Remittance Report for 20090902</w:t>
      </w:r>
    </w:p>
    <w:p>
      <w:pPr>
        <w:spacing w:after="0" w:line="1" w:lineRule="exact"/>
        <w:rPr>
          <w:sz w:val="20"/>
          <w:szCs w:val="20"/>
          <w:color w:val="auto"/>
        </w:rPr>
      </w:pPr>
    </w:p>
    <w:p>
      <w:pPr>
        <w:ind w:left="1000" w:right="140"/>
        <w:spacing w:after="0" w:line="245" w:lineRule="auto"/>
        <w:rPr>
          <w:sz w:val="20"/>
          <w:szCs w:val="20"/>
          <w:color w:val="auto"/>
        </w:rPr>
      </w:pPr>
      <w:r>
        <w:rPr>
          <w:rFonts w:ascii="Arial" w:cs="Arial" w:eastAsia="Arial" w:hAnsi="Arial"/>
          <w:sz w:val="17"/>
          <w:szCs w:val="17"/>
          <w:color w:val="auto"/>
        </w:rPr>
        <w:t>Modifications to a submitted report will be accomplished by resending all the data including the necessary modifications and renaming the daily report with the subsequent version number.</w:t>
      </w:r>
    </w:p>
    <w:p>
      <w:pPr>
        <w:spacing w:after="0" w:line="159" w:lineRule="exact"/>
        <w:rPr>
          <w:sz w:val="20"/>
          <w:szCs w:val="20"/>
          <w:color w:val="auto"/>
        </w:rPr>
      </w:pPr>
    </w:p>
    <w:p>
      <w:pPr>
        <w:ind w:left="1000"/>
        <w:spacing w:after="0"/>
        <w:rPr>
          <w:sz w:val="20"/>
          <w:szCs w:val="20"/>
          <w:color w:val="auto"/>
        </w:rPr>
      </w:pPr>
      <w:r>
        <w:rPr>
          <w:rFonts w:ascii="Arial" w:cs="Arial" w:eastAsia="Arial" w:hAnsi="Arial"/>
          <w:sz w:val="17"/>
          <w:szCs w:val="17"/>
          <w:i w:val="1"/>
          <w:iCs w:val="1"/>
          <w:color w:val="auto"/>
        </w:rPr>
        <w:t>Example: SDG&amp;E - Daily Remittance Report 20090902 v2.xls</w:t>
      </w:r>
    </w:p>
    <w:p>
      <w:pPr>
        <w:spacing w:after="0" w:line="162" w:lineRule="exact"/>
        <w:rPr>
          <w:sz w:val="20"/>
          <w:szCs w:val="20"/>
          <w:color w:val="auto"/>
        </w:rPr>
      </w:pPr>
    </w:p>
    <w:p>
      <w:pPr>
        <w:ind w:left="1000" w:right="200" w:hanging="501"/>
        <w:spacing w:after="0" w:line="316" w:lineRule="auto"/>
        <w:tabs>
          <w:tab w:leader="none" w:pos="1000" w:val="left"/>
        </w:tabs>
        <w:numPr>
          <w:ilvl w:val="0"/>
          <w:numId w:val="18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Required Information and Timeline - </w:t>
      </w:r>
      <w:r>
        <w:rPr>
          <w:rFonts w:ascii="Arial" w:cs="Arial" w:eastAsia="Arial" w:hAnsi="Arial"/>
          <w:sz w:val="14"/>
          <w:szCs w:val="14"/>
          <w:color w:val="auto"/>
        </w:rPr>
        <w:t>SDG&amp;E shall report the daily cash balance amounts of DWR Charges with a separate entry for each Fund Type on</w:t>
      </w:r>
      <w:r>
        <w:rPr>
          <w:rFonts w:ascii="Arial" w:cs="Arial" w:eastAsia="Arial" w:hAnsi="Arial"/>
          <w:sz w:val="14"/>
          <w:szCs w:val="14"/>
          <w:b w:val="1"/>
          <w:bCs w:val="1"/>
          <w:color w:val="auto"/>
        </w:rPr>
        <w:t xml:space="preserve"> </w:t>
      </w:r>
      <w:r>
        <w:rPr>
          <w:rFonts w:ascii="Arial" w:cs="Arial" w:eastAsia="Arial" w:hAnsi="Arial"/>
          <w:sz w:val="14"/>
          <w:szCs w:val="14"/>
          <w:color w:val="auto"/>
        </w:rPr>
        <w:t>each applicable Customer Type in the Daily Remittance Reports. The following table defines such daily cash balance amounts. SDG&amp;E shall remit any positive daily cash balance amount due to DWR according to the timeline specified in the Attachment B of the Servicing Order.</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060" w:type="dxa"/>
            <w:vAlign w:val="bottom"/>
            <w:tcBorders>
              <w:top w:val="single" w:sz="8" w:color="auto"/>
              <w:left w:val="single" w:sz="8" w:color="auto"/>
              <w:right w:val="single" w:sz="8" w:color="auto"/>
            </w:tcBorders>
            <w:shd w:val="clear" w:color="auto" w:fill="A0A0A0"/>
          </w:tcPr>
          <w:p>
            <w:pPr>
              <w:ind w:left="120"/>
              <w:spacing w:after="0"/>
              <w:rPr>
                <w:sz w:val="20"/>
                <w:szCs w:val="20"/>
                <w:color w:val="auto"/>
              </w:rPr>
            </w:pPr>
            <w:r>
              <w:rPr>
                <w:rFonts w:ascii="Arial" w:cs="Arial" w:eastAsia="Arial" w:hAnsi="Arial"/>
                <w:sz w:val="14"/>
                <w:szCs w:val="14"/>
                <w:color w:val="FFFFFF"/>
              </w:rPr>
              <w:t>DWR Account</w:t>
            </w:r>
          </w:p>
        </w:tc>
        <w:tc>
          <w:tcPr>
            <w:tcW w:w="700" w:type="dxa"/>
            <w:vAlign w:val="bottom"/>
            <w:tcBorders>
              <w:top w:val="single" w:sz="8" w:color="auto"/>
              <w:right w:val="single" w:sz="8" w:color="auto"/>
            </w:tcBorders>
            <w:shd w:val="clear" w:color="auto" w:fill="A0A0A0"/>
          </w:tcPr>
          <w:p>
            <w:pPr>
              <w:spacing w:after="0"/>
              <w:rPr>
                <w:sz w:val="14"/>
                <w:szCs w:val="14"/>
                <w:color w:val="auto"/>
              </w:rPr>
            </w:pPr>
          </w:p>
        </w:tc>
        <w:tc>
          <w:tcPr>
            <w:tcW w:w="900" w:type="dxa"/>
            <w:vAlign w:val="bottom"/>
            <w:tcBorders>
              <w:top w:val="single" w:sz="8" w:color="auto"/>
              <w:right w:val="single" w:sz="8" w:color="auto"/>
            </w:tcBorders>
            <w:shd w:val="clear" w:color="auto" w:fill="A0A0A0"/>
          </w:tcPr>
          <w:p>
            <w:pPr>
              <w:spacing w:after="0"/>
              <w:rPr>
                <w:sz w:val="14"/>
                <w:szCs w:val="14"/>
                <w:color w:val="auto"/>
              </w:rPr>
            </w:pPr>
          </w:p>
        </w:tc>
        <w:tc>
          <w:tcPr>
            <w:tcW w:w="1000" w:type="dxa"/>
            <w:vAlign w:val="bottom"/>
            <w:tcBorders>
              <w:top w:val="single" w:sz="8" w:color="auto"/>
              <w:right w:val="single" w:sz="8" w:color="auto"/>
            </w:tcBorders>
            <w:vMerge w:val="restart"/>
            <w:shd w:val="clear" w:color="auto" w:fill="A0A0A0"/>
          </w:tcPr>
          <w:p>
            <w:pPr>
              <w:ind w:left="200"/>
              <w:spacing w:after="0"/>
              <w:rPr>
                <w:sz w:val="20"/>
                <w:szCs w:val="20"/>
                <w:color w:val="auto"/>
              </w:rPr>
            </w:pPr>
            <w:r>
              <w:rPr>
                <w:rFonts w:ascii="Arial" w:cs="Arial" w:eastAsia="Arial" w:hAnsi="Arial"/>
                <w:sz w:val="14"/>
                <w:szCs w:val="14"/>
                <w:color w:val="FFFFFF"/>
              </w:rPr>
              <w:t>Collection</w:t>
            </w:r>
          </w:p>
        </w:tc>
        <w:tc>
          <w:tcPr>
            <w:tcW w:w="3720" w:type="dxa"/>
            <w:vAlign w:val="bottom"/>
            <w:tcBorders>
              <w:top w:val="single" w:sz="8" w:color="auto"/>
              <w:right w:val="single" w:sz="8" w:color="auto"/>
            </w:tcBorders>
            <w:shd w:val="clear" w:color="auto" w:fill="A0A0A0"/>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1060" w:type="dxa"/>
            <w:vAlign w:val="bottom"/>
            <w:tcBorders>
              <w:left w:val="single" w:sz="8" w:color="auto"/>
              <w:right w:val="single" w:sz="8" w:color="auto"/>
            </w:tcBorders>
            <w:vMerge w:val="restart"/>
            <w:shd w:val="clear" w:color="auto" w:fill="A0A0A0"/>
          </w:tcPr>
          <w:p>
            <w:pPr>
              <w:ind w:left="260"/>
              <w:spacing w:after="0"/>
              <w:rPr>
                <w:sz w:val="20"/>
                <w:szCs w:val="20"/>
                <w:color w:val="auto"/>
              </w:rPr>
            </w:pPr>
            <w:r>
              <w:rPr>
                <w:rFonts w:ascii="Arial" w:cs="Arial" w:eastAsia="Arial" w:hAnsi="Arial"/>
                <w:sz w:val="14"/>
                <w:szCs w:val="14"/>
                <w:color w:val="FFFFFF"/>
              </w:rPr>
              <w:t>Reference</w:t>
            </w:r>
          </w:p>
        </w:tc>
        <w:tc>
          <w:tcPr>
            <w:tcW w:w="700" w:type="dxa"/>
            <w:vAlign w:val="bottom"/>
            <w:tcBorders>
              <w:right w:val="single" w:sz="8" w:color="auto"/>
            </w:tcBorders>
            <w:vMerge w:val="restart"/>
            <w:shd w:val="clear" w:color="auto" w:fill="A0A0A0"/>
          </w:tcPr>
          <w:p>
            <w:pPr>
              <w:ind w:left="200"/>
              <w:spacing w:after="0"/>
              <w:rPr>
                <w:sz w:val="20"/>
                <w:szCs w:val="20"/>
                <w:color w:val="auto"/>
              </w:rPr>
            </w:pPr>
            <w:r>
              <w:rPr>
                <w:rFonts w:ascii="Arial" w:cs="Arial" w:eastAsia="Arial" w:hAnsi="Arial"/>
                <w:sz w:val="14"/>
                <w:szCs w:val="14"/>
                <w:color w:val="FFFFFF"/>
              </w:rPr>
              <w:t>Fund</w:t>
            </w:r>
          </w:p>
        </w:tc>
        <w:tc>
          <w:tcPr>
            <w:tcW w:w="900" w:type="dxa"/>
            <w:vAlign w:val="bottom"/>
            <w:tcBorders>
              <w:right w:val="single" w:sz="8" w:color="auto"/>
            </w:tcBorders>
            <w:vMerge w:val="restart"/>
            <w:shd w:val="clear" w:color="auto" w:fill="A0A0A0"/>
          </w:tcPr>
          <w:p>
            <w:pPr>
              <w:ind w:left="180"/>
              <w:spacing w:after="0"/>
              <w:rPr>
                <w:sz w:val="20"/>
                <w:szCs w:val="20"/>
                <w:color w:val="auto"/>
              </w:rPr>
            </w:pPr>
            <w:r>
              <w:rPr>
                <w:rFonts w:ascii="Arial" w:cs="Arial" w:eastAsia="Arial" w:hAnsi="Arial"/>
                <w:sz w:val="14"/>
                <w:szCs w:val="14"/>
                <w:color w:val="FFFFFF"/>
              </w:rPr>
              <w:t>Customer</w:t>
            </w:r>
          </w:p>
        </w:tc>
        <w:tc>
          <w:tcPr>
            <w:tcW w:w="1000" w:type="dxa"/>
            <w:vAlign w:val="bottom"/>
            <w:tcBorders>
              <w:right w:val="single" w:sz="8" w:color="auto"/>
            </w:tcBorders>
            <w:vMerge w:val="continue"/>
            <w:shd w:val="clear" w:color="auto" w:fill="A0A0A0"/>
          </w:tcPr>
          <w:p>
            <w:pPr>
              <w:spacing w:after="0"/>
              <w:rPr>
                <w:sz w:val="7"/>
                <w:szCs w:val="7"/>
                <w:color w:val="auto"/>
              </w:rPr>
            </w:pPr>
          </w:p>
        </w:tc>
        <w:tc>
          <w:tcPr>
            <w:tcW w:w="3720" w:type="dxa"/>
            <w:vAlign w:val="bottom"/>
            <w:tcBorders>
              <w:right w:val="single" w:sz="8" w:color="auto"/>
            </w:tcBorders>
            <w:vMerge w:val="restart"/>
            <w:shd w:val="clear" w:color="auto" w:fill="A0A0A0"/>
          </w:tcPr>
          <w:p>
            <w:pPr>
              <w:ind w:left="1120"/>
              <w:spacing w:after="0"/>
              <w:rPr>
                <w:sz w:val="20"/>
                <w:szCs w:val="20"/>
                <w:color w:val="auto"/>
              </w:rPr>
            </w:pPr>
            <w:r>
              <w:rPr>
                <w:rFonts w:ascii="Arial" w:cs="Arial" w:eastAsia="Arial" w:hAnsi="Arial"/>
                <w:sz w:val="14"/>
                <w:szCs w:val="14"/>
                <w:color w:val="FFFFFF"/>
              </w:rPr>
              <w:t>Description of Daily Cash</w:t>
            </w:r>
          </w:p>
        </w:tc>
        <w:tc>
          <w:tcPr>
            <w:tcW w:w="0" w:type="dxa"/>
            <w:vAlign w:val="bottom"/>
          </w:tcPr>
          <w:p>
            <w:pPr>
              <w:spacing w:after="0"/>
              <w:rPr>
                <w:sz w:val="1"/>
                <w:szCs w:val="1"/>
                <w:color w:val="auto"/>
              </w:rPr>
            </w:pPr>
          </w:p>
        </w:tc>
      </w:tr>
      <w:tr>
        <w:trPr>
          <w:trHeight w:val="83"/>
        </w:trPr>
        <w:tc>
          <w:tcPr>
            <w:tcW w:w="1060" w:type="dxa"/>
            <w:vAlign w:val="bottom"/>
            <w:tcBorders>
              <w:left w:val="single" w:sz="8" w:color="auto"/>
              <w:right w:val="single" w:sz="8" w:color="auto"/>
            </w:tcBorders>
            <w:vMerge w:val="continue"/>
            <w:shd w:val="clear" w:color="auto" w:fill="A0A0A0"/>
          </w:tcPr>
          <w:p>
            <w:pPr>
              <w:spacing w:after="0"/>
              <w:rPr>
                <w:sz w:val="7"/>
                <w:szCs w:val="7"/>
                <w:color w:val="auto"/>
              </w:rPr>
            </w:pPr>
          </w:p>
        </w:tc>
        <w:tc>
          <w:tcPr>
            <w:tcW w:w="700" w:type="dxa"/>
            <w:vAlign w:val="bottom"/>
            <w:tcBorders>
              <w:right w:val="single" w:sz="8" w:color="auto"/>
            </w:tcBorders>
            <w:vMerge w:val="continue"/>
            <w:shd w:val="clear" w:color="auto" w:fill="A0A0A0"/>
          </w:tcPr>
          <w:p>
            <w:pPr>
              <w:spacing w:after="0"/>
              <w:rPr>
                <w:sz w:val="7"/>
                <w:szCs w:val="7"/>
                <w:color w:val="auto"/>
              </w:rPr>
            </w:pPr>
          </w:p>
        </w:tc>
        <w:tc>
          <w:tcPr>
            <w:tcW w:w="900" w:type="dxa"/>
            <w:vAlign w:val="bottom"/>
            <w:tcBorders>
              <w:right w:val="single" w:sz="8" w:color="auto"/>
            </w:tcBorders>
            <w:vMerge w:val="continue"/>
            <w:shd w:val="clear" w:color="auto" w:fill="A0A0A0"/>
          </w:tcPr>
          <w:p>
            <w:pPr>
              <w:spacing w:after="0"/>
              <w:rPr>
                <w:sz w:val="7"/>
                <w:szCs w:val="7"/>
                <w:color w:val="auto"/>
              </w:rPr>
            </w:pPr>
          </w:p>
        </w:tc>
        <w:tc>
          <w:tcPr>
            <w:tcW w:w="1000" w:type="dxa"/>
            <w:vAlign w:val="bottom"/>
            <w:tcBorders>
              <w:right w:val="single" w:sz="8" w:color="auto"/>
            </w:tcBorders>
            <w:vMerge w:val="restart"/>
            <w:shd w:val="clear" w:color="auto" w:fill="A0A0A0"/>
          </w:tcPr>
          <w:p>
            <w:pPr>
              <w:ind w:left="340"/>
              <w:spacing w:after="0"/>
              <w:rPr>
                <w:sz w:val="20"/>
                <w:szCs w:val="20"/>
                <w:color w:val="auto"/>
              </w:rPr>
            </w:pPr>
            <w:r>
              <w:rPr>
                <w:rFonts w:ascii="Arial" w:cs="Arial" w:eastAsia="Arial" w:hAnsi="Arial"/>
                <w:sz w:val="14"/>
                <w:szCs w:val="14"/>
                <w:color w:val="FFFFFF"/>
              </w:rPr>
              <w:t>Type</w:t>
            </w:r>
          </w:p>
        </w:tc>
        <w:tc>
          <w:tcPr>
            <w:tcW w:w="3720" w:type="dxa"/>
            <w:vAlign w:val="bottom"/>
            <w:tcBorders>
              <w:right w:val="single" w:sz="8" w:color="auto"/>
            </w:tcBorders>
            <w:vMerge w:val="continue"/>
            <w:shd w:val="clear" w:color="auto" w:fill="A0A0A0"/>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60" w:type="dxa"/>
            <w:vAlign w:val="bottom"/>
            <w:tcBorders>
              <w:left w:val="single" w:sz="8" w:color="auto"/>
              <w:right w:val="single" w:sz="8" w:color="auto"/>
            </w:tcBorders>
            <w:shd w:val="clear" w:color="auto" w:fill="A0A0A0"/>
          </w:tcPr>
          <w:p>
            <w:pPr>
              <w:spacing w:after="0"/>
              <w:rPr>
                <w:sz w:val="8"/>
                <w:szCs w:val="8"/>
                <w:color w:val="auto"/>
              </w:rPr>
            </w:pPr>
          </w:p>
        </w:tc>
        <w:tc>
          <w:tcPr>
            <w:tcW w:w="700" w:type="dxa"/>
            <w:vAlign w:val="bottom"/>
            <w:tcBorders>
              <w:right w:val="single" w:sz="8" w:color="auto"/>
            </w:tcBorders>
            <w:vMerge w:val="restart"/>
            <w:shd w:val="clear" w:color="auto" w:fill="A0A0A0"/>
          </w:tcPr>
          <w:p>
            <w:pPr>
              <w:ind w:left="200"/>
              <w:spacing w:after="0"/>
              <w:rPr>
                <w:sz w:val="20"/>
                <w:szCs w:val="20"/>
                <w:color w:val="auto"/>
              </w:rPr>
            </w:pPr>
            <w:r>
              <w:rPr>
                <w:rFonts w:ascii="Arial" w:cs="Arial" w:eastAsia="Arial" w:hAnsi="Arial"/>
                <w:sz w:val="14"/>
                <w:szCs w:val="14"/>
                <w:color w:val="FFFFFF"/>
              </w:rPr>
              <w:t>Type</w:t>
            </w:r>
          </w:p>
        </w:tc>
        <w:tc>
          <w:tcPr>
            <w:tcW w:w="900" w:type="dxa"/>
            <w:vAlign w:val="bottom"/>
            <w:tcBorders>
              <w:right w:val="single" w:sz="8" w:color="auto"/>
            </w:tcBorders>
            <w:vMerge w:val="restart"/>
            <w:shd w:val="clear" w:color="auto" w:fill="A0A0A0"/>
          </w:tcPr>
          <w:p>
            <w:pPr>
              <w:ind w:left="300"/>
              <w:spacing w:after="0"/>
              <w:rPr>
                <w:sz w:val="20"/>
                <w:szCs w:val="20"/>
                <w:color w:val="auto"/>
              </w:rPr>
            </w:pPr>
            <w:r>
              <w:rPr>
                <w:rFonts w:ascii="Arial" w:cs="Arial" w:eastAsia="Arial" w:hAnsi="Arial"/>
                <w:sz w:val="14"/>
                <w:szCs w:val="14"/>
                <w:color w:val="FFFFFF"/>
              </w:rPr>
              <w:t>Type</w:t>
            </w:r>
          </w:p>
        </w:tc>
        <w:tc>
          <w:tcPr>
            <w:tcW w:w="1000" w:type="dxa"/>
            <w:vAlign w:val="bottom"/>
            <w:tcBorders>
              <w:right w:val="single" w:sz="8" w:color="auto"/>
            </w:tcBorders>
            <w:vMerge w:val="continue"/>
            <w:shd w:val="clear" w:color="auto" w:fill="A0A0A0"/>
          </w:tcPr>
          <w:p>
            <w:pPr>
              <w:spacing w:after="0"/>
              <w:rPr>
                <w:sz w:val="8"/>
                <w:szCs w:val="8"/>
                <w:color w:val="auto"/>
              </w:rPr>
            </w:pPr>
          </w:p>
        </w:tc>
        <w:tc>
          <w:tcPr>
            <w:tcW w:w="3720" w:type="dxa"/>
            <w:vAlign w:val="bottom"/>
            <w:tcBorders>
              <w:right w:val="single" w:sz="8" w:color="auto"/>
            </w:tcBorders>
            <w:shd w:val="clear" w:color="auto" w:fill="A0A0A0"/>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060" w:type="dxa"/>
            <w:vAlign w:val="bottom"/>
            <w:tcBorders>
              <w:left w:val="single" w:sz="8" w:color="auto"/>
              <w:bottom w:val="single" w:sz="8" w:color="auto"/>
              <w:right w:val="single" w:sz="8" w:color="auto"/>
            </w:tcBorders>
            <w:shd w:val="clear" w:color="auto" w:fill="A0A0A0"/>
          </w:tcPr>
          <w:p>
            <w:pPr>
              <w:spacing w:after="0"/>
              <w:rPr>
                <w:sz w:val="8"/>
                <w:szCs w:val="8"/>
                <w:color w:val="auto"/>
              </w:rPr>
            </w:pPr>
          </w:p>
        </w:tc>
        <w:tc>
          <w:tcPr>
            <w:tcW w:w="700" w:type="dxa"/>
            <w:vAlign w:val="bottom"/>
            <w:tcBorders>
              <w:bottom w:val="single" w:sz="8" w:color="auto"/>
              <w:right w:val="single" w:sz="8" w:color="auto"/>
            </w:tcBorders>
            <w:vMerge w:val="continue"/>
            <w:shd w:val="clear" w:color="auto" w:fill="A0A0A0"/>
          </w:tcPr>
          <w:p>
            <w:pPr>
              <w:spacing w:after="0"/>
              <w:rPr>
                <w:sz w:val="8"/>
                <w:szCs w:val="8"/>
                <w:color w:val="auto"/>
              </w:rPr>
            </w:pPr>
          </w:p>
        </w:tc>
        <w:tc>
          <w:tcPr>
            <w:tcW w:w="900" w:type="dxa"/>
            <w:vAlign w:val="bottom"/>
            <w:tcBorders>
              <w:bottom w:val="single" w:sz="8" w:color="auto"/>
              <w:right w:val="single" w:sz="8" w:color="auto"/>
            </w:tcBorders>
            <w:vMerge w:val="continue"/>
            <w:shd w:val="clear" w:color="auto" w:fill="A0A0A0"/>
          </w:tcPr>
          <w:p>
            <w:pPr>
              <w:spacing w:after="0"/>
              <w:rPr>
                <w:sz w:val="8"/>
                <w:szCs w:val="8"/>
                <w:color w:val="auto"/>
              </w:rPr>
            </w:pPr>
          </w:p>
        </w:tc>
        <w:tc>
          <w:tcPr>
            <w:tcW w:w="1000" w:type="dxa"/>
            <w:vAlign w:val="bottom"/>
            <w:tcBorders>
              <w:bottom w:val="single" w:sz="8" w:color="auto"/>
              <w:right w:val="single" w:sz="8" w:color="auto"/>
            </w:tcBorders>
            <w:shd w:val="clear" w:color="auto" w:fill="A0A0A0"/>
          </w:tcPr>
          <w:p>
            <w:pPr>
              <w:spacing w:after="0"/>
              <w:rPr>
                <w:sz w:val="8"/>
                <w:szCs w:val="8"/>
                <w:color w:val="auto"/>
              </w:rPr>
            </w:pPr>
          </w:p>
        </w:tc>
        <w:tc>
          <w:tcPr>
            <w:tcW w:w="3720" w:type="dxa"/>
            <w:vAlign w:val="bottom"/>
            <w:tcBorders>
              <w:bottom w:val="single" w:sz="8" w:color="auto"/>
              <w:right w:val="single" w:sz="8" w:color="auto"/>
            </w:tcBorders>
            <w:shd w:val="clear" w:color="auto" w:fill="A0A0A0"/>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060" w:type="dxa"/>
            <w:vAlign w:val="bottom"/>
            <w:tcBorders>
              <w:right w:val="single" w:sz="8" w:color="auto"/>
            </w:tcBorders>
          </w:tcPr>
          <w:p>
            <w:pPr>
              <w:ind w:left="120"/>
              <w:spacing w:after="0" w:line="130" w:lineRule="exact"/>
              <w:rPr>
                <w:sz w:val="20"/>
                <w:szCs w:val="20"/>
                <w:color w:val="auto"/>
              </w:rPr>
            </w:pPr>
            <w:r>
              <w:rPr>
                <w:rFonts w:ascii="Arial" w:cs="Arial" w:eastAsia="Arial" w:hAnsi="Arial"/>
                <w:sz w:val="14"/>
                <w:szCs w:val="14"/>
                <w:color w:val="auto"/>
              </w:rPr>
              <w:t>8021360001</w:t>
            </w:r>
          </w:p>
        </w:tc>
        <w:tc>
          <w:tcPr>
            <w:tcW w:w="700" w:type="dxa"/>
            <w:vAlign w:val="bottom"/>
            <w:tcBorders>
              <w:right w:val="single" w:sz="8" w:color="auto"/>
            </w:tcBorders>
          </w:tcPr>
          <w:p>
            <w:pPr>
              <w:ind w:left="100"/>
              <w:spacing w:after="0" w:line="130" w:lineRule="exact"/>
              <w:rPr>
                <w:sz w:val="20"/>
                <w:szCs w:val="20"/>
                <w:color w:val="auto"/>
              </w:rPr>
            </w:pPr>
            <w:r>
              <w:rPr>
                <w:rFonts w:ascii="Arial" w:cs="Arial" w:eastAsia="Arial" w:hAnsi="Arial"/>
                <w:sz w:val="14"/>
                <w:szCs w:val="14"/>
                <w:color w:val="auto"/>
              </w:rPr>
              <w:t>Power</w:t>
            </w:r>
          </w:p>
        </w:tc>
        <w:tc>
          <w:tcPr>
            <w:tcW w:w="900" w:type="dxa"/>
            <w:vAlign w:val="bottom"/>
            <w:tcBorders>
              <w:right w:val="single" w:sz="8" w:color="auto"/>
            </w:tcBorders>
          </w:tcPr>
          <w:p>
            <w:pPr>
              <w:ind w:left="100"/>
              <w:spacing w:after="0" w:line="130" w:lineRule="exact"/>
              <w:rPr>
                <w:sz w:val="20"/>
                <w:szCs w:val="20"/>
                <w:color w:val="auto"/>
              </w:rPr>
            </w:pPr>
            <w:r>
              <w:rPr>
                <w:rFonts w:ascii="Arial" w:cs="Arial" w:eastAsia="Arial" w:hAnsi="Arial"/>
                <w:sz w:val="14"/>
                <w:szCs w:val="14"/>
                <w:color w:val="auto"/>
              </w:rPr>
              <w:t>Bundled</w:t>
            </w:r>
          </w:p>
        </w:tc>
        <w:tc>
          <w:tcPr>
            <w:tcW w:w="100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4"/>
                <w:szCs w:val="14"/>
                <w:color w:val="auto"/>
              </w:rPr>
              <w:t>Remittance</w:t>
            </w:r>
          </w:p>
        </w:tc>
        <w:tc>
          <w:tcPr>
            <w:tcW w:w="372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4"/>
                <w:szCs w:val="14"/>
                <w:color w:val="auto"/>
                <w:w w:val="92"/>
              </w:rPr>
              <w:t>Daily balance of Customer payment netted against any amount</w:t>
            </w:r>
          </w:p>
        </w:tc>
        <w:tc>
          <w:tcPr>
            <w:tcW w:w="0" w:type="dxa"/>
            <w:vAlign w:val="bottom"/>
          </w:tcPr>
          <w:p>
            <w:pPr>
              <w:spacing w:after="0"/>
              <w:rPr>
                <w:sz w:val="1"/>
                <w:szCs w:val="1"/>
                <w:color w:val="auto"/>
              </w:rPr>
            </w:pPr>
          </w:p>
        </w:tc>
      </w:tr>
      <w:tr>
        <w:trPr>
          <w:trHeight w:val="175"/>
        </w:trPr>
        <w:tc>
          <w:tcPr>
            <w:tcW w:w="106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due to SDG&amp;E for Bundled Customers Power Charge</w:t>
            </w:r>
          </w:p>
        </w:tc>
        <w:tc>
          <w:tcPr>
            <w:tcW w:w="0" w:type="dxa"/>
            <w:vAlign w:val="bottom"/>
          </w:tcPr>
          <w:p>
            <w:pPr>
              <w:spacing w:after="0"/>
              <w:rPr>
                <w:sz w:val="1"/>
                <w:szCs w:val="1"/>
                <w:color w:val="auto"/>
              </w:rPr>
            </w:pPr>
          </w:p>
        </w:tc>
      </w:tr>
      <w:tr>
        <w:trPr>
          <w:trHeight w:val="146"/>
        </w:trPr>
        <w:tc>
          <w:tcPr>
            <w:tcW w:w="1060" w:type="dxa"/>
            <w:vAlign w:val="bottom"/>
            <w:tcBorders>
              <w:right w:val="single" w:sz="8" w:color="auto"/>
            </w:tcBorders>
          </w:tcPr>
          <w:p>
            <w:pPr>
              <w:ind w:left="120"/>
              <w:spacing w:after="0" w:line="146" w:lineRule="exact"/>
              <w:rPr>
                <w:sz w:val="20"/>
                <w:szCs w:val="20"/>
                <w:color w:val="auto"/>
              </w:rPr>
            </w:pPr>
            <w:r>
              <w:rPr>
                <w:rFonts w:ascii="Arial" w:cs="Arial" w:eastAsia="Arial" w:hAnsi="Arial"/>
                <w:sz w:val="14"/>
                <w:szCs w:val="14"/>
                <w:color w:val="auto"/>
              </w:rPr>
              <w:t>8021360002</w:t>
            </w:r>
          </w:p>
        </w:tc>
        <w:tc>
          <w:tcPr>
            <w:tcW w:w="7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Power</w:t>
            </w:r>
          </w:p>
        </w:tc>
        <w:tc>
          <w:tcPr>
            <w:tcW w:w="9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DA</w:t>
            </w:r>
          </w:p>
        </w:tc>
        <w:tc>
          <w:tcPr>
            <w:tcW w:w="10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Remittance</w:t>
            </w:r>
          </w:p>
        </w:tc>
        <w:tc>
          <w:tcPr>
            <w:tcW w:w="37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2"/>
              </w:rPr>
              <w:t>Daily balance of Customer payment netted against any amount</w:t>
            </w:r>
          </w:p>
        </w:tc>
        <w:tc>
          <w:tcPr>
            <w:tcW w:w="0" w:type="dxa"/>
            <w:vAlign w:val="bottom"/>
          </w:tcPr>
          <w:p>
            <w:pPr>
              <w:spacing w:after="0"/>
              <w:rPr>
                <w:sz w:val="1"/>
                <w:szCs w:val="1"/>
                <w:color w:val="auto"/>
              </w:rPr>
            </w:pPr>
          </w:p>
        </w:tc>
      </w:tr>
      <w:tr>
        <w:trPr>
          <w:trHeight w:val="175"/>
        </w:trPr>
        <w:tc>
          <w:tcPr>
            <w:tcW w:w="106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due to SDG&amp;E for DA Customers Power Charge</w:t>
            </w:r>
          </w:p>
        </w:tc>
        <w:tc>
          <w:tcPr>
            <w:tcW w:w="0" w:type="dxa"/>
            <w:vAlign w:val="bottom"/>
          </w:tcPr>
          <w:p>
            <w:pPr>
              <w:spacing w:after="0"/>
              <w:rPr>
                <w:sz w:val="1"/>
                <w:szCs w:val="1"/>
                <w:color w:val="auto"/>
              </w:rPr>
            </w:pPr>
          </w:p>
        </w:tc>
      </w:tr>
      <w:tr>
        <w:trPr>
          <w:trHeight w:val="146"/>
        </w:trPr>
        <w:tc>
          <w:tcPr>
            <w:tcW w:w="1060" w:type="dxa"/>
            <w:vAlign w:val="bottom"/>
            <w:tcBorders>
              <w:right w:val="single" w:sz="8" w:color="auto"/>
            </w:tcBorders>
          </w:tcPr>
          <w:p>
            <w:pPr>
              <w:ind w:left="120"/>
              <w:spacing w:after="0" w:line="146" w:lineRule="exact"/>
              <w:rPr>
                <w:sz w:val="20"/>
                <w:szCs w:val="20"/>
                <w:color w:val="auto"/>
              </w:rPr>
            </w:pPr>
            <w:r>
              <w:rPr>
                <w:rFonts w:ascii="Arial" w:cs="Arial" w:eastAsia="Arial" w:hAnsi="Arial"/>
                <w:sz w:val="14"/>
                <w:szCs w:val="14"/>
                <w:color w:val="auto"/>
              </w:rPr>
              <w:t>8021360003</w:t>
            </w:r>
          </w:p>
        </w:tc>
        <w:tc>
          <w:tcPr>
            <w:tcW w:w="7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Power</w:t>
            </w:r>
          </w:p>
        </w:tc>
        <w:tc>
          <w:tcPr>
            <w:tcW w:w="9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CGDL</w:t>
            </w:r>
          </w:p>
        </w:tc>
        <w:tc>
          <w:tcPr>
            <w:tcW w:w="10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Remittance</w:t>
            </w:r>
          </w:p>
        </w:tc>
        <w:tc>
          <w:tcPr>
            <w:tcW w:w="37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2"/>
              </w:rPr>
              <w:t>Daily balance of Customer payment netted against any amount</w:t>
            </w:r>
          </w:p>
        </w:tc>
        <w:tc>
          <w:tcPr>
            <w:tcW w:w="0" w:type="dxa"/>
            <w:vAlign w:val="bottom"/>
          </w:tcPr>
          <w:p>
            <w:pPr>
              <w:spacing w:after="0"/>
              <w:rPr>
                <w:sz w:val="1"/>
                <w:szCs w:val="1"/>
                <w:color w:val="auto"/>
              </w:rPr>
            </w:pPr>
          </w:p>
        </w:tc>
      </w:tr>
      <w:tr>
        <w:trPr>
          <w:trHeight w:val="175"/>
        </w:trPr>
        <w:tc>
          <w:tcPr>
            <w:tcW w:w="106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due to SDG&amp;E for CGDL Power Charge</w:t>
            </w:r>
          </w:p>
        </w:tc>
        <w:tc>
          <w:tcPr>
            <w:tcW w:w="0" w:type="dxa"/>
            <w:vAlign w:val="bottom"/>
          </w:tcPr>
          <w:p>
            <w:pPr>
              <w:spacing w:after="0"/>
              <w:rPr>
                <w:sz w:val="1"/>
                <w:szCs w:val="1"/>
                <w:color w:val="auto"/>
              </w:rPr>
            </w:pPr>
          </w:p>
        </w:tc>
      </w:tr>
      <w:tr>
        <w:trPr>
          <w:trHeight w:val="146"/>
        </w:trPr>
        <w:tc>
          <w:tcPr>
            <w:tcW w:w="1060" w:type="dxa"/>
            <w:vAlign w:val="bottom"/>
            <w:tcBorders>
              <w:right w:val="single" w:sz="8" w:color="auto"/>
            </w:tcBorders>
          </w:tcPr>
          <w:p>
            <w:pPr>
              <w:ind w:left="120"/>
              <w:spacing w:after="0" w:line="146" w:lineRule="exact"/>
              <w:rPr>
                <w:sz w:val="20"/>
                <w:szCs w:val="20"/>
                <w:color w:val="auto"/>
              </w:rPr>
            </w:pPr>
            <w:r>
              <w:rPr>
                <w:rFonts w:ascii="Arial" w:cs="Arial" w:eastAsia="Arial" w:hAnsi="Arial"/>
                <w:sz w:val="14"/>
                <w:szCs w:val="14"/>
                <w:color w:val="auto"/>
              </w:rPr>
              <w:t>8021360004</w:t>
            </w:r>
          </w:p>
        </w:tc>
        <w:tc>
          <w:tcPr>
            <w:tcW w:w="7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Power</w:t>
            </w:r>
          </w:p>
        </w:tc>
        <w:tc>
          <w:tcPr>
            <w:tcW w:w="9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CCA</w:t>
            </w:r>
          </w:p>
        </w:tc>
        <w:tc>
          <w:tcPr>
            <w:tcW w:w="10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Remittance</w:t>
            </w:r>
          </w:p>
        </w:tc>
        <w:tc>
          <w:tcPr>
            <w:tcW w:w="37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2"/>
              </w:rPr>
              <w:t>Daily balance of Customer payment netted against any amount</w:t>
            </w:r>
          </w:p>
        </w:tc>
        <w:tc>
          <w:tcPr>
            <w:tcW w:w="0" w:type="dxa"/>
            <w:vAlign w:val="bottom"/>
          </w:tcPr>
          <w:p>
            <w:pPr>
              <w:spacing w:after="0"/>
              <w:rPr>
                <w:sz w:val="1"/>
                <w:szCs w:val="1"/>
                <w:color w:val="auto"/>
              </w:rPr>
            </w:pPr>
          </w:p>
        </w:tc>
      </w:tr>
      <w:tr>
        <w:trPr>
          <w:trHeight w:val="175"/>
        </w:trPr>
        <w:tc>
          <w:tcPr>
            <w:tcW w:w="106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due to SDG&amp;E for CCA Power Charge</w:t>
            </w:r>
          </w:p>
        </w:tc>
        <w:tc>
          <w:tcPr>
            <w:tcW w:w="0" w:type="dxa"/>
            <w:vAlign w:val="bottom"/>
          </w:tcPr>
          <w:p>
            <w:pPr>
              <w:spacing w:after="0"/>
              <w:rPr>
                <w:sz w:val="1"/>
                <w:szCs w:val="1"/>
                <w:color w:val="auto"/>
              </w:rPr>
            </w:pPr>
          </w:p>
        </w:tc>
      </w:tr>
      <w:tr>
        <w:trPr>
          <w:trHeight w:val="146"/>
        </w:trPr>
        <w:tc>
          <w:tcPr>
            <w:tcW w:w="1060" w:type="dxa"/>
            <w:vAlign w:val="bottom"/>
            <w:tcBorders>
              <w:right w:val="single" w:sz="8" w:color="auto"/>
            </w:tcBorders>
          </w:tcPr>
          <w:p>
            <w:pPr>
              <w:ind w:left="120"/>
              <w:spacing w:after="0" w:line="146" w:lineRule="exact"/>
              <w:rPr>
                <w:sz w:val="20"/>
                <w:szCs w:val="20"/>
                <w:color w:val="auto"/>
              </w:rPr>
            </w:pPr>
            <w:r>
              <w:rPr>
                <w:rFonts w:ascii="Arial" w:cs="Arial" w:eastAsia="Arial" w:hAnsi="Arial"/>
                <w:sz w:val="14"/>
                <w:szCs w:val="14"/>
                <w:color w:val="auto"/>
              </w:rPr>
              <w:t>8021360010</w:t>
            </w:r>
          </w:p>
        </w:tc>
        <w:tc>
          <w:tcPr>
            <w:tcW w:w="7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Power</w:t>
            </w:r>
          </w:p>
        </w:tc>
        <w:tc>
          <w:tcPr>
            <w:tcW w:w="9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MDL</w:t>
            </w:r>
          </w:p>
        </w:tc>
        <w:tc>
          <w:tcPr>
            <w:tcW w:w="10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Remittance</w:t>
            </w:r>
          </w:p>
        </w:tc>
        <w:tc>
          <w:tcPr>
            <w:tcW w:w="37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2"/>
              </w:rPr>
              <w:t>Daily balance of Customer payment netted against any amount</w:t>
            </w:r>
          </w:p>
        </w:tc>
        <w:tc>
          <w:tcPr>
            <w:tcW w:w="0" w:type="dxa"/>
            <w:vAlign w:val="bottom"/>
          </w:tcPr>
          <w:p>
            <w:pPr>
              <w:spacing w:after="0"/>
              <w:rPr>
                <w:sz w:val="1"/>
                <w:szCs w:val="1"/>
                <w:color w:val="auto"/>
              </w:rPr>
            </w:pPr>
          </w:p>
        </w:tc>
      </w:tr>
      <w:tr>
        <w:trPr>
          <w:trHeight w:val="175"/>
        </w:trPr>
        <w:tc>
          <w:tcPr>
            <w:tcW w:w="106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due to SDG&amp;E for MDL Power Charge</w:t>
            </w:r>
          </w:p>
        </w:tc>
        <w:tc>
          <w:tcPr>
            <w:tcW w:w="0" w:type="dxa"/>
            <w:vAlign w:val="bottom"/>
          </w:tcPr>
          <w:p>
            <w:pPr>
              <w:spacing w:after="0"/>
              <w:rPr>
                <w:sz w:val="1"/>
                <w:szCs w:val="1"/>
                <w:color w:val="auto"/>
              </w:rPr>
            </w:pPr>
          </w:p>
        </w:tc>
      </w:tr>
      <w:tr>
        <w:trPr>
          <w:trHeight w:val="158"/>
        </w:trPr>
        <w:tc>
          <w:tcPr>
            <w:tcW w:w="1060" w:type="dxa"/>
            <w:vAlign w:val="bottom"/>
            <w:tcBorders>
              <w:right w:val="single" w:sz="8" w:color="auto"/>
            </w:tcBorders>
          </w:tcPr>
          <w:p>
            <w:pPr>
              <w:ind w:left="120"/>
              <w:spacing w:after="0" w:line="158" w:lineRule="exact"/>
              <w:rPr>
                <w:sz w:val="20"/>
                <w:szCs w:val="20"/>
                <w:color w:val="auto"/>
              </w:rPr>
            </w:pPr>
            <w:r>
              <w:rPr>
                <w:rFonts w:ascii="Arial" w:cs="Arial" w:eastAsia="Arial" w:hAnsi="Arial"/>
                <w:sz w:val="14"/>
                <w:szCs w:val="14"/>
                <w:color w:val="auto"/>
              </w:rPr>
              <w:t>8021360001</w:t>
            </w:r>
          </w:p>
        </w:tc>
        <w:tc>
          <w:tcPr>
            <w:tcW w:w="700" w:type="dxa"/>
            <w:vAlign w:val="bottom"/>
            <w:tcBorders>
              <w:right w:val="single" w:sz="8" w:color="auto"/>
            </w:tcBorders>
          </w:tcPr>
          <w:p>
            <w:pPr>
              <w:ind w:left="100"/>
              <w:spacing w:after="0" w:line="158" w:lineRule="exact"/>
              <w:rPr>
                <w:sz w:val="20"/>
                <w:szCs w:val="20"/>
                <w:color w:val="auto"/>
              </w:rPr>
            </w:pPr>
            <w:r>
              <w:rPr>
                <w:rFonts w:ascii="Arial" w:cs="Arial" w:eastAsia="Arial" w:hAnsi="Arial"/>
                <w:sz w:val="14"/>
                <w:szCs w:val="14"/>
                <w:color w:val="auto"/>
              </w:rPr>
              <w:t>Power</w:t>
            </w:r>
          </w:p>
        </w:tc>
        <w:tc>
          <w:tcPr>
            <w:tcW w:w="900" w:type="dxa"/>
            <w:vAlign w:val="bottom"/>
            <w:tcBorders>
              <w:right w:val="single" w:sz="8" w:color="auto"/>
            </w:tcBorders>
          </w:tcPr>
          <w:p>
            <w:pPr>
              <w:ind w:left="100"/>
              <w:spacing w:after="0" w:line="158" w:lineRule="exact"/>
              <w:rPr>
                <w:sz w:val="20"/>
                <w:szCs w:val="20"/>
                <w:color w:val="auto"/>
              </w:rPr>
            </w:pPr>
            <w:r>
              <w:rPr>
                <w:rFonts w:ascii="Arial" w:cs="Arial" w:eastAsia="Arial" w:hAnsi="Arial"/>
                <w:sz w:val="14"/>
                <w:szCs w:val="14"/>
                <w:color w:val="auto"/>
              </w:rPr>
              <w:t>Bundled</w:t>
            </w:r>
          </w:p>
        </w:tc>
        <w:tc>
          <w:tcPr>
            <w:tcW w:w="1000" w:type="dxa"/>
            <w:vAlign w:val="bottom"/>
            <w:tcBorders>
              <w:right w:val="single" w:sz="8" w:color="auto"/>
            </w:tcBorders>
          </w:tcPr>
          <w:p>
            <w:pPr>
              <w:ind w:left="80"/>
              <w:spacing w:after="0" w:line="158" w:lineRule="exact"/>
              <w:rPr>
                <w:sz w:val="20"/>
                <w:szCs w:val="20"/>
                <w:color w:val="auto"/>
              </w:rPr>
            </w:pPr>
            <w:r>
              <w:rPr>
                <w:rFonts w:ascii="Arial" w:cs="Arial" w:eastAsia="Arial" w:hAnsi="Arial"/>
                <w:sz w:val="14"/>
                <w:szCs w:val="14"/>
                <w:color w:val="auto"/>
              </w:rPr>
              <w:t>Late Payment</w:t>
            </w:r>
          </w:p>
        </w:tc>
        <w:tc>
          <w:tcPr>
            <w:tcW w:w="3720" w:type="dxa"/>
            <w:vAlign w:val="bottom"/>
            <w:tcBorders>
              <w:right w:val="single" w:sz="8" w:color="auto"/>
            </w:tcBorders>
          </w:tcPr>
          <w:p>
            <w:pPr>
              <w:ind w:left="80"/>
              <w:spacing w:after="0" w:line="158" w:lineRule="exact"/>
              <w:rPr>
                <w:sz w:val="20"/>
                <w:szCs w:val="20"/>
                <w:color w:val="auto"/>
              </w:rPr>
            </w:pPr>
            <w:r>
              <w:rPr>
                <w:rFonts w:ascii="Arial" w:cs="Arial" w:eastAsia="Arial" w:hAnsi="Arial"/>
                <w:sz w:val="14"/>
                <w:szCs w:val="14"/>
                <w:color w:val="auto"/>
                <w:w w:val="93"/>
              </w:rPr>
              <w:t>Daily balance of late payment charges on Bundled Customers</w:t>
            </w:r>
          </w:p>
        </w:tc>
        <w:tc>
          <w:tcPr>
            <w:tcW w:w="0" w:type="dxa"/>
            <w:vAlign w:val="bottom"/>
          </w:tcPr>
          <w:p>
            <w:pPr>
              <w:spacing w:after="0"/>
              <w:rPr>
                <w:sz w:val="1"/>
                <w:szCs w:val="1"/>
                <w:color w:val="auto"/>
              </w:rPr>
            </w:pPr>
          </w:p>
        </w:tc>
      </w:tr>
    </w:tbl>
    <w:p>
      <w:pPr>
        <w:sectPr>
          <w:pgSz w:w="11900" w:h="16900" w:orient="portrait"/>
          <w:cols w:equalWidth="0" w:num="1">
            <w:col w:w="11460"/>
          </w:cols>
          <w:pgMar w:left="220" w:top="118" w:right="219" w:bottom="0" w:gutter="0" w:footer="0" w:header="0"/>
        </w:sectPr>
      </w:pPr>
    </w:p>
    <w:bookmarkStart w:id="137" w:name="page138"/>
    <w:bookmarkEnd w:id="13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5"/>
        </w:trPr>
        <w:tc>
          <w:tcPr>
            <w:tcW w:w="106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Charge</w:t>
            </w: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Power Charge</w:t>
            </w:r>
          </w:p>
        </w:tc>
      </w:tr>
      <w:tr>
        <w:trPr>
          <w:trHeight w:val="145"/>
        </w:trPr>
        <w:tc>
          <w:tcPr>
            <w:tcW w:w="1060" w:type="dxa"/>
            <w:vAlign w:val="bottom"/>
            <w:tcBorders>
              <w:left w:val="single" w:sz="8" w:color="auto"/>
              <w:right w:val="single" w:sz="8" w:color="auto"/>
            </w:tcBorders>
          </w:tcPr>
          <w:p>
            <w:pPr>
              <w:jc w:val="right"/>
              <w:ind w:right="191"/>
              <w:spacing w:after="0" w:line="145" w:lineRule="exact"/>
              <w:rPr>
                <w:sz w:val="20"/>
                <w:szCs w:val="20"/>
                <w:color w:val="auto"/>
              </w:rPr>
            </w:pPr>
            <w:r>
              <w:rPr>
                <w:rFonts w:ascii="Arial" w:cs="Arial" w:eastAsia="Arial" w:hAnsi="Arial"/>
                <w:sz w:val="14"/>
                <w:szCs w:val="14"/>
                <w:color w:val="auto"/>
              </w:rPr>
              <w:t>8021360002</w:t>
            </w:r>
          </w:p>
        </w:tc>
        <w:tc>
          <w:tcPr>
            <w:tcW w:w="70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Power</w:t>
            </w:r>
          </w:p>
        </w:tc>
        <w:tc>
          <w:tcPr>
            <w:tcW w:w="90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DA</w:t>
            </w:r>
          </w:p>
        </w:tc>
        <w:tc>
          <w:tcPr>
            <w:tcW w:w="10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Late Payment</w:t>
            </w:r>
          </w:p>
        </w:tc>
        <w:tc>
          <w:tcPr>
            <w:tcW w:w="372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Daily balance of late payment charges on DA Customers</w:t>
            </w:r>
          </w:p>
        </w:tc>
      </w:tr>
      <w:tr>
        <w:trPr>
          <w:trHeight w:val="175"/>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Charge</w:t>
            </w: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Power Charge</w:t>
            </w:r>
          </w:p>
        </w:tc>
      </w:tr>
      <w:tr>
        <w:trPr>
          <w:trHeight w:val="146"/>
        </w:trPr>
        <w:tc>
          <w:tcPr>
            <w:tcW w:w="1060" w:type="dxa"/>
            <w:vAlign w:val="bottom"/>
            <w:tcBorders>
              <w:left w:val="single" w:sz="8" w:color="auto"/>
              <w:right w:val="single" w:sz="8" w:color="auto"/>
            </w:tcBorders>
          </w:tcPr>
          <w:p>
            <w:pPr>
              <w:jc w:val="right"/>
              <w:ind w:right="191"/>
              <w:spacing w:after="0" w:line="146" w:lineRule="exact"/>
              <w:rPr>
                <w:sz w:val="20"/>
                <w:szCs w:val="20"/>
                <w:color w:val="auto"/>
              </w:rPr>
            </w:pPr>
            <w:r>
              <w:rPr>
                <w:rFonts w:ascii="Arial" w:cs="Arial" w:eastAsia="Arial" w:hAnsi="Arial"/>
                <w:sz w:val="14"/>
                <w:szCs w:val="14"/>
                <w:color w:val="auto"/>
              </w:rPr>
              <w:t>8021360003</w:t>
            </w:r>
          </w:p>
        </w:tc>
        <w:tc>
          <w:tcPr>
            <w:tcW w:w="7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Power</w:t>
            </w:r>
          </w:p>
        </w:tc>
        <w:tc>
          <w:tcPr>
            <w:tcW w:w="9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CGDL</w:t>
            </w:r>
          </w:p>
        </w:tc>
        <w:tc>
          <w:tcPr>
            <w:tcW w:w="10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Late Payment</w:t>
            </w:r>
          </w:p>
        </w:tc>
        <w:tc>
          <w:tcPr>
            <w:tcW w:w="37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6"/>
              </w:rPr>
              <w:t>Daily balance of late payment charges on CGDL Customers</w:t>
            </w:r>
          </w:p>
        </w:tc>
      </w:tr>
      <w:tr>
        <w:trPr>
          <w:trHeight w:val="175"/>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Charge</w:t>
            </w: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Power Charge</w:t>
            </w:r>
          </w:p>
        </w:tc>
      </w:tr>
      <w:tr>
        <w:trPr>
          <w:trHeight w:val="146"/>
        </w:trPr>
        <w:tc>
          <w:tcPr>
            <w:tcW w:w="1060" w:type="dxa"/>
            <w:vAlign w:val="bottom"/>
            <w:tcBorders>
              <w:left w:val="single" w:sz="8" w:color="auto"/>
              <w:right w:val="single" w:sz="8" w:color="auto"/>
            </w:tcBorders>
          </w:tcPr>
          <w:p>
            <w:pPr>
              <w:jc w:val="right"/>
              <w:ind w:right="191"/>
              <w:spacing w:after="0" w:line="146" w:lineRule="exact"/>
              <w:rPr>
                <w:sz w:val="20"/>
                <w:szCs w:val="20"/>
                <w:color w:val="auto"/>
              </w:rPr>
            </w:pPr>
            <w:r>
              <w:rPr>
                <w:rFonts w:ascii="Arial" w:cs="Arial" w:eastAsia="Arial" w:hAnsi="Arial"/>
                <w:sz w:val="14"/>
                <w:szCs w:val="14"/>
                <w:color w:val="auto"/>
              </w:rPr>
              <w:t>8021360004</w:t>
            </w:r>
          </w:p>
        </w:tc>
        <w:tc>
          <w:tcPr>
            <w:tcW w:w="7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Power</w:t>
            </w:r>
          </w:p>
        </w:tc>
        <w:tc>
          <w:tcPr>
            <w:tcW w:w="9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CCA</w:t>
            </w:r>
          </w:p>
        </w:tc>
        <w:tc>
          <w:tcPr>
            <w:tcW w:w="10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Late Payment</w:t>
            </w:r>
          </w:p>
        </w:tc>
        <w:tc>
          <w:tcPr>
            <w:tcW w:w="37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9"/>
              </w:rPr>
              <w:t>Daily balance of late payment charges on CCA Customers</w:t>
            </w:r>
          </w:p>
        </w:tc>
      </w:tr>
      <w:tr>
        <w:trPr>
          <w:trHeight w:val="175"/>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Charge</w:t>
            </w: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Power Charge</w:t>
            </w:r>
          </w:p>
        </w:tc>
      </w:tr>
      <w:tr>
        <w:trPr>
          <w:trHeight w:val="146"/>
        </w:trPr>
        <w:tc>
          <w:tcPr>
            <w:tcW w:w="1060" w:type="dxa"/>
            <w:vAlign w:val="bottom"/>
            <w:tcBorders>
              <w:left w:val="single" w:sz="8" w:color="auto"/>
              <w:right w:val="single" w:sz="8" w:color="auto"/>
            </w:tcBorders>
          </w:tcPr>
          <w:p>
            <w:pPr>
              <w:jc w:val="right"/>
              <w:ind w:right="191"/>
              <w:spacing w:after="0" w:line="146" w:lineRule="exact"/>
              <w:rPr>
                <w:sz w:val="20"/>
                <w:szCs w:val="20"/>
                <w:color w:val="auto"/>
              </w:rPr>
            </w:pPr>
            <w:r>
              <w:rPr>
                <w:rFonts w:ascii="Arial" w:cs="Arial" w:eastAsia="Arial" w:hAnsi="Arial"/>
                <w:sz w:val="14"/>
                <w:szCs w:val="14"/>
                <w:color w:val="auto"/>
              </w:rPr>
              <w:t>8021360010</w:t>
            </w:r>
          </w:p>
        </w:tc>
        <w:tc>
          <w:tcPr>
            <w:tcW w:w="7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Power</w:t>
            </w:r>
          </w:p>
        </w:tc>
        <w:tc>
          <w:tcPr>
            <w:tcW w:w="9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MDL</w:t>
            </w:r>
          </w:p>
        </w:tc>
        <w:tc>
          <w:tcPr>
            <w:tcW w:w="10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Late Payment</w:t>
            </w:r>
          </w:p>
        </w:tc>
        <w:tc>
          <w:tcPr>
            <w:tcW w:w="37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9"/>
              </w:rPr>
              <w:t>Daily balance of late payment charges on MDL Customers</w:t>
            </w:r>
          </w:p>
        </w:tc>
      </w:tr>
      <w:tr>
        <w:trPr>
          <w:trHeight w:val="175"/>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Charge</w:t>
            </w: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Power Charge</w:t>
            </w:r>
          </w:p>
        </w:tc>
      </w:tr>
      <w:tr>
        <w:trPr>
          <w:trHeight w:val="146"/>
        </w:trPr>
        <w:tc>
          <w:tcPr>
            <w:tcW w:w="1060" w:type="dxa"/>
            <w:vAlign w:val="bottom"/>
            <w:tcBorders>
              <w:left w:val="single" w:sz="8" w:color="auto"/>
              <w:right w:val="single" w:sz="8" w:color="auto"/>
            </w:tcBorders>
          </w:tcPr>
          <w:p>
            <w:pPr>
              <w:jc w:val="right"/>
              <w:ind w:right="191"/>
              <w:spacing w:after="0" w:line="146" w:lineRule="exact"/>
              <w:rPr>
                <w:sz w:val="20"/>
                <w:szCs w:val="20"/>
                <w:color w:val="auto"/>
              </w:rPr>
            </w:pPr>
            <w:r>
              <w:rPr>
                <w:rFonts w:ascii="Arial" w:cs="Arial" w:eastAsia="Arial" w:hAnsi="Arial"/>
                <w:sz w:val="14"/>
                <w:szCs w:val="14"/>
                <w:color w:val="auto"/>
              </w:rPr>
              <w:t>8021360001</w:t>
            </w:r>
          </w:p>
        </w:tc>
        <w:tc>
          <w:tcPr>
            <w:tcW w:w="7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Power</w:t>
            </w:r>
          </w:p>
        </w:tc>
        <w:tc>
          <w:tcPr>
            <w:tcW w:w="9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Bundled</w:t>
            </w:r>
          </w:p>
        </w:tc>
        <w:tc>
          <w:tcPr>
            <w:tcW w:w="10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Charge-off</w:t>
            </w:r>
          </w:p>
        </w:tc>
        <w:tc>
          <w:tcPr>
            <w:tcW w:w="37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4"/>
              </w:rPr>
              <w:t>Daily balance of recovered charge-off on Bundled Customers</w:t>
            </w:r>
          </w:p>
        </w:tc>
      </w:tr>
      <w:tr>
        <w:trPr>
          <w:trHeight w:val="175"/>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Recovery</w:t>
            </w: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Power Charge</w:t>
            </w:r>
          </w:p>
        </w:tc>
      </w:tr>
      <w:tr>
        <w:trPr>
          <w:trHeight w:val="146"/>
        </w:trPr>
        <w:tc>
          <w:tcPr>
            <w:tcW w:w="1060" w:type="dxa"/>
            <w:vAlign w:val="bottom"/>
            <w:tcBorders>
              <w:left w:val="single" w:sz="8" w:color="auto"/>
              <w:right w:val="single" w:sz="8" w:color="auto"/>
            </w:tcBorders>
          </w:tcPr>
          <w:p>
            <w:pPr>
              <w:jc w:val="right"/>
              <w:ind w:right="191"/>
              <w:spacing w:after="0" w:line="146" w:lineRule="exact"/>
              <w:rPr>
                <w:sz w:val="20"/>
                <w:szCs w:val="20"/>
                <w:color w:val="auto"/>
              </w:rPr>
            </w:pPr>
            <w:r>
              <w:rPr>
                <w:rFonts w:ascii="Arial" w:cs="Arial" w:eastAsia="Arial" w:hAnsi="Arial"/>
                <w:sz w:val="14"/>
                <w:szCs w:val="14"/>
                <w:color w:val="auto"/>
              </w:rPr>
              <w:t>8021360002</w:t>
            </w:r>
          </w:p>
        </w:tc>
        <w:tc>
          <w:tcPr>
            <w:tcW w:w="7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Power</w:t>
            </w:r>
          </w:p>
        </w:tc>
        <w:tc>
          <w:tcPr>
            <w:tcW w:w="9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DA</w:t>
            </w:r>
          </w:p>
        </w:tc>
        <w:tc>
          <w:tcPr>
            <w:tcW w:w="10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Charge-off</w:t>
            </w:r>
          </w:p>
        </w:tc>
        <w:tc>
          <w:tcPr>
            <w:tcW w:w="37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2"/>
              </w:rPr>
              <w:t>Daily balance of recovered charge-off on DA Customers Power</w:t>
            </w:r>
          </w:p>
        </w:tc>
      </w:tr>
      <w:tr>
        <w:trPr>
          <w:trHeight w:val="175"/>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Recovery</w:t>
            </w: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Charge</w:t>
            </w:r>
          </w:p>
        </w:tc>
      </w:tr>
      <w:tr>
        <w:trPr>
          <w:trHeight w:val="146"/>
        </w:trPr>
        <w:tc>
          <w:tcPr>
            <w:tcW w:w="1060" w:type="dxa"/>
            <w:vAlign w:val="bottom"/>
            <w:tcBorders>
              <w:left w:val="single" w:sz="8" w:color="auto"/>
              <w:right w:val="single" w:sz="8" w:color="auto"/>
            </w:tcBorders>
          </w:tcPr>
          <w:p>
            <w:pPr>
              <w:jc w:val="right"/>
              <w:ind w:right="191"/>
              <w:spacing w:after="0" w:line="146" w:lineRule="exact"/>
              <w:rPr>
                <w:sz w:val="20"/>
                <w:szCs w:val="20"/>
                <w:color w:val="auto"/>
              </w:rPr>
            </w:pPr>
            <w:r>
              <w:rPr>
                <w:rFonts w:ascii="Arial" w:cs="Arial" w:eastAsia="Arial" w:hAnsi="Arial"/>
                <w:sz w:val="14"/>
                <w:szCs w:val="14"/>
                <w:color w:val="auto"/>
              </w:rPr>
              <w:t>8021360003</w:t>
            </w:r>
          </w:p>
        </w:tc>
        <w:tc>
          <w:tcPr>
            <w:tcW w:w="7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Power</w:t>
            </w:r>
          </w:p>
        </w:tc>
        <w:tc>
          <w:tcPr>
            <w:tcW w:w="9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CGDL</w:t>
            </w:r>
          </w:p>
        </w:tc>
        <w:tc>
          <w:tcPr>
            <w:tcW w:w="10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Charge-off</w:t>
            </w:r>
          </w:p>
        </w:tc>
        <w:tc>
          <w:tcPr>
            <w:tcW w:w="37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2"/>
              </w:rPr>
              <w:t>Daily balance of recovered charge-off on CGDL Power Charge</w:t>
            </w:r>
          </w:p>
        </w:tc>
      </w:tr>
      <w:tr>
        <w:trPr>
          <w:trHeight w:val="175"/>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Recovery</w:t>
            </w:r>
          </w:p>
        </w:tc>
        <w:tc>
          <w:tcPr>
            <w:tcW w:w="3720" w:type="dxa"/>
            <w:vAlign w:val="bottom"/>
            <w:tcBorders>
              <w:bottom w:val="single" w:sz="8" w:color="auto"/>
              <w:right w:val="single" w:sz="8" w:color="auto"/>
            </w:tcBorders>
          </w:tcPr>
          <w:p>
            <w:pPr>
              <w:spacing w:after="0"/>
              <w:rPr>
                <w:sz w:val="15"/>
                <w:szCs w:val="15"/>
                <w:color w:val="auto"/>
              </w:rPr>
            </w:pPr>
          </w:p>
        </w:tc>
      </w:tr>
      <w:tr>
        <w:trPr>
          <w:trHeight w:val="146"/>
        </w:trPr>
        <w:tc>
          <w:tcPr>
            <w:tcW w:w="1060" w:type="dxa"/>
            <w:vAlign w:val="bottom"/>
            <w:tcBorders>
              <w:left w:val="single" w:sz="8" w:color="auto"/>
              <w:right w:val="single" w:sz="8" w:color="auto"/>
            </w:tcBorders>
          </w:tcPr>
          <w:p>
            <w:pPr>
              <w:jc w:val="right"/>
              <w:ind w:right="191"/>
              <w:spacing w:after="0" w:line="146" w:lineRule="exact"/>
              <w:rPr>
                <w:sz w:val="20"/>
                <w:szCs w:val="20"/>
                <w:color w:val="auto"/>
              </w:rPr>
            </w:pPr>
            <w:r>
              <w:rPr>
                <w:rFonts w:ascii="Arial" w:cs="Arial" w:eastAsia="Arial" w:hAnsi="Arial"/>
                <w:sz w:val="14"/>
                <w:szCs w:val="14"/>
                <w:color w:val="auto"/>
              </w:rPr>
              <w:t>8021360004</w:t>
            </w:r>
          </w:p>
        </w:tc>
        <w:tc>
          <w:tcPr>
            <w:tcW w:w="7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Power</w:t>
            </w:r>
          </w:p>
        </w:tc>
        <w:tc>
          <w:tcPr>
            <w:tcW w:w="9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CCA</w:t>
            </w:r>
          </w:p>
        </w:tc>
        <w:tc>
          <w:tcPr>
            <w:tcW w:w="10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Charge-off</w:t>
            </w:r>
          </w:p>
        </w:tc>
        <w:tc>
          <w:tcPr>
            <w:tcW w:w="37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4"/>
              </w:rPr>
              <w:t>Daily balance of recovered charge-off on CCA Power Charge</w:t>
            </w:r>
          </w:p>
        </w:tc>
      </w:tr>
      <w:tr>
        <w:trPr>
          <w:trHeight w:val="175"/>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Recovery</w:t>
            </w:r>
          </w:p>
        </w:tc>
        <w:tc>
          <w:tcPr>
            <w:tcW w:w="3720" w:type="dxa"/>
            <w:vAlign w:val="bottom"/>
            <w:tcBorders>
              <w:bottom w:val="single" w:sz="8" w:color="auto"/>
              <w:right w:val="single" w:sz="8" w:color="auto"/>
            </w:tcBorders>
          </w:tcPr>
          <w:p>
            <w:pPr>
              <w:spacing w:after="0"/>
              <w:rPr>
                <w:sz w:val="15"/>
                <w:szCs w:val="15"/>
                <w:color w:val="auto"/>
              </w:rPr>
            </w:pPr>
          </w:p>
        </w:tc>
      </w:tr>
      <w:tr>
        <w:trPr>
          <w:trHeight w:val="146"/>
        </w:trPr>
        <w:tc>
          <w:tcPr>
            <w:tcW w:w="1060" w:type="dxa"/>
            <w:vAlign w:val="bottom"/>
            <w:tcBorders>
              <w:left w:val="single" w:sz="8" w:color="auto"/>
              <w:right w:val="single" w:sz="8" w:color="auto"/>
            </w:tcBorders>
          </w:tcPr>
          <w:p>
            <w:pPr>
              <w:jc w:val="right"/>
              <w:ind w:right="191"/>
              <w:spacing w:after="0" w:line="146" w:lineRule="exact"/>
              <w:rPr>
                <w:sz w:val="20"/>
                <w:szCs w:val="20"/>
                <w:color w:val="auto"/>
              </w:rPr>
            </w:pPr>
            <w:r>
              <w:rPr>
                <w:rFonts w:ascii="Arial" w:cs="Arial" w:eastAsia="Arial" w:hAnsi="Arial"/>
                <w:sz w:val="14"/>
                <w:szCs w:val="14"/>
                <w:color w:val="auto"/>
              </w:rPr>
              <w:t>8021360010</w:t>
            </w:r>
          </w:p>
        </w:tc>
        <w:tc>
          <w:tcPr>
            <w:tcW w:w="7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Power</w:t>
            </w:r>
          </w:p>
        </w:tc>
        <w:tc>
          <w:tcPr>
            <w:tcW w:w="9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MDL</w:t>
            </w:r>
          </w:p>
        </w:tc>
        <w:tc>
          <w:tcPr>
            <w:tcW w:w="10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Charge-off</w:t>
            </w:r>
          </w:p>
        </w:tc>
        <w:tc>
          <w:tcPr>
            <w:tcW w:w="37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4"/>
              </w:rPr>
              <w:t>Daily balance of recovered charge-off on MDL Power Charge</w:t>
            </w:r>
          </w:p>
        </w:tc>
      </w:tr>
      <w:tr>
        <w:trPr>
          <w:trHeight w:val="175"/>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Recovery</w:t>
            </w:r>
          </w:p>
        </w:tc>
        <w:tc>
          <w:tcPr>
            <w:tcW w:w="3720" w:type="dxa"/>
            <w:vAlign w:val="bottom"/>
            <w:tcBorders>
              <w:bottom w:val="single" w:sz="8" w:color="auto"/>
              <w:right w:val="single" w:sz="8" w:color="auto"/>
            </w:tcBorders>
          </w:tcPr>
          <w:p>
            <w:pPr>
              <w:spacing w:after="0"/>
              <w:rPr>
                <w:sz w:val="15"/>
                <w:szCs w:val="15"/>
                <w:color w:val="auto"/>
              </w:rPr>
            </w:pPr>
          </w:p>
        </w:tc>
      </w:tr>
      <w:tr>
        <w:trPr>
          <w:trHeight w:val="146"/>
        </w:trPr>
        <w:tc>
          <w:tcPr>
            <w:tcW w:w="1060" w:type="dxa"/>
            <w:vAlign w:val="bottom"/>
            <w:tcBorders>
              <w:left w:val="single" w:sz="8" w:color="auto"/>
              <w:right w:val="single" w:sz="8" w:color="auto"/>
            </w:tcBorders>
          </w:tcPr>
          <w:p>
            <w:pPr>
              <w:jc w:val="right"/>
              <w:ind w:right="191"/>
              <w:spacing w:after="0" w:line="146" w:lineRule="exact"/>
              <w:rPr>
                <w:sz w:val="20"/>
                <w:szCs w:val="20"/>
                <w:color w:val="auto"/>
              </w:rPr>
            </w:pPr>
            <w:r>
              <w:rPr>
                <w:rFonts w:ascii="Arial" w:cs="Arial" w:eastAsia="Arial" w:hAnsi="Arial"/>
                <w:sz w:val="14"/>
                <w:szCs w:val="14"/>
                <w:color w:val="auto"/>
              </w:rPr>
              <w:t>8059000000</w:t>
            </w:r>
          </w:p>
        </w:tc>
        <w:tc>
          <w:tcPr>
            <w:tcW w:w="7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Bond</w:t>
            </w:r>
          </w:p>
        </w:tc>
        <w:tc>
          <w:tcPr>
            <w:tcW w:w="9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Bundled</w:t>
            </w:r>
          </w:p>
        </w:tc>
        <w:tc>
          <w:tcPr>
            <w:tcW w:w="10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Remittance</w:t>
            </w:r>
          </w:p>
        </w:tc>
        <w:tc>
          <w:tcPr>
            <w:tcW w:w="37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2"/>
              </w:rPr>
              <w:t>Daily balance of Customer payment netted against any amount</w:t>
            </w:r>
          </w:p>
        </w:tc>
      </w:tr>
      <w:tr>
        <w:trPr>
          <w:trHeight w:val="175"/>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due to SDG&amp;E for Bundled Customers Bond Charge</w:t>
            </w:r>
          </w:p>
        </w:tc>
      </w:tr>
      <w:tr>
        <w:trPr>
          <w:trHeight w:val="146"/>
        </w:trPr>
        <w:tc>
          <w:tcPr>
            <w:tcW w:w="1060" w:type="dxa"/>
            <w:vAlign w:val="bottom"/>
            <w:tcBorders>
              <w:left w:val="single" w:sz="8" w:color="auto"/>
              <w:right w:val="single" w:sz="8" w:color="auto"/>
            </w:tcBorders>
          </w:tcPr>
          <w:p>
            <w:pPr>
              <w:jc w:val="right"/>
              <w:ind w:right="191"/>
              <w:spacing w:after="0" w:line="146" w:lineRule="exact"/>
              <w:rPr>
                <w:sz w:val="20"/>
                <w:szCs w:val="20"/>
                <w:color w:val="auto"/>
              </w:rPr>
            </w:pPr>
            <w:r>
              <w:rPr>
                <w:rFonts w:ascii="Arial" w:cs="Arial" w:eastAsia="Arial" w:hAnsi="Arial"/>
                <w:sz w:val="14"/>
                <w:szCs w:val="14"/>
                <w:color w:val="auto"/>
              </w:rPr>
              <w:t>8059000001</w:t>
            </w:r>
          </w:p>
        </w:tc>
        <w:tc>
          <w:tcPr>
            <w:tcW w:w="7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Bond</w:t>
            </w:r>
          </w:p>
        </w:tc>
        <w:tc>
          <w:tcPr>
            <w:tcW w:w="9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DA</w:t>
            </w:r>
          </w:p>
        </w:tc>
        <w:tc>
          <w:tcPr>
            <w:tcW w:w="10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Remittance</w:t>
            </w:r>
          </w:p>
        </w:tc>
        <w:tc>
          <w:tcPr>
            <w:tcW w:w="37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2"/>
              </w:rPr>
              <w:t>Daily balance of Customer payment netted against any amount</w:t>
            </w:r>
          </w:p>
        </w:tc>
      </w:tr>
      <w:tr>
        <w:trPr>
          <w:trHeight w:val="175"/>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due to SDG&amp;E for DA Customers Bond Charge</w:t>
            </w:r>
          </w:p>
        </w:tc>
      </w:tr>
      <w:tr>
        <w:trPr>
          <w:trHeight w:val="146"/>
        </w:trPr>
        <w:tc>
          <w:tcPr>
            <w:tcW w:w="1060" w:type="dxa"/>
            <w:vAlign w:val="bottom"/>
            <w:tcBorders>
              <w:left w:val="single" w:sz="8" w:color="auto"/>
              <w:right w:val="single" w:sz="8" w:color="auto"/>
            </w:tcBorders>
          </w:tcPr>
          <w:p>
            <w:pPr>
              <w:jc w:val="right"/>
              <w:ind w:right="191"/>
              <w:spacing w:after="0" w:line="146" w:lineRule="exact"/>
              <w:rPr>
                <w:sz w:val="20"/>
                <w:szCs w:val="20"/>
                <w:color w:val="auto"/>
              </w:rPr>
            </w:pPr>
            <w:r>
              <w:rPr>
                <w:rFonts w:ascii="Arial" w:cs="Arial" w:eastAsia="Arial" w:hAnsi="Arial"/>
                <w:sz w:val="14"/>
                <w:szCs w:val="14"/>
                <w:color w:val="auto"/>
              </w:rPr>
              <w:t>8059000003</w:t>
            </w:r>
          </w:p>
        </w:tc>
        <w:tc>
          <w:tcPr>
            <w:tcW w:w="7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Bond</w:t>
            </w:r>
          </w:p>
        </w:tc>
        <w:tc>
          <w:tcPr>
            <w:tcW w:w="9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CGDL</w:t>
            </w:r>
          </w:p>
        </w:tc>
        <w:tc>
          <w:tcPr>
            <w:tcW w:w="10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Remittance</w:t>
            </w:r>
          </w:p>
        </w:tc>
        <w:tc>
          <w:tcPr>
            <w:tcW w:w="37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2"/>
              </w:rPr>
              <w:t>Daily balance of Customer payment netted against any amount</w:t>
            </w:r>
          </w:p>
        </w:tc>
      </w:tr>
      <w:tr>
        <w:trPr>
          <w:trHeight w:val="175"/>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due to SDG&amp;E for CGDL Bond Charge</w:t>
            </w:r>
          </w:p>
        </w:tc>
      </w:tr>
      <w:tr>
        <w:trPr>
          <w:trHeight w:val="146"/>
        </w:trPr>
        <w:tc>
          <w:tcPr>
            <w:tcW w:w="1060" w:type="dxa"/>
            <w:vAlign w:val="bottom"/>
            <w:tcBorders>
              <w:left w:val="single" w:sz="8" w:color="auto"/>
              <w:right w:val="single" w:sz="8" w:color="auto"/>
            </w:tcBorders>
          </w:tcPr>
          <w:p>
            <w:pPr>
              <w:jc w:val="right"/>
              <w:ind w:right="191"/>
              <w:spacing w:after="0" w:line="146" w:lineRule="exact"/>
              <w:rPr>
                <w:sz w:val="20"/>
                <w:szCs w:val="20"/>
                <w:color w:val="auto"/>
              </w:rPr>
            </w:pPr>
            <w:r>
              <w:rPr>
                <w:rFonts w:ascii="Arial" w:cs="Arial" w:eastAsia="Arial" w:hAnsi="Arial"/>
                <w:sz w:val="14"/>
                <w:szCs w:val="14"/>
                <w:color w:val="auto"/>
              </w:rPr>
              <w:t>8059000004</w:t>
            </w:r>
          </w:p>
        </w:tc>
        <w:tc>
          <w:tcPr>
            <w:tcW w:w="7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Bond</w:t>
            </w:r>
          </w:p>
        </w:tc>
        <w:tc>
          <w:tcPr>
            <w:tcW w:w="9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CCA</w:t>
            </w:r>
          </w:p>
        </w:tc>
        <w:tc>
          <w:tcPr>
            <w:tcW w:w="10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Remittance</w:t>
            </w:r>
          </w:p>
        </w:tc>
        <w:tc>
          <w:tcPr>
            <w:tcW w:w="37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2"/>
              </w:rPr>
              <w:t>Daily balance of Customer payment netted against any amount</w:t>
            </w:r>
          </w:p>
        </w:tc>
      </w:tr>
      <w:tr>
        <w:trPr>
          <w:trHeight w:val="175"/>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due to SDG&amp;E for CCA Bond Charge</w:t>
            </w:r>
          </w:p>
        </w:tc>
      </w:tr>
      <w:tr>
        <w:trPr>
          <w:trHeight w:val="146"/>
        </w:trPr>
        <w:tc>
          <w:tcPr>
            <w:tcW w:w="1060" w:type="dxa"/>
            <w:vAlign w:val="bottom"/>
            <w:tcBorders>
              <w:left w:val="single" w:sz="8" w:color="auto"/>
              <w:right w:val="single" w:sz="8" w:color="auto"/>
            </w:tcBorders>
          </w:tcPr>
          <w:p>
            <w:pPr>
              <w:jc w:val="right"/>
              <w:ind w:right="191"/>
              <w:spacing w:after="0" w:line="146" w:lineRule="exact"/>
              <w:rPr>
                <w:sz w:val="20"/>
                <w:szCs w:val="20"/>
                <w:color w:val="auto"/>
              </w:rPr>
            </w:pPr>
            <w:r>
              <w:rPr>
                <w:rFonts w:ascii="Arial" w:cs="Arial" w:eastAsia="Arial" w:hAnsi="Arial"/>
                <w:sz w:val="14"/>
                <w:szCs w:val="14"/>
                <w:color w:val="auto"/>
              </w:rPr>
              <w:t>8059000005</w:t>
            </w:r>
          </w:p>
        </w:tc>
        <w:tc>
          <w:tcPr>
            <w:tcW w:w="7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Bond</w:t>
            </w:r>
          </w:p>
        </w:tc>
        <w:tc>
          <w:tcPr>
            <w:tcW w:w="9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MDL</w:t>
            </w:r>
          </w:p>
        </w:tc>
        <w:tc>
          <w:tcPr>
            <w:tcW w:w="10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Remittance</w:t>
            </w:r>
          </w:p>
        </w:tc>
        <w:tc>
          <w:tcPr>
            <w:tcW w:w="37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2"/>
              </w:rPr>
              <w:t>Daily balance of Customer payment netted against any amount</w:t>
            </w:r>
          </w:p>
        </w:tc>
      </w:tr>
      <w:tr>
        <w:trPr>
          <w:trHeight w:val="175"/>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due to SDG&amp;E for MDL Bond Charge</w:t>
            </w:r>
          </w:p>
        </w:tc>
      </w:tr>
      <w:tr>
        <w:trPr>
          <w:trHeight w:val="146"/>
        </w:trPr>
        <w:tc>
          <w:tcPr>
            <w:tcW w:w="1060" w:type="dxa"/>
            <w:vAlign w:val="bottom"/>
            <w:tcBorders>
              <w:left w:val="single" w:sz="8" w:color="auto"/>
              <w:right w:val="single" w:sz="8" w:color="auto"/>
            </w:tcBorders>
          </w:tcPr>
          <w:p>
            <w:pPr>
              <w:jc w:val="right"/>
              <w:ind w:right="191"/>
              <w:spacing w:after="0" w:line="146" w:lineRule="exact"/>
              <w:rPr>
                <w:sz w:val="20"/>
                <w:szCs w:val="20"/>
                <w:color w:val="auto"/>
              </w:rPr>
            </w:pPr>
            <w:r>
              <w:rPr>
                <w:rFonts w:ascii="Arial" w:cs="Arial" w:eastAsia="Arial" w:hAnsi="Arial"/>
                <w:sz w:val="14"/>
                <w:szCs w:val="14"/>
                <w:color w:val="auto"/>
              </w:rPr>
              <w:t>8059000000</w:t>
            </w:r>
          </w:p>
        </w:tc>
        <w:tc>
          <w:tcPr>
            <w:tcW w:w="7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Bond</w:t>
            </w:r>
          </w:p>
        </w:tc>
        <w:tc>
          <w:tcPr>
            <w:tcW w:w="9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Bundled</w:t>
            </w:r>
          </w:p>
        </w:tc>
        <w:tc>
          <w:tcPr>
            <w:tcW w:w="10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Late Payment</w:t>
            </w:r>
          </w:p>
        </w:tc>
        <w:tc>
          <w:tcPr>
            <w:tcW w:w="37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3"/>
              </w:rPr>
              <w:t>Daily balance of late payment charges on Bundled Customers</w:t>
            </w:r>
          </w:p>
        </w:tc>
      </w:tr>
      <w:tr>
        <w:trPr>
          <w:trHeight w:val="175"/>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Charge</w:t>
            </w: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Bond Charge</w:t>
            </w:r>
          </w:p>
        </w:tc>
      </w:tr>
      <w:tr>
        <w:trPr>
          <w:trHeight w:val="146"/>
        </w:trPr>
        <w:tc>
          <w:tcPr>
            <w:tcW w:w="1060" w:type="dxa"/>
            <w:vAlign w:val="bottom"/>
            <w:tcBorders>
              <w:left w:val="single" w:sz="8" w:color="auto"/>
              <w:right w:val="single" w:sz="8" w:color="auto"/>
            </w:tcBorders>
          </w:tcPr>
          <w:p>
            <w:pPr>
              <w:jc w:val="right"/>
              <w:ind w:right="191"/>
              <w:spacing w:after="0" w:line="146" w:lineRule="exact"/>
              <w:rPr>
                <w:sz w:val="20"/>
                <w:szCs w:val="20"/>
                <w:color w:val="auto"/>
              </w:rPr>
            </w:pPr>
            <w:r>
              <w:rPr>
                <w:rFonts w:ascii="Arial" w:cs="Arial" w:eastAsia="Arial" w:hAnsi="Arial"/>
                <w:sz w:val="14"/>
                <w:szCs w:val="14"/>
                <w:color w:val="auto"/>
              </w:rPr>
              <w:t>8059000001</w:t>
            </w:r>
          </w:p>
        </w:tc>
        <w:tc>
          <w:tcPr>
            <w:tcW w:w="7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Bond</w:t>
            </w:r>
          </w:p>
        </w:tc>
        <w:tc>
          <w:tcPr>
            <w:tcW w:w="9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DA</w:t>
            </w:r>
          </w:p>
        </w:tc>
        <w:tc>
          <w:tcPr>
            <w:tcW w:w="10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Late Payment</w:t>
            </w:r>
          </w:p>
        </w:tc>
        <w:tc>
          <w:tcPr>
            <w:tcW w:w="37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2"/>
              </w:rPr>
              <w:t>Daily balance of late payment charges on DA Customers Bond</w:t>
            </w:r>
          </w:p>
        </w:tc>
      </w:tr>
      <w:tr>
        <w:trPr>
          <w:trHeight w:val="175"/>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Charge</w:t>
            </w: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Charge</w:t>
            </w:r>
          </w:p>
        </w:tc>
      </w:tr>
      <w:tr>
        <w:trPr>
          <w:trHeight w:val="146"/>
        </w:trPr>
        <w:tc>
          <w:tcPr>
            <w:tcW w:w="1060" w:type="dxa"/>
            <w:vAlign w:val="bottom"/>
            <w:tcBorders>
              <w:left w:val="single" w:sz="8" w:color="auto"/>
              <w:right w:val="single" w:sz="8" w:color="auto"/>
            </w:tcBorders>
          </w:tcPr>
          <w:p>
            <w:pPr>
              <w:jc w:val="right"/>
              <w:ind w:right="191"/>
              <w:spacing w:after="0" w:line="146" w:lineRule="exact"/>
              <w:rPr>
                <w:sz w:val="20"/>
                <w:szCs w:val="20"/>
                <w:color w:val="auto"/>
              </w:rPr>
            </w:pPr>
            <w:r>
              <w:rPr>
                <w:rFonts w:ascii="Arial" w:cs="Arial" w:eastAsia="Arial" w:hAnsi="Arial"/>
                <w:sz w:val="14"/>
                <w:szCs w:val="14"/>
                <w:color w:val="auto"/>
              </w:rPr>
              <w:t>8059000003</w:t>
            </w:r>
          </w:p>
        </w:tc>
        <w:tc>
          <w:tcPr>
            <w:tcW w:w="7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Bond</w:t>
            </w:r>
          </w:p>
        </w:tc>
        <w:tc>
          <w:tcPr>
            <w:tcW w:w="9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CGDL</w:t>
            </w:r>
          </w:p>
        </w:tc>
        <w:tc>
          <w:tcPr>
            <w:tcW w:w="10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Late Payment</w:t>
            </w:r>
          </w:p>
        </w:tc>
        <w:tc>
          <w:tcPr>
            <w:tcW w:w="37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6"/>
              </w:rPr>
              <w:t>Daily balance of late payment charges on CGDL Customers</w:t>
            </w:r>
          </w:p>
        </w:tc>
      </w:tr>
      <w:tr>
        <w:trPr>
          <w:trHeight w:val="175"/>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Charge</w:t>
            </w: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Bond Charge</w:t>
            </w:r>
          </w:p>
        </w:tc>
      </w:tr>
      <w:tr>
        <w:trPr>
          <w:trHeight w:val="146"/>
        </w:trPr>
        <w:tc>
          <w:tcPr>
            <w:tcW w:w="1060" w:type="dxa"/>
            <w:vAlign w:val="bottom"/>
            <w:tcBorders>
              <w:left w:val="single" w:sz="8" w:color="auto"/>
              <w:right w:val="single" w:sz="8" w:color="auto"/>
            </w:tcBorders>
          </w:tcPr>
          <w:p>
            <w:pPr>
              <w:jc w:val="right"/>
              <w:ind w:right="191"/>
              <w:spacing w:after="0" w:line="146" w:lineRule="exact"/>
              <w:rPr>
                <w:sz w:val="20"/>
                <w:szCs w:val="20"/>
                <w:color w:val="auto"/>
              </w:rPr>
            </w:pPr>
            <w:r>
              <w:rPr>
                <w:rFonts w:ascii="Arial" w:cs="Arial" w:eastAsia="Arial" w:hAnsi="Arial"/>
                <w:sz w:val="14"/>
                <w:szCs w:val="14"/>
                <w:color w:val="auto"/>
              </w:rPr>
              <w:t>8059000004</w:t>
            </w:r>
          </w:p>
        </w:tc>
        <w:tc>
          <w:tcPr>
            <w:tcW w:w="7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Bond</w:t>
            </w:r>
          </w:p>
        </w:tc>
        <w:tc>
          <w:tcPr>
            <w:tcW w:w="9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CCA</w:t>
            </w:r>
          </w:p>
        </w:tc>
        <w:tc>
          <w:tcPr>
            <w:tcW w:w="10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Late Payment</w:t>
            </w:r>
          </w:p>
        </w:tc>
        <w:tc>
          <w:tcPr>
            <w:tcW w:w="37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9"/>
              </w:rPr>
              <w:t>Daily balance of late payment charges on CCA Customers</w:t>
            </w:r>
          </w:p>
        </w:tc>
      </w:tr>
      <w:tr>
        <w:trPr>
          <w:trHeight w:val="175"/>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Charge</w:t>
            </w: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Bond Charge</w:t>
            </w:r>
          </w:p>
        </w:tc>
      </w:tr>
      <w:tr>
        <w:trPr>
          <w:trHeight w:val="146"/>
        </w:trPr>
        <w:tc>
          <w:tcPr>
            <w:tcW w:w="1060" w:type="dxa"/>
            <w:vAlign w:val="bottom"/>
            <w:tcBorders>
              <w:left w:val="single" w:sz="8" w:color="auto"/>
              <w:right w:val="single" w:sz="8" w:color="auto"/>
            </w:tcBorders>
          </w:tcPr>
          <w:p>
            <w:pPr>
              <w:jc w:val="right"/>
              <w:ind w:right="191"/>
              <w:spacing w:after="0" w:line="146" w:lineRule="exact"/>
              <w:rPr>
                <w:sz w:val="20"/>
                <w:szCs w:val="20"/>
                <w:color w:val="auto"/>
              </w:rPr>
            </w:pPr>
            <w:r>
              <w:rPr>
                <w:rFonts w:ascii="Arial" w:cs="Arial" w:eastAsia="Arial" w:hAnsi="Arial"/>
                <w:sz w:val="14"/>
                <w:szCs w:val="14"/>
                <w:color w:val="auto"/>
              </w:rPr>
              <w:t>8059000005</w:t>
            </w:r>
          </w:p>
        </w:tc>
        <w:tc>
          <w:tcPr>
            <w:tcW w:w="7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Bond</w:t>
            </w:r>
          </w:p>
        </w:tc>
        <w:tc>
          <w:tcPr>
            <w:tcW w:w="9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MDL</w:t>
            </w:r>
          </w:p>
        </w:tc>
        <w:tc>
          <w:tcPr>
            <w:tcW w:w="10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Late Payment</w:t>
            </w:r>
          </w:p>
        </w:tc>
        <w:tc>
          <w:tcPr>
            <w:tcW w:w="37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9"/>
              </w:rPr>
              <w:t>Daily balance of late payment charges on MDL Customers</w:t>
            </w:r>
          </w:p>
        </w:tc>
      </w:tr>
      <w:tr>
        <w:trPr>
          <w:trHeight w:val="175"/>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Charge</w:t>
            </w: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Bond Charge</w:t>
            </w:r>
          </w:p>
        </w:tc>
      </w:tr>
      <w:tr>
        <w:trPr>
          <w:trHeight w:val="146"/>
        </w:trPr>
        <w:tc>
          <w:tcPr>
            <w:tcW w:w="1060" w:type="dxa"/>
            <w:vAlign w:val="bottom"/>
            <w:tcBorders>
              <w:left w:val="single" w:sz="8" w:color="auto"/>
              <w:right w:val="single" w:sz="8" w:color="auto"/>
            </w:tcBorders>
          </w:tcPr>
          <w:p>
            <w:pPr>
              <w:jc w:val="right"/>
              <w:ind w:right="191"/>
              <w:spacing w:after="0" w:line="146" w:lineRule="exact"/>
              <w:rPr>
                <w:sz w:val="20"/>
                <w:szCs w:val="20"/>
                <w:color w:val="auto"/>
              </w:rPr>
            </w:pPr>
            <w:r>
              <w:rPr>
                <w:rFonts w:ascii="Arial" w:cs="Arial" w:eastAsia="Arial" w:hAnsi="Arial"/>
                <w:sz w:val="14"/>
                <w:szCs w:val="14"/>
                <w:color w:val="auto"/>
              </w:rPr>
              <w:t>8059000000</w:t>
            </w:r>
          </w:p>
        </w:tc>
        <w:tc>
          <w:tcPr>
            <w:tcW w:w="7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Bond</w:t>
            </w:r>
          </w:p>
        </w:tc>
        <w:tc>
          <w:tcPr>
            <w:tcW w:w="9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Bundled</w:t>
            </w:r>
          </w:p>
        </w:tc>
        <w:tc>
          <w:tcPr>
            <w:tcW w:w="10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Charge-off</w:t>
            </w:r>
          </w:p>
        </w:tc>
        <w:tc>
          <w:tcPr>
            <w:tcW w:w="37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4"/>
              </w:rPr>
              <w:t>Daily balance of recovered charge-off on Bundled Customers</w:t>
            </w:r>
          </w:p>
        </w:tc>
      </w:tr>
      <w:tr>
        <w:trPr>
          <w:trHeight w:val="175"/>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Recovery</w:t>
            </w: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Bond Charge</w:t>
            </w:r>
          </w:p>
        </w:tc>
      </w:tr>
      <w:tr>
        <w:trPr>
          <w:trHeight w:val="146"/>
        </w:trPr>
        <w:tc>
          <w:tcPr>
            <w:tcW w:w="1060" w:type="dxa"/>
            <w:vAlign w:val="bottom"/>
            <w:tcBorders>
              <w:left w:val="single" w:sz="8" w:color="auto"/>
              <w:right w:val="single" w:sz="8" w:color="auto"/>
            </w:tcBorders>
          </w:tcPr>
          <w:p>
            <w:pPr>
              <w:jc w:val="right"/>
              <w:ind w:right="191"/>
              <w:spacing w:after="0" w:line="146" w:lineRule="exact"/>
              <w:rPr>
                <w:sz w:val="20"/>
                <w:szCs w:val="20"/>
                <w:color w:val="auto"/>
              </w:rPr>
            </w:pPr>
            <w:r>
              <w:rPr>
                <w:rFonts w:ascii="Arial" w:cs="Arial" w:eastAsia="Arial" w:hAnsi="Arial"/>
                <w:sz w:val="14"/>
                <w:szCs w:val="14"/>
                <w:color w:val="auto"/>
              </w:rPr>
              <w:t>8059000001</w:t>
            </w:r>
          </w:p>
        </w:tc>
        <w:tc>
          <w:tcPr>
            <w:tcW w:w="7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Bond</w:t>
            </w:r>
          </w:p>
        </w:tc>
        <w:tc>
          <w:tcPr>
            <w:tcW w:w="9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DA</w:t>
            </w:r>
          </w:p>
        </w:tc>
        <w:tc>
          <w:tcPr>
            <w:tcW w:w="10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Charge-off</w:t>
            </w:r>
          </w:p>
        </w:tc>
        <w:tc>
          <w:tcPr>
            <w:tcW w:w="37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3"/>
              </w:rPr>
              <w:t>Daily balance of recovered charge-off on DA Customers Bond</w:t>
            </w:r>
          </w:p>
        </w:tc>
      </w:tr>
      <w:tr>
        <w:trPr>
          <w:trHeight w:val="175"/>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Recovery</w:t>
            </w: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Charge</w:t>
            </w:r>
          </w:p>
        </w:tc>
      </w:tr>
      <w:tr>
        <w:trPr>
          <w:trHeight w:val="146"/>
        </w:trPr>
        <w:tc>
          <w:tcPr>
            <w:tcW w:w="1060" w:type="dxa"/>
            <w:vAlign w:val="bottom"/>
            <w:tcBorders>
              <w:left w:val="single" w:sz="8" w:color="auto"/>
              <w:right w:val="single" w:sz="8" w:color="auto"/>
            </w:tcBorders>
          </w:tcPr>
          <w:p>
            <w:pPr>
              <w:jc w:val="right"/>
              <w:ind w:right="191"/>
              <w:spacing w:after="0" w:line="146" w:lineRule="exact"/>
              <w:rPr>
                <w:sz w:val="20"/>
                <w:szCs w:val="20"/>
                <w:color w:val="auto"/>
              </w:rPr>
            </w:pPr>
            <w:r>
              <w:rPr>
                <w:rFonts w:ascii="Arial" w:cs="Arial" w:eastAsia="Arial" w:hAnsi="Arial"/>
                <w:sz w:val="14"/>
                <w:szCs w:val="14"/>
                <w:color w:val="auto"/>
              </w:rPr>
              <w:t>8059000003</w:t>
            </w:r>
          </w:p>
        </w:tc>
        <w:tc>
          <w:tcPr>
            <w:tcW w:w="7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Bond</w:t>
            </w:r>
          </w:p>
        </w:tc>
        <w:tc>
          <w:tcPr>
            <w:tcW w:w="9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CGDL</w:t>
            </w:r>
          </w:p>
        </w:tc>
        <w:tc>
          <w:tcPr>
            <w:tcW w:w="10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Charge-off</w:t>
            </w:r>
          </w:p>
        </w:tc>
        <w:tc>
          <w:tcPr>
            <w:tcW w:w="37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4"/>
              </w:rPr>
              <w:t>Daily balance of recovered charge-off on CGDL Bond Charge</w:t>
            </w:r>
          </w:p>
        </w:tc>
      </w:tr>
      <w:tr>
        <w:trPr>
          <w:trHeight w:val="175"/>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Recovery</w:t>
            </w:r>
          </w:p>
        </w:tc>
        <w:tc>
          <w:tcPr>
            <w:tcW w:w="3720" w:type="dxa"/>
            <w:vAlign w:val="bottom"/>
            <w:tcBorders>
              <w:bottom w:val="single" w:sz="8" w:color="auto"/>
              <w:right w:val="single" w:sz="8" w:color="auto"/>
            </w:tcBorders>
          </w:tcPr>
          <w:p>
            <w:pPr>
              <w:spacing w:after="0"/>
              <w:rPr>
                <w:sz w:val="15"/>
                <w:szCs w:val="15"/>
                <w:color w:val="auto"/>
              </w:rPr>
            </w:pPr>
          </w:p>
        </w:tc>
      </w:tr>
      <w:tr>
        <w:trPr>
          <w:trHeight w:val="146"/>
        </w:trPr>
        <w:tc>
          <w:tcPr>
            <w:tcW w:w="1060" w:type="dxa"/>
            <w:vAlign w:val="bottom"/>
            <w:tcBorders>
              <w:left w:val="single" w:sz="8" w:color="auto"/>
              <w:right w:val="single" w:sz="8" w:color="auto"/>
            </w:tcBorders>
          </w:tcPr>
          <w:p>
            <w:pPr>
              <w:jc w:val="right"/>
              <w:ind w:right="191"/>
              <w:spacing w:after="0" w:line="146" w:lineRule="exact"/>
              <w:rPr>
                <w:sz w:val="20"/>
                <w:szCs w:val="20"/>
                <w:color w:val="auto"/>
              </w:rPr>
            </w:pPr>
            <w:r>
              <w:rPr>
                <w:rFonts w:ascii="Arial" w:cs="Arial" w:eastAsia="Arial" w:hAnsi="Arial"/>
                <w:sz w:val="14"/>
                <w:szCs w:val="14"/>
                <w:color w:val="auto"/>
              </w:rPr>
              <w:t>8059000004</w:t>
            </w:r>
          </w:p>
        </w:tc>
        <w:tc>
          <w:tcPr>
            <w:tcW w:w="7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Bond</w:t>
            </w:r>
          </w:p>
        </w:tc>
        <w:tc>
          <w:tcPr>
            <w:tcW w:w="9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CCA</w:t>
            </w:r>
          </w:p>
        </w:tc>
        <w:tc>
          <w:tcPr>
            <w:tcW w:w="10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Charge-off</w:t>
            </w:r>
          </w:p>
        </w:tc>
        <w:tc>
          <w:tcPr>
            <w:tcW w:w="37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6"/>
              </w:rPr>
              <w:t>Daily balance of recovered charge-off on CCA Bond Charge</w:t>
            </w:r>
          </w:p>
        </w:tc>
      </w:tr>
      <w:tr>
        <w:trPr>
          <w:trHeight w:val="175"/>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Recovery</w:t>
            </w:r>
          </w:p>
        </w:tc>
        <w:tc>
          <w:tcPr>
            <w:tcW w:w="3720" w:type="dxa"/>
            <w:vAlign w:val="bottom"/>
            <w:tcBorders>
              <w:bottom w:val="single" w:sz="8" w:color="auto"/>
              <w:right w:val="single" w:sz="8" w:color="auto"/>
            </w:tcBorders>
          </w:tcPr>
          <w:p>
            <w:pPr>
              <w:spacing w:after="0"/>
              <w:rPr>
                <w:sz w:val="15"/>
                <w:szCs w:val="15"/>
                <w:color w:val="auto"/>
              </w:rPr>
            </w:pPr>
          </w:p>
        </w:tc>
      </w:tr>
      <w:tr>
        <w:trPr>
          <w:trHeight w:val="146"/>
        </w:trPr>
        <w:tc>
          <w:tcPr>
            <w:tcW w:w="1060" w:type="dxa"/>
            <w:vAlign w:val="bottom"/>
            <w:tcBorders>
              <w:left w:val="single" w:sz="8" w:color="auto"/>
              <w:right w:val="single" w:sz="8" w:color="auto"/>
            </w:tcBorders>
          </w:tcPr>
          <w:p>
            <w:pPr>
              <w:jc w:val="right"/>
              <w:ind w:right="191"/>
              <w:spacing w:after="0" w:line="146" w:lineRule="exact"/>
              <w:rPr>
                <w:sz w:val="20"/>
                <w:szCs w:val="20"/>
                <w:color w:val="auto"/>
              </w:rPr>
            </w:pPr>
            <w:r>
              <w:rPr>
                <w:rFonts w:ascii="Arial" w:cs="Arial" w:eastAsia="Arial" w:hAnsi="Arial"/>
                <w:sz w:val="14"/>
                <w:szCs w:val="14"/>
                <w:color w:val="auto"/>
              </w:rPr>
              <w:t>8059000005</w:t>
            </w:r>
          </w:p>
        </w:tc>
        <w:tc>
          <w:tcPr>
            <w:tcW w:w="7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Bond</w:t>
            </w:r>
          </w:p>
        </w:tc>
        <w:tc>
          <w:tcPr>
            <w:tcW w:w="90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MDL</w:t>
            </w:r>
          </w:p>
        </w:tc>
        <w:tc>
          <w:tcPr>
            <w:tcW w:w="10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Charge-off</w:t>
            </w:r>
          </w:p>
        </w:tc>
        <w:tc>
          <w:tcPr>
            <w:tcW w:w="37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6"/>
              </w:rPr>
              <w:t>Daily balance of recovered charge-off on MDL Bond Charge</w:t>
            </w:r>
          </w:p>
        </w:tc>
      </w:tr>
      <w:tr>
        <w:trPr>
          <w:trHeight w:val="175"/>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Recovery</w:t>
            </w:r>
          </w:p>
        </w:tc>
        <w:tc>
          <w:tcPr>
            <w:tcW w:w="372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C-</w:t>
      </w:r>
    </w:p>
    <w:p>
      <w:pPr>
        <w:sectPr>
          <w:pgSz w:w="11900" w:h="16838" w:orient="portrait"/>
          <w:cols w:equalWidth="0" w:num="1">
            <w:col w:w="10239"/>
          </w:cols>
          <w:pgMar w:left="220" w:top="140" w:right="1440" w:bottom="1440" w:gutter="0" w:footer="0" w:header="0"/>
        </w:sectPr>
      </w:pPr>
    </w:p>
    <w:bookmarkStart w:id="138" w:name="page139"/>
    <w:bookmarkEnd w:id="138"/>
    <w:p>
      <w:pPr>
        <w:ind w:left="1000"/>
        <w:spacing w:after="0"/>
        <w:rPr>
          <w:sz w:val="20"/>
          <w:szCs w:val="20"/>
          <w:color w:val="auto"/>
        </w:rPr>
      </w:pPr>
      <w:r>
        <w:rPr>
          <w:rFonts w:ascii="Arial" w:cs="Arial" w:eastAsia="Arial" w:hAnsi="Arial"/>
          <w:sz w:val="17"/>
          <w:szCs w:val="17"/>
          <w:i w:val="1"/>
          <w:iCs w:val="1"/>
          <w:color w:val="auto"/>
        </w:rPr>
        <w:t>Example: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2040" w:type="dxa"/>
            <w:vAlign w:val="bottom"/>
            <w:gridSpan w:val="2"/>
          </w:tcPr>
          <w:p>
            <w:pPr>
              <w:ind w:left="500"/>
              <w:spacing w:after="0"/>
              <w:rPr>
                <w:sz w:val="20"/>
                <w:szCs w:val="20"/>
                <w:color w:val="auto"/>
              </w:rPr>
            </w:pPr>
            <w:r>
              <w:rPr>
                <w:rFonts w:ascii="Arial" w:cs="Arial" w:eastAsia="Arial" w:hAnsi="Arial"/>
                <w:sz w:val="14"/>
                <w:szCs w:val="14"/>
                <w:color w:val="auto"/>
              </w:rPr>
              <w:t>Daily Remittance Report</w:t>
            </w: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55"/>
        </w:trPr>
        <w:tc>
          <w:tcPr>
            <w:tcW w:w="2440" w:type="dxa"/>
            <w:vAlign w:val="bottom"/>
          </w:tcPr>
          <w:p>
            <w:pPr>
              <w:ind w:left="100"/>
              <w:spacing w:after="0" w:line="155" w:lineRule="exact"/>
              <w:rPr>
                <w:sz w:val="20"/>
                <w:szCs w:val="20"/>
                <w:color w:val="auto"/>
              </w:rPr>
            </w:pPr>
            <w:r>
              <w:rPr>
                <w:rFonts w:ascii="Arial" w:cs="Arial" w:eastAsia="Arial" w:hAnsi="Arial"/>
                <w:sz w:val="14"/>
                <w:szCs w:val="14"/>
                <w:color w:val="auto"/>
              </w:rPr>
              <w:t>Date:</w:t>
            </w:r>
          </w:p>
        </w:tc>
        <w:tc>
          <w:tcPr>
            <w:tcW w:w="760" w:type="dxa"/>
            <w:vAlign w:val="bottom"/>
          </w:tcPr>
          <w:p>
            <w:pPr>
              <w:ind w:left="80"/>
              <w:spacing w:after="0" w:line="155" w:lineRule="exact"/>
              <w:rPr>
                <w:sz w:val="20"/>
                <w:szCs w:val="20"/>
                <w:color w:val="auto"/>
              </w:rPr>
            </w:pPr>
            <w:r>
              <w:rPr>
                <w:rFonts w:ascii="Arial" w:cs="Arial" w:eastAsia="Arial" w:hAnsi="Arial"/>
                <w:sz w:val="14"/>
                <w:szCs w:val="14"/>
                <w:color w:val="auto"/>
              </w:rPr>
              <w:t>9/2/2009</w:t>
            </w:r>
          </w:p>
        </w:tc>
        <w:tc>
          <w:tcPr>
            <w:tcW w:w="1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6"/>
        </w:trPr>
        <w:tc>
          <w:tcPr>
            <w:tcW w:w="2440" w:type="dxa"/>
            <w:vAlign w:val="bottom"/>
            <w:tcBorders>
              <w:bottom w:val="single" w:sz="8" w:color="auto"/>
            </w:tcBorders>
          </w:tcPr>
          <w:p>
            <w:pPr>
              <w:ind w:left="100"/>
              <w:spacing w:after="0" w:line="156" w:lineRule="exact"/>
              <w:rPr>
                <w:sz w:val="20"/>
                <w:szCs w:val="20"/>
                <w:color w:val="auto"/>
              </w:rPr>
            </w:pPr>
            <w:r>
              <w:rPr>
                <w:rFonts w:ascii="Arial" w:cs="Arial" w:eastAsia="Arial" w:hAnsi="Arial"/>
                <w:sz w:val="14"/>
                <w:szCs w:val="14"/>
                <w:color w:val="auto"/>
              </w:rPr>
              <w:t>Utility Name:</w:t>
            </w:r>
          </w:p>
        </w:tc>
        <w:tc>
          <w:tcPr>
            <w:tcW w:w="760" w:type="dxa"/>
            <w:vAlign w:val="bottom"/>
            <w:tcBorders>
              <w:bottom w:val="single" w:sz="8" w:color="auto"/>
            </w:tcBorders>
          </w:tcPr>
          <w:p>
            <w:pPr>
              <w:ind w:left="80"/>
              <w:spacing w:after="0" w:line="156" w:lineRule="exact"/>
              <w:rPr>
                <w:sz w:val="20"/>
                <w:szCs w:val="20"/>
                <w:color w:val="auto"/>
              </w:rPr>
            </w:pPr>
            <w:r>
              <w:rPr>
                <w:rFonts w:ascii="Arial" w:cs="Arial" w:eastAsia="Arial" w:hAnsi="Arial"/>
                <w:sz w:val="14"/>
                <w:szCs w:val="14"/>
                <w:color w:val="auto"/>
              </w:rPr>
              <w:t>SDG&amp;E</w:t>
            </w:r>
          </w:p>
        </w:tc>
        <w:tc>
          <w:tcPr>
            <w:tcW w:w="12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20"/>
        </w:trPr>
        <w:tc>
          <w:tcPr>
            <w:tcW w:w="2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25"/>
        </w:trPr>
        <w:tc>
          <w:tcPr>
            <w:tcW w:w="2440" w:type="dxa"/>
            <w:vAlign w:val="bottom"/>
            <w:tcBorders>
              <w:right w:val="single" w:sz="8" w:color="auto"/>
            </w:tcBorders>
          </w:tcPr>
          <w:p>
            <w:pPr>
              <w:ind w:left="440"/>
              <w:spacing w:after="0" w:line="125" w:lineRule="exact"/>
              <w:rPr>
                <w:sz w:val="20"/>
                <w:szCs w:val="20"/>
                <w:color w:val="auto"/>
              </w:rPr>
            </w:pPr>
            <w:r>
              <w:rPr>
                <w:rFonts w:ascii="Arial" w:cs="Arial" w:eastAsia="Arial" w:hAnsi="Arial"/>
                <w:sz w:val="14"/>
                <w:szCs w:val="14"/>
                <w:color w:val="auto"/>
              </w:rPr>
              <w:t>DWR Account Reference</w:t>
            </w:r>
          </w:p>
        </w:tc>
        <w:tc>
          <w:tcPr>
            <w:tcW w:w="760" w:type="dxa"/>
            <w:vAlign w:val="bottom"/>
          </w:tcPr>
          <w:p>
            <w:pPr>
              <w:ind w:left="240"/>
              <w:spacing w:after="0" w:line="125" w:lineRule="exact"/>
              <w:rPr>
                <w:sz w:val="20"/>
                <w:szCs w:val="20"/>
                <w:color w:val="auto"/>
              </w:rPr>
            </w:pPr>
            <w:r>
              <w:rPr>
                <w:rFonts w:ascii="Arial" w:cs="Arial" w:eastAsia="Arial" w:hAnsi="Arial"/>
                <w:sz w:val="14"/>
                <w:szCs w:val="14"/>
                <w:color w:val="auto"/>
              </w:rPr>
              <w:t>Fund</w:t>
            </w:r>
          </w:p>
        </w:tc>
        <w:tc>
          <w:tcPr>
            <w:tcW w:w="1280" w:type="dxa"/>
            <w:vAlign w:val="bottom"/>
          </w:tcPr>
          <w:p>
            <w:pPr>
              <w:ind w:left="180"/>
              <w:spacing w:after="0" w:line="125" w:lineRule="exact"/>
              <w:rPr>
                <w:sz w:val="20"/>
                <w:szCs w:val="20"/>
                <w:color w:val="auto"/>
              </w:rPr>
            </w:pPr>
            <w:r>
              <w:rPr>
                <w:rFonts w:ascii="Arial" w:cs="Arial" w:eastAsia="Arial" w:hAnsi="Arial"/>
                <w:sz w:val="14"/>
                <w:szCs w:val="14"/>
                <w:color w:val="auto"/>
              </w:rPr>
              <w:t>Customer Type</w:t>
            </w:r>
          </w:p>
        </w:tc>
        <w:tc>
          <w:tcPr>
            <w:tcW w:w="1680" w:type="dxa"/>
            <w:vAlign w:val="bottom"/>
          </w:tcPr>
          <w:p>
            <w:pPr>
              <w:ind w:left="360"/>
              <w:spacing w:after="0" w:line="125" w:lineRule="exact"/>
              <w:rPr>
                <w:sz w:val="20"/>
                <w:szCs w:val="20"/>
                <w:color w:val="auto"/>
              </w:rPr>
            </w:pPr>
            <w:r>
              <w:rPr>
                <w:rFonts w:ascii="Arial" w:cs="Arial" w:eastAsia="Arial" w:hAnsi="Arial"/>
                <w:sz w:val="14"/>
                <w:szCs w:val="14"/>
                <w:color w:val="auto"/>
              </w:rPr>
              <w:t>Collection Type</w:t>
            </w:r>
          </w:p>
        </w:tc>
        <w:tc>
          <w:tcPr>
            <w:tcW w:w="1220" w:type="dxa"/>
            <w:vAlign w:val="bottom"/>
          </w:tcPr>
          <w:p>
            <w:pPr>
              <w:jc w:val="right"/>
              <w:ind w:right="191"/>
              <w:spacing w:after="0" w:line="125" w:lineRule="exact"/>
              <w:rPr>
                <w:sz w:val="20"/>
                <w:szCs w:val="20"/>
                <w:color w:val="auto"/>
              </w:rPr>
            </w:pPr>
            <w:r>
              <w:rPr>
                <w:rFonts w:ascii="Arial" w:cs="Arial" w:eastAsia="Arial" w:hAnsi="Arial"/>
                <w:sz w:val="14"/>
                <w:szCs w:val="14"/>
                <w:color w:val="auto"/>
              </w:rPr>
              <w:t>Daily Cash</w:t>
            </w:r>
          </w:p>
        </w:tc>
      </w:tr>
      <w:tr>
        <w:trPr>
          <w:trHeight w:val="156"/>
        </w:trPr>
        <w:tc>
          <w:tcPr>
            <w:tcW w:w="24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tcBorders>
          </w:tcPr>
          <w:p>
            <w:pPr>
              <w:ind w:left="260"/>
              <w:spacing w:after="0" w:line="156" w:lineRule="exact"/>
              <w:rPr>
                <w:sz w:val="20"/>
                <w:szCs w:val="20"/>
                <w:color w:val="auto"/>
              </w:rPr>
            </w:pPr>
            <w:r>
              <w:rPr>
                <w:rFonts w:ascii="Arial" w:cs="Arial" w:eastAsia="Arial" w:hAnsi="Arial"/>
                <w:sz w:val="14"/>
                <w:szCs w:val="14"/>
                <w:color w:val="auto"/>
              </w:rPr>
              <w:t>Type</w:t>
            </w:r>
          </w:p>
        </w:tc>
        <w:tc>
          <w:tcPr>
            <w:tcW w:w="12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45"/>
        </w:trPr>
        <w:tc>
          <w:tcPr>
            <w:tcW w:w="24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8021360001</w:t>
            </w:r>
          </w:p>
        </w:tc>
        <w:tc>
          <w:tcPr>
            <w:tcW w:w="760" w:type="dxa"/>
            <w:vAlign w:val="bottom"/>
          </w:tcPr>
          <w:p>
            <w:pPr>
              <w:ind w:left="80"/>
              <w:spacing w:after="0" w:line="145" w:lineRule="exact"/>
              <w:rPr>
                <w:sz w:val="20"/>
                <w:szCs w:val="20"/>
                <w:color w:val="auto"/>
              </w:rPr>
            </w:pPr>
            <w:r>
              <w:rPr>
                <w:rFonts w:ascii="Arial" w:cs="Arial" w:eastAsia="Arial" w:hAnsi="Arial"/>
                <w:sz w:val="14"/>
                <w:szCs w:val="14"/>
                <w:color w:val="auto"/>
              </w:rPr>
              <w:t>Power</w:t>
            </w:r>
          </w:p>
        </w:tc>
        <w:tc>
          <w:tcPr>
            <w:tcW w:w="1280" w:type="dxa"/>
            <w:vAlign w:val="bottom"/>
          </w:tcPr>
          <w:p>
            <w:pPr>
              <w:ind w:left="160"/>
              <w:spacing w:after="0" w:line="145" w:lineRule="exact"/>
              <w:rPr>
                <w:sz w:val="20"/>
                <w:szCs w:val="20"/>
                <w:color w:val="auto"/>
              </w:rPr>
            </w:pPr>
            <w:r>
              <w:rPr>
                <w:rFonts w:ascii="Arial" w:cs="Arial" w:eastAsia="Arial" w:hAnsi="Arial"/>
                <w:sz w:val="14"/>
                <w:szCs w:val="14"/>
                <w:color w:val="auto"/>
              </w:rPr>
              <w:t>Bundled</w:t>
            </w:r>
          </w:p>
        </w:tc>
        <w:tc>
          <w:tcPr>
            <w:tcW w:w="1680" w:type="dxa"/>
            <w:vAlign w:val="bottom"/>
          </w:tcPr>
          <w:p>
            <w:pPr>
              <w:ind w:left="60"/>
              <w:spacing w:after="0" w:line="145" w:lineRule="exact"/>
              <w:rPr>
                <w:sz w:val="20"/>
                <w:szCs w:val="20"/>
                <w:color w:val="auto"/>
              </w:rPr>
            </w:pPr>
            <w:r>
              <w:rPr>
                <w:rFonts w:ascii="Arial" w:cs="Arial" w:eastAsia="Arial" w:hAnsi="Arial"/>
                <w:sz w:val="14"/>
                <w:szCs w:val="14"/>
                <w:color w:val="auto"/>
              </w:rPr>
              <w:t>Remittance</w:t>
            </w:r>
          </w:p>
        </w:tc>
        <w:tc>
          <w:tcPr>
            <w:tcW w:w="1220" w:type="dxa"/>
            <w:vAlign w:val="bottom"/>
          </w:tcPr>
          <w:p>
            <w:pPr>
              <w:jc w:val="right"/>
              <w:ind w:right="31"/>
              <w:spacing w:after="0" w:line="145" w:lineRule="exact"/>
              <w:rPr>
                <w:sz w:val="20"/>
                <w:szCs w:val="20"/>
                <w:color w:val="auto"/>
              </w:rPr>
            </w:pPr>
            <w:r>
              <w:rPr>
                <w:rFonts w:ascii="Arial" w:cs="Arial" w:eastAsia="Arial" w:hAnsi="Arial"/>
                <w:sz w:val="14"/>
                <w:szCs w:val="14"/>
                <w:color w:val="auto"/>
              </w:rPr>
              <w:t>$xxx,xxx.xx</w:t>
            </w:r>
          </w:p>
        </w:tc>
      </w:tr>
      <w:tr>
        <w:trPr>
          <w:trHeight w:val="155"/>
        </w:trPr>
        <w:tc>
          <w:tcPr>
            <w:tcW w:w="2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8021360002</w:t>
            </w:r>
          </w:p>
        </w:tc>
        <w:tc>
          <w:tcPr>
            <w:tcW w:w="760" w:type="dxa"/>
            <w:vAlign w:val="bottom"/>
          </w:tcPr>
          <w:p>
            <w:pPr>
              <w:ind w:left="80"/>
              <w:spacing w:after="0" w:line="155" w:lineRule="exact"/>
              <w:rPr>
                <w:sz w:val="20"/>
                <w:szCs w:val="20"/>
                <w:color w:val="auto"/>
              </w:rPr>
            </w:pPr>
            <w:r>
              <w:rPr>
                <w:rFonts w:ascii="Arial" w:cs="Arial" w:eastAsia="Arial" w:hAnsi="Arial"/>
                <w:sz w:val="14"/>
                <w:szCs w:val="14"/>
                <w:color w:val="auto"/>
              </w:rPr>
              <w:t>Power</w:t>
            </w:r>
          </w:p>
        </w:tc>
        <w:tc>
          <w:tcPr>
            <w:tcW w:w="1280" w:type="dxa"/>
            <w:vAlign w:val="bottom"/>
          </w:tcPr>
          <w:p>
            <w:pPr>
              <w:ind w:left="160"/>
              <w:spacing w:after="0" w:line="155" w:lineRule="exact"/>
              <w:rPr>
                <w:sz w:val="20"/>
                <w:szCs w:val="20"/>
                <w:color w:val="auto"/>
              </w:rPr>
            </w:pPr>
            <w:r>
              <w:rPr>
                <w:rFonts w:ascii="Arial" w:cs="Arial" w:eastAsia="Arial" w:hAnsi="Arial"/>
                <w:sz w:val="14"/>
                <w:szCs w:val="14"/>
                <w:color w:val="auto"/>
              </w:rPr>
              <w:t>DA</w:t>
            </w:r>
          </w:p>
        </w:tc>
        <w:tc>
          <w:tcPr>
            <w:tcW w:w="1680" w:type="dxa"/>
            <w:vAlign w:val="bottom"/>
          </w:tcPr>
          <w:p>
            <w:pPr>
              <w:ind w:left="60"/>
              <w:spacing w:after="0" w:line="155" w:lineRule="exact"/>
              <w:rPr>
                <w:sz w:val="20"/>
                <w:szCs w:val="20"/>
                <w:color w:val="auto"/>
              </w:rPr>
            </w:pPr>
            <w:r>
              <w:rPr>
                <w:rFonts w:ascii="Arial" w:cs="Arial" w:eastAsia="Arial" w:hAnsi="Arial"/>
                <w:sz w:val="14"/>
                <w:szCs w:val="14"/>
                <w:color w:val="auto"/>
              </w:rPr>
              <w:t>Remittance</w:t>
            </w:r>
          </w:p>
        </w:tc>
        <w:tc>
          <w:tcPr>
            <w:tcW w:w="12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$xxx,xxx.xx</w:t>
            </w:r>
          </w:p>
        </w:tc>
      </w:tr>
      <w:tr>
        <w:trPr>
          <w:trHeight w:val="155"/>
        </w:trPr>
        <w:tc>
          <w:tcPr>
            <w:tcW w:w="2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8021360003</w:t>
            </w:r>
          </w:p>
        </w:tc>
        <w:tc>
          <w:tcPr>
            <w:tcW w:w="760" w:type="dxa"/>
            <w:vAlign w:val="bottom"/>
          </w:tcPr>
          <w:p>
            <w:pPr>
              <w:ind w:left="80"/>
              <w:spacing w:after="0" w:line="155" w:lineRule="exact"/>
              <w:rPr>
                <w:sz w:val="20"/>
                <w:szCs w:val="20"/>
                <w:color w:val="auto"/>
              </w:rPr>
            </w:pPr>
            <w:r>
              <w:rPr>
                <w:rFonts w:ascii="Arial" w:cs="Arial" w:eastAsia="Arial" w:hAnsi="Arial"/>
                <w:sz w:val="14"/>
                <w:szCs w:val="14"/>
                <w:color w:val="auto"/>
              </w:rPr>
              <w:t>Power</w:t>
            </w:r>
          </w:p>
        </w:tc>
        <w:tc>
          <w:tcPr>
            <w:tcW w:w="1280" w:type="dxa"/>
            <w:vAlign w:val="bottom"/>
          </w:tcPr>
          <w:p>
            <w:pPr>
              <w:ind w:left="160"/>
              <w:spacing w:after="0" w:line="155" w:lineRule="exact"/>
              <w:rPr>
                <w:sz w:val="20"/>
                <w:szCs w:val="20"/>
                <w:color w:val="auto"/>
              </w:rPr>
            </w:pPr>
            <w:r>
              <w:rPr>
                <w:rFonts w:ascii="Arial" w:cs="Arial" w:eastAsia="Arial" w:hAnsi="Arial"/>
                <w:sz w:val="14"/>
                <w:szCs w:val="14"/>
                <w:color w:val="auto"/>
              </w:rPr>
              <w:t>CGDL</w:t>
            </w:r>
          </w:p>
        </w:tc>
        <w:tc>
          <w:tcPr>
            <w:tcW w:w="1680" w:type="dxa"/>
            <w:vAlign w:val="bottom"/>
          </w:tcPr>
          <w:p>
            <w:pPr>
              <w:ind w:left="60"/>
              <w:spacing w:after="0" w:line="155" w:lineRule="exact"/>
              <w:rPr>
                <w:sz w:val="20"/>
                <w:szCs w:val="20"/>
                <w:color w:val="auto"/>
              </w:rPr>
            </w:pPr>
            <w:r>
              <w:rPr>
                <w:rFonts w:ascii="Arial" w:cs="Arial" w:eastAsia="Arial" w:hAnsi="Arial"/>
                <w:sz w:val="14"/>
                <w:szCs w:val="14"/>
                <w:color w:val="auto"/>
              </w:rPr>
              <w:t>Remittance</w:t>
            </w:r>
          </w:p>
        </w:tc>
        <w:tc>
          <w:tcPr>
            <w:tcW w:w="12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$xxx,xxx.xx</w:t>
            </w:r>
          </w:p>
        </w:tc>
      </w:tr>
      <w:tr>
        <w:trPr>
          <w:trHeight w:val="155"/>
        </w:trPr>
        <w:tc>
          <w:tcPr>
            <w:tcW w:w="2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8021360004</w:t>
            </w:r>
          </w:p>
        </w:tc>
        <w:tc>
          <w:tcPr>
            <w:tcW w:w="760" w:type="dxa"/>
            <w:vAlign w:val="bottom"/>
          </w:tcPr>
          <w:p>
            <w:pPr>
              <w:ind w:left="80"/>
              <w:spacing w:after="0" w:line="155" w:lineRule="exact"/>
              <w:rPr>
                <w:sz w:val="20"/>
                <w:szCs w:val="20"/>
                <w:color w:val="auto"/>
              </w:rPr>
            </w:pPr>
            <w:r>
              <w:rPr>
                <w:rFonts w:ascii="Arial" w:cs="Arial" w:eastAsia="Arial" w:hAnsi="Arial"/>
                <w:sz w:val="14"/>
                <w:szCs w:val="14"/>
                <w:color w:val="auto"/>
              </w:rPr>
              <w:t>Power</w:t>
            </w:r>
          </w:p>
        </w:tc>
        <w:tc>
          <w:tcPr>
            <w:tcW w:w="1280" w:type="dxa"/>
            <w:vAlign w:val="bottom"/>
          </w:tcPr>
          <w:p>
            <w:pPr>
              <w:ind w:left="160"/>
              <w:spacing w:after="0" w:line="155" w:lineRule="exact"/>
              <w:rPr>
                <w:sz w:val="20"/>
                <w:szCs w:val="20"/>
                <w:color w:val="auto"/>
              </w:rPr>
            </w:pPr>
            <w:r>
              <w:rPr>
                <w:rFonts w:ascii="Arial" w:cs="Arial" w:eastAsia="Arial" w:hAnsi="Arial"/>
                <w:sz w:val="14"/>
                <w:szCs w:val="14"/>
                <w:color w:val="auto"/>
              </w:rPr>
              <w:t>CCA</w:t>
            </w:r>
          </w:p>
        </w:tc>
        <w:tc>
          <w:tcPr>
            <w:tcW w:w="1680" w:type="dxa"/>
            <w:vAlign w:val="bottom"/>
          </w:tcPr>
          <w:p>
            <w:pPr>
              <w:ind w:left="60"/>
              <w:spacing w:after="0" w:line="155" w:lineRule="exact"/>
              <w:rPr>
                <w:sz w:val="20"/>
                <w:szCs w:val="20"/>
                <w:color w:val="auto"/>
              </w:rPr>
            </w:pPr>
            <w:r>
              <w:rPr>
                <w:rFonts w:ascii="Arial" w:cs="Arial" w:eastAsia="Arial" w:hAnsi="Arial"/>
                <w:sz w:val="14"/>
                <w:szCs w:val="14"/>
                <w:color w:val="auto"/>
              </w:rPr>
              <w:t>Remittance</w:t>
            </w:r>
          </w:p>
        </w:tc>
        <w:tc>
          <w:tcPr>
            <w:tcW w:w="12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$xxx,xxx.xx</w:t>
            </w:r>
          </w:p>
        </w:tc>
      </w:tr>
      <w:tr>
        <w:trPr>
          <w:trHeight w:val="155"/>
        </w:trPr>
        <w:tc>
          <w:tcPr>
            <w:tcW w:w="2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8021360010</w:t>
            </w:r>
          </w:p>
        </w:tc>
        <w:tc>
          <w:tcPr>
            <w:tcW w:w="760" w:type="dxa"/>
            <w:vAlign w:val="bottom"/>
          </w:tcPr>
          <w:p>
            <w:pPr>
              <w:ind w:left="80"/>
              <w:spacing w:after="0" w:line="155" w:lineRule="exact"/>
              <w:rPr>
                <w:sz w:val="20"/>
                <w:szCs w:val="20"/>
                <w:color w:val="auto"/>
              </w:rPr>
            </w:pPr>
            <w:r>
              <w:rPr>
                <w:rFonts w:ascii="Arial" w:cs="Arial" w:eastAsia="Arial" w:hAnsi="Arial"/>
                <w:sz w:val="14"/>
                <w:szCs w:val="14"/>
                <w:color w:val="auto"/>
              </w:rPr>
              <w:t>Power</w:t>
            </w:r>
          </w:p>
        </w:tc>
        <w:tc>
          <w:tcPr>
            <w:tcW w:w="1280" w:type="dxa"/>
            <w:vAlign w:val="bottom"/>
          </w:tcPr>
          <w:p>
            <w:pPr>
              <w:ind w:left="160"/>
              <w:spacing w:after="0" w:line="155" w:lineRule="exact"/>
              <w:rPr>
                <w:sz w:val="20"/>
                <w:szCs w:val="20"/>
                <w:color w:val="auto"/>
              </w:rPr>
            </w:pPr>
            <w:r>
              <w:rPr>
                <w:rFonts w:ascii="Arial" w:cs="Arial" w:eastAsia="Arial" w:hAnsi="Arial"/>
                <w:sz w:val="14"/>
                <w:szCs w:val="14"/>
                <w:color w:val="auto"/>
              </w:rPr>
              <w:t>MDL</w:t>
            </w:r>
          </w:p>
        </w:tc>
        <w:tc>
          <w:tcPr>
            <w:tcW w:w="1680" w:type="dxa"/>
            <w:vAlign w:val="bottom"/>
          </w:tcPr>
          <w:p>
            <w:pPr>
              <w:ind w:left="60"/>
              <w:spacing w:after="0" w:line="155" w:lineRule="exact"/>
              <w:rPr>
                <w:sz w:val="20"/>
                <w:szCs w:val="20"/>
                <w:color w:val="auto"/>
              </w:rPr>
            </w:pPr>
            <w:r>
              <w:rPr>
                <w:rFonts w:ascii="Arial" w:cs="Arial" w:eastAsia="Arial" w:hAnsi="Arial"/>
                <w:sz w:val="14"/>
                <w:szCs w:val="14"/>
                <w:color w:val="auto"/>
              </w:rPr>
              <w:t>Remittance</w:t>
            </w:r>
          </w:p>
        </w:tc>
        <w:tc>
          <w:tcPr>
            <w:tcW w:w="12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$xxx,xxx.xx</w:t>
            </w:r>
          </w:p>
        </w:tc>
      </w:tr>
      <w:tr>
        <w:trPr>
          <w:trHeight w:val="196"/>
        </w:trPr>
        <w:tc>
          <w:tcPr>
            <w:tcW w:w="24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8021360001</w:t>
            </w:r>
          </w:p>
        </w:tc>
        <w:tc>
          <w:tcPr>
            <w:tcW w:w="760" w:type="dxa"/>
            <w:vAlign w:val="bottom"/>
          </w:tcPr>
          <w:p>
            <w:pPr>
              <w:ind w:left="80"/>
              <w:spacing w:after="0"/>
              <w:rPr>
                <w:sz w:val="20"/>
                <w:szCs w:val="20"/>
                <w:color w:val="auto"/>
              </w:rPr>
            </w:pPr>
            <w:r>
              <w:rPr>
                <w:rFonts w:ascii="Arial" w:cs="Arial" w:eastAsia="Arial" w:hAnsi="Arial"/>
                <w:sz w:val="14"/>
                <w:szCs w:val="14"/>
                <w:color w:val="auto"/>
              </w:rPr>
              <w:t>Power</w:t>
            </w:r>
          </w:p>
        </w:tc>
        <w:tc>
          <w:tcPr>
            <w:tcW w:w="1280" w:type="dxa"/>
            <w:vAlign w:val="bottom"/>
          </w:tcPr>
          <w:p>
            <w:pPr>
              <w:ind w:left="160"/>
              <w:spacing w:after="0"/>
              <w:rPr>
                <w:sz w:val="20"/>
                <w:szCs w:val="20"/>
                <w:color w:val="auto"/>
              </w:rPr>
            </w:pPr>
            <w:r>
              <w:rPr>
                <w:rFonts w:ascii="Arial" w:cs="Arial" w:eastAsia="Arial" w:hAnsi="Arial"/>
                <w:sz w:val="14"/>
                <w:szCs w:val="14"/>
                <w:color w:val="auto"/>
              </w:rPr>
              <w:t>Bundled</w:t>
            </w:r>
          </w:p>
        </w:tc>
        <w:tc>
          <w:tcPr>
            <w:tcW w:w="1680" w:type="dxa"/>
            <w:vAlign w:val="bottom"/>
          </w:tcPr>
          <w:p>
            <w:pPr>
              <w:ind w:left="60"/>
              <w:spacing w:after="0"/>
              <w:rPr>
                <w:sz w:val="20"/>
                <w:szCs w:val="20"/>
                <w:color w:val="auto"/>
              </w:rPr>
            </w:pPr>
            <w:r>
              <w:rPr>
                <w:rFonts w:ascii="Arial" w:cs="Arial" w:eastAsia="Arial" w:hAnsi="Arial"/>
                <w:sz w:val="14"/>
                <w:szCs w:val="14"/>
                <w:color w:val="auto"/>
              </w:rPr>
              <w:t>Late Payment Charge</w:t>
            </w: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$xxx,xxx.xx</w:t>
            </w:r>
          </w:p>
        </w:tc>
      </w:tr>
      <w:tr>
        <w:trPr>
          <w:trHeight w:val="187"/>
        </w:trPr>
        <w:tc>
          <w:tcPr>
            <w:tcW w:w="24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8021360002</w:t>
            </w:r>
          </w:p>
        </w:tc>
        <w:tc>
          <w:tcPr>
            <w:tcW w:w="760" w:type="dxa"/>
            <w:vAlign w:val="bottom"/>
          </w:tcPr>
          <w:p>
            <w:pPr>
              <w:ind w:left="80"/>
              <w:spacing w:after="0"/>
              <w:rPr>
                <w:sz w:val="20"/>
                <w:szCs w:val="20"/>
                <w:color w:val="auto"/>
              </w:rPr>
            </w:pPr>
            <w:r>
              <w:rPr>
                <w:rFonts w:ascii="Arial" w:cs="Arial" w:eastAsia="Arial" w:hAnsi="Arial"/>
                <w:sz w:val="14"/>
                <w:szCs w:val="14"/>
                <w:color w:val="auto"/>
              </w:rPr>
              <w:t>Power</w:t>
            </w:r>
          </w:p>
        </w:tc>
        <w:tc>
          <w:tcPr>
            <w:tcW w:w="1280" w:type="dxa"/>
            <w:vAlign w:val="bottom"/>
          </w:tcPr>
          <w:p>
            <w:pPr>
              <w:ind w:left="160"/>
              <w:spacing w:after="0"/>
              <w:rPr>
                <w:sz w:val="20"/>
                <w:szCs w:val="20"/>
                <w:color w:val="auto"/>
              </w:rPr>
            </w:pPr>
            <w:r>
              <w:rPr>
                <w:rFonts w:ascii="Arial" w:cs="Arial" w:eastAsia="Arial" w:hAnsi="Arial"/>
                <w:sz w:val="14"/>
                <w:szCs w:val="14"/>
                <w:color w:val="auto"/>
              </w:rPr>
              <w:t>DA</w:t>
            </w:r>
          </w:p>
        </w:tc>
        <w:tc>
          <w:tcPr>
            <w:tcW w:w="1680" w:type="dxa"/>
            <w:vAlign w:val="bottom"/>
          </w:tcPr>
          <w:p>
            <w:pPr>
              <w:ind w:left="60"/>
              <w:spacing w:after="0"/>
              <w:rPr>
                <w:sz w:val="20"/>
                <w:szCs w:val="20"/>
                <w:color w:val="auto"/>
              </w:rPr>
            </w:pPr>
            <w:r>
              <w:rPr>
                <w:rFonts w:ascii="Arial" w:cs="Arial" w:eastAsia="Arial" w:hAnsi="Arial"/>
                <w:sz w:val="14"/>
                <w:szCs w:val="14"/>
                <w:color w:val="auto"/>
              </w:rPr>
              <w:t>Late Payment Charge</w:t>
            </w: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$xxx,xxx.xx</w:t>
            </w:r>
          </w:p>
        </w:tc>
      </w:tr>
      <w:tr>
        <w:trPr>
          <w:trHeight w:val="155"/>
        </w:trPr>
        <w:tc>
          <w:tcPr>
            <w:tcW w:w="2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8021360003</w:t>
            </w:r>
          </w:p>
        </w:tc>
        <w:tc>
          <w:tcPr>
            <w:tcW w:w="760" w:type="dxa"/>
            <w:vAlign w:val="bottom"/>
          </w:tcPr>
          <w:p>
            <w:pPr>
              <w:ind w:left="80"/>
              <w:spacing w:after="0" w:line="155" w:lineRule="exact"/>
              <w:rPr>
                <w:sz w:val="20"/>
                <w:szCs w:val="20"/>
                <w:color w:val="auto"/>
              </w:rPr>
            </w:pPr>
            <w:r>
              <w:rPr>
                <w:rFonts w:ascii="Arial" w:cs="Arial" w:eastAsia="Arial" w:hAnsi="Arial"/>
                <w:sz w:val="14"/>
                <w:szCs w:val="14"/>
                <w:color w:val="auto"/>
              </w:rPr>
              <w:t>Power</w:t>
            </w:r>
          </w:p>
        </w:tc>
        <w:tc>
          <w:tcPr>
            <w:tcW w:w="1280" w:type="dxa"/>
            <w:vAlign w:val="bottom"/>
          </w:tcPr>
          <w:p>
            <w:pPr>
              <w:ind w:left="160"/>
              <w:spacing w:after="0" w:line="155" w:lineRule="exact"/>
              <w:rPr>
                <w:sz w:val="20"/>
                <w:szCs w:val="20"/>
                <w:color w:val="auto"/>
              </w:rPr>
            </w:pPr>
            <w:r>
              <w:rPr>
                <w:rFonts w:ascii="Arial" w:cs="Arial" w:eastAsia="Arial" w:hAnsi="Arial"/>
                <w:sz w:val="14"/>
                <w:szCs w:val="14"/>
                <w:color w:val="auto"/>
              </w:rPr>
              <w:t>CGDL</w:t>
            </w:r>
          </w:p>
        </w:tc>
        <w:tc>
          <w:tcPr>
            <w:tcW w:w="1680" w:type="dxa"/>
            <w:vAlign w:val="bottom"/>
          </w:tcPr>
          <w:p>
            <w:pPr>
              <w:ind w:left="60"/>
              <w:spacing w:after="0" w:line="155" w:lineRule="exact"/>
              <w:rPr>
                <w:sz w:val="20"/>
                <w:szCs w:val="20"/>
                <w:color w:val="auto"/>
              </w:rPr>
            </w:pPr>
            <w:r>
              <w:rPr>
                <w:rFonts w:ascii="Arial" w:cs="Arial" w:eastAsia="Arial" w:hAnsi="Arial"/>
                <w:sz w:val="14"/>
                <w:szCs w:val="14"/>
                <w:color w:val="auto"/>
              </w:rPr>
              <w:t>Late Payment Charge</w:t>
            </w:r>
          </w:p>
        </w:tc>
        <w:tc>
          <w:tcPr>
            <w:tcW w:w="12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$xxx,xxx.xx</w:t>
            </w:r>
          </w:p>
        </w:tc>
      </w:tr>
      <w:tr>
        <w:trPr>
          <w:trHeight w:val="155"/>
        </w:trPr>
        <w:tc>
          <w:tcPr>
            <w:tcW w:w="2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8021360004</w:t>
            </w:r>
          </w:p>
        </w:tc>
        <w:tc>
          <w:tcPr>
            <w:tcW w:w="760" w:type="dxa"/>
            <w:vAlign w:val="bottom"/>
          </w:tcPr>
          <w:p>
            <w:pPr>
              <w:ind w:left="80"/>
              <w:spacing w:after="0" w:line="155" w:lineRule="exact"/>
              <w:rPr>
                <w:sz w:val="20"/>
                <w:szCs w:val="20"/>
                <w:color w:val="auto"/>
              </w:rPr>
            </w:pPr>
            <w:r>
              <w:rPr>
                <w:rFonts w:ascii="Arial" w:cs="Arial" w:eastAsia="Arial" w:hAnsi="Arial"/>
                <w:sz w:val="14"/>
                <w:szCs w:val="14"/>
                <w:color w:val="auto"/>
              </w:rPr>
              <w:t>Power</w:t>
            </w:r>
          </w:p>
        </w:tc>
        <w:tc>
          <w:tcPr>
            <w:tcW w:w="1280" w:type="dxa"/>
            <w:vAlign w:val="bottom"/>
          </w:tcPr>
          <w:p>
            <w:pPr>
              <w:ind w:left="160"/>
              <w:spacing w:after="0" w:line="155" w:lineRule="exact"/>
              <w:rPr>
                <w:sz w:val="20"/>
                <w:szCs w:val="20"/>
                <w:color w:val="auto"/>
              </w:rPr>
            </w:pPr>
            <w:r>
              <w:rPr>
                <w:rFonts w:ascii="Arial" w:cs="Arial" w:eastAsia="Arial" w:hAnsi="Arial"/>
                <w:sz w:val="14"/>
                <w:szCs w:val="14"/>
                <w:color w:val="auto"/>
              </w:rPr>
              <w:t>CCA</w:t>
            </w:r>
          </w:p>
        </w:tc>
        <w:tc>
          <w:tcPr>
            <w:tcW w:w="1680" w:type="dxa"/>
            <w:vAlign w:val="bottom"/>
          </w:tcPr>
          <w:p>
            <w:pPr>
              <w:ind w:left="60"/>
              <w:spacing w:after="0" w:line="155" w:lineRule="exact"/>
              <w:rPr>
                <w:sz w:val="20"/>
                <w:szCs w:val="20"/>
                <w:color w:val="auto"/>
              </w:rPr>
            </w:pPr>
            <w:r>
              <w:rPr>
                <w:rFonts w:ascii="Arial" w:cs="Arial" w:eastAsia="Arial" w:hAnsi="Arial"/>
                <w:sz w:val="14"/>
                <w:szCs w:val="14"/>
                <w:color w:val="auto"/>
              </w:rPr>
              <w:t>Late Payment Charge</w:t>
            </w:r>
          </w:p>
        </w:tc>
        <w:tc>
          <w:tcPr>
            <w:tcW w:w="12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$xxx,xxx.xx</w:t>
            </w:r>
          </w:p>
        </w:tc>
      </w:tr>
      <w:tr>
        <w:trPr>
          <w:trHeight w:val="155"/>
        </w:trPr>
        <w:tc>
          <w:tcPr>
            <w:tcW w:w="2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8021360010</w:t>
            </w:r>
          </w:p>
        </w:tc>
        <w:tc>
          <w:tcPr>
            <w:tcW w:w="760" w:type="dxa"/>
            <w:vAlign w:val="bottom"/>
          </w:tcPr>
          <w:p>
            <w:pPr>
              <w:ind w:left="80"/>
              <w:spacing w:after="0" w:line="155" w:lineRule="exact"/>
              <w:rPr>
                <w:sz w:val="20"/>
                <w:szCs w:val="20"/>
                <w:color w:val="auto"/>
              </w:rPr>
            </w:pPr>
            <w:r>
              <w:rPr>
                <w:rFonts w:ascii="Arial" w:cs="Arial" w:eastAsia="Arial" w:hAnsi="Arial"/>
                <w:sz w:val="14"/>
                <w:szCs w:val="14"/>
                <w:color w:val="auto"/>
              </w:rPr>
              <w:t>Power</w:t>
            </w:r>
          </w:p>
        </w:tc>
        <w:tc>
          <w:tcPr>
            <w:tcW w:w="1280" w:type="dxa"/>
            <w:vAlign w:val="bottom"/>
          </w:tcPr>
          <w:p>
            <w:pPr>
              <w:ind w:left="160"/>
              <w:spacing w:after="0" w:line="155" w:lineRule="exact"/>
              <w:rPr>
                <w:sz w:val="20"/>
                <w:szCs w:val="20"/>
                <w:color w:val="auto"/>
              </w:rPr>
            </w:pPr>
            <w:r>
              <w:rPr>
                <w:rFonts w:ascii="Arial" w:cs="Arial" w:eastAsia="Arial" w:hAnsi="Arial"/>
                <w:sz w:val="14"/>
                <w:szCs w:val="14"/>
                <w:color w:val="auto"/>
              </w:rPr>
              <w:t>MDL</w:t>
            </w:r>
          </w:p>
        </w:tc>
        <w:tc>
          <w:tcPr>
            <w:tcW w:w="1680" w:type="dxa"/>
            <w:vAlign w:val="bottom"/>
          </w:tcPr>
          <w:p>
            <w:pPr>
              <w:ind w:left="60"/>
              <w:spacing w:after="0" w:line="155" w:lineRule="exact"/>
              <w:rPr>
                <w:sz w:val="20"/>
                <w:szCs w:val="20"/>
                <w:color w:val="auto"/>
              </w:rPr>
            </w:pPr>
            <w:r>
              <w:rPr>
                <w:rFonts w:ascii="Arial" w:cs="Arial" w:eastAsia="Arial" w:hAnsi="Arial"/>
                <w:sz w:val="14"/>
                <w:szCs w:val="14"/>
                <w:color w:val="auto"/>
              </w:rPr>
              <w:t>Remittance</w:t>
            </w:r>
          </w:p>
        </w:tc>
        <w:tc>
          <w:tcPr>
            <w:tcW w:w="12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$xxx,xxx.xx</w:t>
            </w:r>
          </w:p>
        </w:tc>
      </w:tr>
      <w:tr>
        <w:trPr>
          <w:trHeight w:val="155"/>
        </w:trPr>
        <w:tc>
          <w:tcPr>
            <w:tcW w:w="2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8021360001</w:t>
            </w:r>
          </w:p>
        </w:tc>
        <w:tc>
          <w:tcPr>
            <w:tcW w:w="760" w:type="dxa"/>
            <w:vAlign w:val="bottom"/>
          </w:tcPr>
          <w:p>
            <w:pPr>
              <w:ind w:left="80"/>
              <w:spacing w:after="0" w:line="155" w:lineRule="exact"/>
              <w:rPr>
                <w:sz w:val="20"/>
                <w:szCs w:val="20"/>
                <w:color w:val="auto"/>
              </w:rPr>
            </w:pPr>
            <w:r>
              <w:rPr>
                <w:rFonts w:ascii="Arial" w:cs="Arial" w:eastAsia="Arial" w:hAnsi="Arial"/>
                <w:sz w:val="14"/>
                <w:szCs w:val="14"/>
                <w:color w:val="auto"/>
              </w:rPr>
              <w:t>Power</w:t>
            </w:r>
          </w:p>
        </w:tc>
        <w:tc>
          <w:tcPr>
            <w:tcW w:w="1280" w:type="dxa"/>
            <w:vAlign w:val="bottom"/>
          </w:tcPr>
          <w:p>
            <w:pPr>
              <w:ind w:left="160"/>
              <w:spacing w:after="0" w:line="155" w:lineRule="exact"/>
              <w:rPr>
                <w:sz w:val="20"/>
                <w:szCs w:val="20"/>
                <w:color w:val="auto"/>
              </w:rPr>
            </w:pPr>
            <w:r>
              <w:rPr>
                <w:rFonts w:ascii="Arial" w:cs="Arial" w:eastAsia="Arial" w:hAnsi="Arial"/>
                <w:sz w:val="14"/>
                <w:szCs w:val="14"/>
                <w:color w:val="auto"/>
              </w:rPr>
              <w:t>Bundled</w:t>
            </w:r>
          </w:p>
        </w:tc>
        <w:tc>
          <w:tcPr>
            <w:tcW w:w="1680" w:type="dxa"/>
            <w:vAlign w:val="bottom"/>
          </w:tcPr>
          <w:p>
            <w:pPr>
              <w:ind w:left="60"/>
              <w:spacing w:after="0" w:line="155" w:lineRule="exact"/>
              <w:rPr>
                <w:sz w:val="20"/>
                <w:szCs w:val="20"/>
                <w:color w:val="auto"/>
              </w:rPr>
            </w:pPr>
            <w:r>
              <w:rPr>
                <w:rFonts w:ascii="Arial" w:cs="Arial" w:eastAsia="Arial" w:hAnsi="Arial"/>
                <w:sz w:val="14"/>
                <w:szCs w:val="14"/>
                <w:color w:val="auto"/>
              </w:rPr>
              <w:t>Charge Off Recovery</w:t>
            </w:r>
          </w:p>
        </w:tc>
        <w:tc>
          <w:tcPr>
            <w:tcW w:w="12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$xxx,xxx.xx</w:t>
            </w:r>
          </w:p>
        </w:tc>
      </w:tr>
      <w:tr>
        <w:trPr>
          <w:trHeight w:val="155"/>
        </w:trPr>
        <w:tc>
          <w:tcPr>
            <w:tcW w:w="2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8021360002</w:t>
            </w:r>
          </w:p>
        </w:tc>
        <w:tc>
          <w:tcPr>
            <w:tcW w:w="760" w:type="dxa"/>
            <w:vAlign w:val="bottom"/>
          </w:tcPr>
          <w:p>
            <w:pPr>
              <w:ind w:left="80"/>
              <w:spacing w:after="0" w:line="155" w:lineRule="exact"/>
              <w:rPr>
                <w:sz w:val="20"/>
                <w:szCs w:val="20"/>
                <w:color w:val="auto"/>
              </w:rPr>
            </w:pPr>
            <w:r>
              <w:rPr>
                <w:rFonts w:ascii="Arial" w:cs="Arial" w:eastAsia="Arial" w:hAnsi="Arial"/>
                <w:sz w:val="14"/>
                <w:szCs w:val="14"/>
                <w:color w:val="auto"/>
              </w:rPr>
              <w:t>Power</w:t>
            </w:r>
          </w:p>
        </w:tc>
        <w:tc>
          <w:tcPr>
            <w:tcW w:w="1280" w:type="dxa"/>
            <w:vAlign w:val="bottom"/>
          </w:tcPr>
          <w:p>
            <w:pPr>
              <w:ind w:left="160"/>
              <w:spacing w:after="0" w:line="155" w:lineRule="exact"/>
              <w:rPr>
                <w:sz w:val="20"/>
                <w:szCs w:val="20"/>
                <w:color w:val="auto"/>
              </w:rPr>
            </w:pPr>
            <w:r>
              <w:rPr>
                <w:rFonts w:ascii="Arial" w:cs="Arial" w:eastAsia="Arial" w:hAnsi="Arial"/>
                <w:sz w:val="14"/>
                <w:szCs w:val="14"/>
                <w:color w:val="auto"/>
              </w:rPr>
              <w:t>DA</w:t>
            </w:r>
          </w:p>
        </w:tc>
        <w:tc>
          <w:tcPr>
            <w:tcW w:w="1680" w:type="dxa"/>
            <w:vAlign w:val="bottom"/>
          </w:tcPr>
          <w:p>
            <w:pPr>
              <w:ind w:left="60"/>
              <w:spacing w:after="0" w:line="155" w:lineRule="exact"/>
              <w:rPr>
                <w:sz w:val="20"/>
                <w:szCs w:val="20"/>
                <w:color w:val="auto"/>
              </w:rPr>
            </w:pPr>
            <w:r>
              <w:rPr>
                <w:rFonts w:ascii="Arial" w:cs="Arial" w:eastAsia="Arial" w:hAnsi="Arial"/>
                <w:sz w:val="14"/>
                <w:szCs w:val="14"/>
                <w:color w:val="auto"/>
              </w:rPr>
              <w:t>Charge Off Recovery</w:t>
            </w:r>
          </w:p>
        </w:tc>
        <w:tc>
          <w:tcPr>
            <w:tcW w:w="12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$xxx,xxx.xx</w:t>
            </w:r>
          </w:p>
        </w:tc>
      </w:tr>
      <w:tr>
        <w:trPr>
          <w:trHeight w:val="155"/>
        </w:trPr>
        <w:tc>
          <w:tcPr>
            <w:tcW w:w="2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8021360003</w:t>
            </w:r>
          </w:p>
        </w:tc>
        <w:tc>
          <w:tcPr>
            <w:tcW w:w="760" w:type="dxa"/>
            <w:vAlign w:val="bottom"/>
          </w:tcPr>
          <w:p>
            <w:pPr>
              <w:ind w:left="80"/>
              <w:spacing w:after="0" w:line="155" w:lineRule="exact"/>
              <w:rPr>
                <w:sz w:val="20"/>
                <w:szCs w:val="20"/>
                <w:color w:val="auto"/>
              </w:rPr>
            </w:pPr>
            <w:r>
              <w:rPr>
                <w:rFonts w:ascii="Arial" w:cs="Arial" w:eastAsia="Arial" w:hAnsi="Arial"/>
                <w:sz w:val="14"/>
                <w:szCs w:val="14"/>
                <w:color w:val="auto"/>
              </w:rPr>
              <w:t>Power</w:t>
            </w:r>
          </w:p>
        </w:tc>
        <w:tc>
          <w:tcPr>
            <w:tcW w:w="1280" w:type="dxa"/>
            <w:vAlign w:val="bottom"/>
          </w:tcPr>
          <w:p>
            <w:pPr>
              <w:ind w:left="160"/>
              <w:spacing w:after="0" w:line="155" w:lineRule="exact"/>
              <w:rPr>
                <w:sz w:val="20"/>
                <w:szCs w:val="20"/>
                <w:color w:val="auto"/>
              </w:rPr>
            </w:pPr>
            <w:r>
              <w:rPr>
                <w:rFonts w:ascii="Arial" w:cs="Arial" w:eastAsia="Arial" w:hAnsi="Arial"/>
                <w:sz w:val="14"/>
                <w:szCs w:val="14"/>
                <w:color w:val="auto"/>
              </w:rPr>
              <w:t>CGDL</w:t>
            </w:r>
          </w:p>
        </w:tc>
        <w:tc>
          <w:tcPr>
            <w:tcW w:w="1680" w:type="dxa"/>
            <w:vAlign w:val="bottom"/>
          </w:tcPr>
          <w:p>
            <w:pPr>
              <w:ind w:left="60"/>
              <w:spacing w:after="0" w:line="155" w:lineRule="exact"/>
              <w:rPr>
                <w:sz w:val="20"/>
                <w:szCs w:val="20"/>
                <w:color w:val="auto"/>
              </w:rPr>
            </w:pPr>
            <w:r>
              <w:rPr>
                <w:rFonts w:ascii="Arial" w:cs="Arial" w:eastAsia="Arial" w:hAnsi="Arial"/>
                <w:sz w:val="14"/>
                <w:szCs w:val="14"/>
                <w:color w:val="auto"/>
              </w:rPr>
              <w:t>Charge Off Recovery</w:t>
            </w:r>
          </w:p>
        </w:tc>
        <w:tc>
          <w:tcPr>
            <w:tcW w:w="12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$xxx,xxx.xx</w:t>
            </w:r>
          </w:p>
        </w:tc>
      </w:tr>
      <w:tr>
        <w:trPr>
          <w:trHeight w:val="155"/>
        </w:trPr>
        <w:tc>
          <w:tcPr>
            <w:tcW w:w="2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8021360004</w:t>
            </w:r>
          </w:p>
        </w:tc>
        <w:tc>
          <w:tcPr>
            <w:tcW w:w="760" w:type="dxa"/>
            <w:vAlign w:val="bottom"/>
          </w:tcPr>
          <w:p>
            <w:pPr>
              <w:ind w:left="80"/>
              <w:spacing w:after="0" w:line="155" w:lineRule="exact"/>
              <w:rPr>
                <w:sz w:val="20"/>
                <w:szCs w:val="20"/>
                <w:color w:val="auto"/>
              </w:rPr>
            </w:pPr>
            <w:r>
              <w:rPr>
                <w:rFonts w:ascii="Arial" w:cs="Arial" w:eastAsia="Arial" w:hAnsi="Arial"/>
                <w:sz w:val="14"/>
                <w:szCs w:val="14"/>
                <w:color w:val="auto"/>
              </w:rPr>
              <w:t>Power</w:t>
            </w:r>
          </w:p>
        </w:tc>
        <w:tc>
          <w:tcPr>
            <w:tcW w:w="1280" w:type="dxa"/>
            <w:vAlign w:val="bottom"/>
          </w:tcPr>
          <w:p>
            <w:pPr>
              <w:ind w:left="160"/>
              <w:spacing w:after="0" w:line="155" w:lineRule="exact"/>
              <w:rPr>
                <w:sz w:val="20"/>
                <w:szCs w:val="20"/>
                <w:color w:val="auto"/>
              </w:rPr>
            </w:pPr>
            <w:r>
              <w:rPr>
                <w:rFonts w:ascii="Arial" w:cs="Arial" w:eastAsia="Arial" w:hAnsi="Arial"/>
                <w:sz w:val="14"/>
                <w:szCs w:val="14"/>
                <w:color w:val="auto"/>
              </w:rPr>
              <w:t>CCA</w:t>
            </w:r>
          </w:p>
        </w:tc>
        <w:tc>
          <w:tcPr>
            <w:tcW w:w="1680" w:type="dxa"/>
            <w:vAlign w:val="bottom"/>
          </w:tcPr>
          <w:p>
            <w:pPr>
              <w:ind w:left="60"/>
              <w:spacing w:after="0" w:line="155" w:lineRule="exact"/>
              <w:rPr>
                <w:sz w:val="20"/>
                <w:szCs w:val="20"/>
                <w:color w:val="auto"/>
              </w:rPr>
            </w:pPr>
            <w:r>
              <w:rPr>
                <w:rFonts w:ascii="Arial" w:cs="Arial" w:eastAsia="Arial" w:hAnsi="Arial"/>
                <w:sz w:val="14"/>
                <w:szCs w:val="14"/>
                <w:color w:val="auto"/>
              </w:rPr>
              <w:t>Charge Off Recovery</w:t>
            </w:r>
          </w:p>
        </w:tc>
        <w:tc>
          <w:tcPr>
            <w:tcW w:w="12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$xxx,xxx.xx</w:t>
            </w:r>
          </w:p>
        </w:tc>
      </w:tr>
      <w:tr>
        <w:trPr>
          <w:trHeight w:val="156"/>
        </w:trPr>
        <w:tc>
          <w:tcPr>
            <w:tcW w:w="2440" w:type="dxa"/>
            <w:vAlign w:val="bottom"/>
            <w:tcBorders>
              <w:bottom w:val="single" w:sz="8" w:color="auto"/>
              <w:right w:val="single" w:sz="8" w:color="auto"/>
            </w:tcBorders>
          </w:tcPr>
          <w:p>
            <w:pPr>
              <w:ind w:left="100"/>
              <w:spacing w:after="0" w:line="156" w:lineRule="exact"/>
              <w:rPr>
                <w:sz w:val="20"/>
                <w:szCs w:val="20"/>
                <w:color w:val="auto"/>
              </w:rPr>
            </w:pPr>
            <w:r>
              <w:rPr>
                <w:rFonts w:ascii="Arial" w:cs="Arial" w:eastAsia="Arial" w:hAnsi="Arial"/>
                <w:sz w:val="14"/>
                <w:szCs w:val="14"/>
                <w:color w:val="auto"/>
              </w:rPr>
              <w:t>8021360010</w:t>
            </w:r>
          </w:p>
        </w:tc>
        <w:tc>
          <w:tcPr>
            <w:tcW w:w="760" w:type="dxa"/>
            <w:vAlign w:val="bottom"/>
            <w:tcBorders>
              <w:bottom w:val="single" w:sz="8" w:color="auto"/>
            </w:tcBorders>
          </w:tcPr>
          <w:p>
            <w:pPr>
              <w:ind w:left="80"/>
              <w:spacing w:after="0" w:line="156" w:lineRule="exact"/>
              <w:rPr>
                <w:sz w:val="20"/>
                <w:szCs w:val="20"/>
                <w:color w:val="auto"/>
              </w:rPr>
            </w:pPr>
            <w:r>
              <w:rPr>
                <w:rFonts w:ascii="Arial" w:cs="Arial" w:eastAsia="Arial" w:hAnsi="Arial"/>
                <w:sz w:val="14"/>
                <w:szCs w:val="14"/>
                <w:color w:val="auto"/>
              </w:rPr>
              <w:t>Power</w:t>
            </w:r>
          </w:p>
        </w:tc>
        <w:tc>
          <w:tcPr>
            <w:tcW w:w="1280" w:type="dxa"/>
            <w:vAlign w:val="bottom"/>
            <w:tcBorders>
              <w:bottom w:val="single" w:sz="8" w:color="auto"/>
            </w:tcBorders>
          </w:tcPr>
          <w:p>
            <w:pPr>
              <w:ind w:left="160"/>
              <w:spacing w:after="0" w:line="156" w:lineRule="exact"/>
              <w:rPr>
                <w:sz w:val="20"/>
                <w:szCs w:val="20"/>
                <w:color w:val="auto"/>
              </w:rPr>
            </w:pPr>
            <w:r>
              <w:rPr>
                <w:rFonts w:ascii="Arial" w:cs="Arial" w:eastAsia="Arial" w:hAnsi="Arial"/>
                <w:sz w:val="14"/>
                <w:szCs w:val="14"/>
                <w:color w:val="auto"/>
              </w:rPr>
              <w:t>MDL</w:t>
            </w:r>
          </w:p>
        </w:tc>
        <w:tc>
          <w:tcPr>
            <w:tcW w:w="1680" w:type="dxa"/>
            <w:vAlign w:val="bottom"/>
            <w:tcBorders>
              <w:bottom w:val="single" w:sz="8" w:color="auto"/>
            </w:tcBorders>
          </w:tcPr>
          <w:p>
            <w:pPr>
              <w:ind w:left="60"/>
              <w:spacing w:after="0" w:line="156" w:lineRule="exact"/>
              <w:rPr>
                <w:sz w:val="20"/>
                <w:szCs w:val="20"/>
                <w:color w:val="auto"/>
              </w:rPr>
            </w:pPr>
            <w:r>
              <w:rPr>
                <w:rFonts w:ascii="Arial" w:cs="Arial" w:eastAsia="Arial" w:hAnsi="Arial"/>
                <w:sz w:val="14"/>
                <w:szCs w:val="14"/>
                <w:color w:val="auto"/>
              </w:rPr>
              <w:t>Charge Off Recovery</w:t>
            </w:r>
          </w:p>
        </w:tc>
        <w:tc>
          <w:tcPr>
            <w:tcW w:w="1220" w:type="dxa"/>
            <w:vAlign w:val="bottom"/>
            <w:tcBorders>
              <w:bottom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$xxx,xxx.xx</w:t>
            </w:r>
          </w:p>
        </w:tc>
      </w:tr>
      <w:tr>
        <w:trPr>
          <w:trHeight w:val="155"/>
        </w:trPr>
        <w:tc>
          <w:tcPr>
            <w:tcW w:w="2440" w:type="dxa"/>
            <w:vAlign w:val="bottom"/>
            <w:tcBorders>
              <w:bottom w:val="single" w:sz="8" w:color="auto"/>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Power Charge Remittance Amount</w:t>
            </w:r>
          </w:p>
        </w:tc>
        <w:tc>
          <w:tcPr>
            <w:tcW w:w="7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$x,xxx,xxx.xx</w:t>
            </w:r>
          </w:p>
        </w:tc>
      </w:tr>
      <w:tr>
        <w:trPr>
          <w:trHeight w:val="145"/>
        </w:trPr>
        <w:tc>
          <w:tcPr>
            <w:tcW w:w="24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rPr>
              <w:t>8059000000</w:t>
            </w:r>
          </w:p>
        </w:tc>
        <w:tc>
          <w:tcPr>
            <w:tcW w:w="760" w:type="dxa"/>
            <w:vAlign w:val="bottom"/>
          </w:tcPr>
          <w:p>
            <w:pPr>
              <w:ind w:left="80"/>
              <w:spacing w:after="0" w:line="145" w:lineRule="exact"/>
              <w:rPr>
                <w:sz w:val="20"/>
                <w:szCs w:val="20"/>
                <w:color w:val="auto"/>
              </w:rPr>
            </w:pPr>
            <w:r>
              <w:rPr>
                <w:rFonts w:ascii="Arial" w:cs="Arial" w:eastAsia="Arial" w:hAnsi="Arial"/>
                <w:sz w:val="14"/>
                <w:szCs w:val="14"/>
                <w:color w:val="auto"/>
              </w:rPr>
              <w:t>Bond</w:t>
            </w:r>
          </w:p>
        </w:tc>
        <w:tc>
          <w:tcPr>
            <w:tcW w:w="1280" w:type="dxa"/>
            <w:vAlign w:val="bottom"/>
          </w:tcPr>
          <w:p>
            <w:pPr>
              <w:ind w:left="160"/>
              <w:spacing w:after="0" w:line="145" w:lineRule="exact"/>
              <w:rPr>
                <w:sz w:val="20"/>
                <w:szCs w:val="20"/>
                <w:color w:val="auto"/>
              </w:rPr>
            </w:pPr>
            <w:r>
              <w:rPr>
                <w:rFonts w:ascii="Arial" w:cs="Arial" w:eastAsia="Arial" w:hAnsi="Arial"/>
                <w:sz w:val="14"/>
                <w:szCs w:val="14"/>
                <w:color w:val="auto"/>
              </w:rPr>
              <w:t>Bundled</w:t>
            </w:r>
          </w:p>
        </w:tc>
        <w:tc>
          <w:tcPr>
            <w:tcW w:w="1680" w:type="dxa"/>
            <w:vAlign w:val="bottom"/>
          </w:tcPr>
          <w:p>
            <w:pPr>
              <w:ind w:left="60"/>
              <w:spacing w:after="0" w:line="145" w:lineRule="exact"/>
              <w:rPr>
                <w:sz w:val="20"/>
                <w:szCs w:val="20"/>
                <w:color w:val="auto"/>
              </w:rPr>
            </w:pPr>
            <w:r>
              <w:rPr>
                <w:rFonts w:ascii="Arial" w:cs="Arial" w:eastAsia="Arial" w:hAnsi="Arial"/>
                <w:sz w:val="14"/>
                <w:szCs w:val="14"/>
                <w:color w:val="auto"/>
              </w:rPr>
              <w:t>Remittance</w:t>
            </w:r>
          </w:p>
        </w:tc>
        <w:tc>
          <w:tcPr>
            <w:tcW w:w="1220" w:type="dxa"/>
            <w:vAlign w:val="bottom"/>
          </w:tcPr>
          <w:p>
            <w:pPr>
              <w:jc w:val="right"/>
              <w:ind w:right="31"/>
              <w:spacing w:after="0" w:line="145" w:lineRule="exact"/>
              <w:rPr>
                <w:sz w:val="20"/>
                <w:szCs w:val="20"/>
                <w:color w:val="auto"/>
              </w:rPr>
            </w:pPr>
            <w:r>
              <w:rPr>
                <w:rFonts w:ascii="Arial" w:cs="Arial" w:eastAsia="Arial" w:hAnsi="Arial"/>
                <w:sz w:val="14"/>
                <w:szCs w:val="14"/>
                <w:color w:val="auto"/>
              </w:rPr>
              <w:t>$xxx,xxx.xx</w:t>
            </w:r>
          </w:p>
        </w:tc>
      </w:tr>
      <w:tr>
        <w:trPr>
          <w:trHeight w:val="155"/>
        </w:trPr>
        <w:tc>
          <w:tcPr>
            <w:tcW w:w="2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8059000001</w:t>
            </w:r>
          </w:p>
        </w:tc>
        <w:tc>
          <w:tcPr>
            <w:tcW w:w="760" w:type="dxa"/>
            <w:vAlign w:val="bottom"/>
          </w:tcPr>
          <w:p>
            <w:pPr>
              <w:ind w:left="80"/>
              <w:spacing w:after="0" w:line="155" w:lineRule="exact"/>
              <w:rPr>
                <w:sz w:val="20"/>
                <w:szCs w:val="20"/>
                <w:color w:val="auto"/>
              </w:rPr>
            </w:pPr>
            <w:r>
              <w:rPr>
                <w:rFonts w:ascii="Arial" w:cs="Arial" w:eastAsia="Arial" w:hAnsi="Arial"/>
                <w:sz w:val="14"/>
                <w:szCs w:val="14"/>
                <w:color w:val="auto"/>
              </w:rPr>
              <w:t>Bond</w:t>
            </w:r>
          </w:p>
        </w:tc>
        <w:tc>
          <w:tcPr>
            <w:tcW w:w="1280" w:type="dxa"/>
            <w:vAlign w:val="bottom"/>
          </w:tcPr>
          <w:p>
            <w:pPr>
              <w:ind w:left="160"/>
              <w:spacing w:after="0" w:line="155" w:lineRule="exact"/>
              <w:rPr>
                <w:sz w:val="20"/>
                <w:szCs w:val="20"/>
                <w:color w:val="auto"/>
              </w:rPr>
            </w:pPr>
            <w:r>
              <w:rPr>
                <w:rFonts w:ascii="Arial" w:cs="Arial" w:eastAsia="Arial" w:hAnsi="Arial"/>
                <w:sz w:val="14"/>
                <w:szCs w:val="14"/>
                <w:color w:val="auto"/>
              </w:rPr>
              <w:t>DA</w:t>
            </w:r>
          </w:p>
        </w:tc>
        <w:tc>
          <w:tcPr>
            <w:tcW w:w="1680" w:type="dxa"/>
            <w:vAlign w:val="bottom"/>
          </w:tcPr>
          <w:p>
            <w:pPr>
              <w:ind w:left="60"/>
              <w:spacing w:after="0" w:line="155" w:lineRule="exact"/>
              <w:rPr>
                <w:sz w:val="20"/>
                <w:szCs w:val="20"/>
                <w:color w:val="auto"/>
              </w:rPr>
            </w:pPr>
            <w:r>
              <w:rPr>
                <w:rFonts w:ascii="Arial" w:cs="Arial" w:eastAsia="Arial" w:hAnsi="Arial"/>
                <w:sz w:val="14"/>
                <w:szCs w:val="14"/>
                <w:color w:val="auto"/>
              </w:rPr>
              <w:t>Remittance</w:t>
            </w:r>
          </w:p>
        </w:tc>
        <w:tc>
          <w:tcPr>
            <w:tcW w:w="12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$xxx,xxx.xx</w:t>
            </w:r>
          </w:p>
        </w:tc>
      </w:tr>
      <w:tr>
        <w:trPr>
          <w:trHeight w:val="155"/>
        </w:trPr>
        <w:tc>
          <w:tcPr>
            <w:tcW w:w="2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8059000003</w:t>
            </w:r>
          </w:p>
        </w:tc>
        <w:tc>
          <w:tcPr>
            <w:tcW w:w="760" w:type="dxa"/>
            <w:vAlign w:val="bottom"/>
          </w:tcPr>
          <w:p>
            <w:pPr>
              <w:ind w:left="80"/>
              <w:spacing w:after="0" w:line="155" w:lineRule="exact"/>
              <w:rPr>
                <w:sz w:val="20"/>
                <w:szCs w:val="20"/>
                <w:color w:val="auto"/>
              </w:rPr>
            </w:pPr>
            <w:r>
              <w:rPr>
                <w:rFonts w:ascii="Arial" w:cs="Arial" w:eastAsia="Arial" w:hAnsi="Arial"/>
                <w:sz w:val="14"/>
                <w:szCs w:val="14"/>
                <w:color w:val="auto"/>
              </w:rPr>
              <w:t>Bond</w:t>
            </w:r>
          </w:p>
        </w:tc>
        <w:tc>
          <w:tcPr>
            <w:tcW w:w="1280" w:type="dxa"/>
            <w:vAlign w:val="bottom"/>
          </w:tcPr>
          <w:p>
            <w:pPr>
              <w:ind w:left="160"/>
              <w:spacing w:after="0" w:line="155" w:lineRule="exact"/>
              <w:rPr>
                <w:sz w:val="20"/>
                <w:szCs w:val="20"/>
                <w:color w:val="auto"/>
              </w:rPr>
            </w:pPr>
            <w:r>
              <w:rPr>
                <w:rFonts w:ascii="Arial" w:cs="Arial" w:eastAsia="Arial" w:hAnsi="Arial"/>
                <w:sz w:val="14"/>
                <w:szCs w:val="14"/>
                <w:color w:val="auto"/>
              </w:rPr>
              <w:t>CGDL</w:t>
            </w:r>
          </w:p>
        </w:tc>
        <w:tc>
          <w:tcPr>
            <w:tcW w:w="1680" w:type="dxa"/>
            <w:vAlign w:val="bottom"/>
          </w:tcPr>
          <w:p>
            <w:pPr>
              <w:ind w:left="60"/>
              <w:spacing w:after="0" w:line="155" w:lineRule="exact"/>
              <w:rPr>
                <w:sz w:val="20"/>
                <w:szCs w:val="20"/>
                <w:color w:val="auto"/>
              </w:rPr>
            </w:pPr>
            <w:r>
              <w:rPr>
                <w:rFonts w:ascii="Arial" w:cs="Arial" w:eastAsia="Arial" w:hAnsi="Arial"/>
                <w:sz w:val="14"/>
                <w:szCs w:val="14"/>
                <w:color w:val="auto"/>
              </w:rPr>
              <w:t>Remittance</w:t>
            </w:r>
          </w:p>
        </w:tc>
        <w:tc>
          <w:tcPr>
            <w:tcW w:w="12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$xxx,xxx.xx</w:t>
            </w:r>
          </w:p>
        </w:tc>
      </w:tr>
      <w:tr>
        <w:trPr>
          <w:trHeight w:val="155"/>
        </w:trPr>
        <w:tc>
          <w:tcPr>
            <w:tcW w:w="2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8059000004</w:t>
            </w:r>
          </w:p>
        </w:tc>
        <w:tc>
          <w:tcPr>
            <w:tcW w:w="760" w:type="dxa"/>
            <w:vAlign w:val="bottom"/>
          </w:tcPr>
          <w:p>
            <w:pPr>
              <w:ind w:left="80"/>
              <w:spacing w:after="0" w:line="155" w:lineRule="exact"/>
              <w:rPr>
                <w:sz w:val="20"/>
                <w:szCs w:val="20"/>
                <w:color w:val="auto"/>
              </w:rPr>
            </w:pPr>
            <w:r>
              <w:rPr>
                <w:rFonts w:ascii="Arial" w:cs="Arial" w:eastAsia="Arial" w:hAnsi="Arial"/>
                <w:sz w:val="14"/>
                <w:szCs w:val="14"/>
                <w:color w:val="auto"/>
              </w:rPr>
              <w:t>Bond</w:t>
            </w:r>
          </w:p>
        </w:tc>
        <w:tc>
          <w:tcPr>
            <w:tcW w:w="1280" w:type="dxa"/>
            <w:vAlign w:val="bottom"/>
          </w:tcPr>
          <w:p>
            <w:pPr>
              <w:ind w:left="160"/>
              <w:spacing w:after="0" w:line="155" w:lineRule="exact"/>
              <w:rPr>
                <w:sz w:val="20"/>
                <w:szCs w:val="20"/>
                <w:color w:val="auto"/>
              </w:rPr>
            </w:pPr>
            <w:r>
              <w:rPr>
                <w:rFonts w:ascii="Arial" w:cs="Arial" w:eastAsia="Arial" w:hAnsi="Arial"/>
                <w:sz w:val="14"/>
                <w:szCs w:val="14"/>
                <w:color w:val="auto"/>
              </w:rPr>
              <w:t>CCA</w:t>
            </w:r>
          </w:p>
        </w:tc>
        <w:tc>
          <w:tcPr>
            <w:tcW w:w="1680" w:type="dxa"/>
            <w:vAlign w:val="bottom"/>
          </w:tcPr>
          <w:p>
            <w:pPr>
              <w:ind w:left="60"/>
              <w:spacing w:after="0" w:line="155" w:lineRule="exact"/>
              <w:rPr>
                <w:sz w:val="20"/>
                <w:szCs w:val="20"/>
                <w:color w:val="auto"/>
              </w:rPr>
            </w:pPr>
            <w:r>
              <w:rPr>
                <w:rFonts w:ascii="Arial" w:cs="Arial" w:eastAsia="Arial" w:hAnsi="Arial"/>
                <w:sz w:val="14"/>
                <w:szCs w:val="14"/>
                <w:color w:val="auto"/>
              </w:rPr>
              <w:t>Remittance</w:t>
            </w:r>
          </w:p>
        </w:tc>
        <w:tc>
          <w:tcPr>
            <w:tcW w:w="12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$xxx,xxx.xx</w:t>
            </w:r>
          </w:p>
        </w:tc>
      </w:tr>
      <w:tr>
        <w:trPr>
          <w:trHeight w:val="155"/>
        </w:trPr>
        <w:tc>
          <w:tcPr>
            <w:tcW w:w="2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8059000005</w:t>
            </w:r>
          </w:p>
        </w:tc>
        <w:tc>
          <w:tcPr>
            <w:tcW w:w="760" w:type="dxa"/>
            <w:vAlign w:val="bottom"/>
          </w:tcPr>
          <w:p>
            <w:pPr>
              <w:ind w:left="80"/>
              <w:spacing w:after="0" w:line="155" w:lineRule="exact"/>
              <w:rPr>
                <w:sz w:val="20"/>
                <w:szCs w:val="20"/>
                <w:color w:val="auto"/>
              </w:rPr>
            </w:pPr>
            <w:r>
              <w:rPr>
                <w:rFonts w:ascii="Arial" w:cs="Arial" w:eastAsia="Arial" w:hAnsi="Arial"/>
                <w:sz w:val="14"/>
                <w:szCs w:val="14"/>
                <w:color w:val="auto"/>
              </w:rPr>
              <w:t>Bond</w:t>
            </w:r>
          </w:p>
        </w:tc>
        <w:tc>
          <w:tcPr>
            <w:tcW w:w="1280" w:type="dxa"/>
            <w:vAlign w:val="bottom"/>
          </w:tcPr>
          <w:p>
            <w:pPr>
              <w:ind w:left="160"/>
              <w:spacing w:after="0" w:line="155" w:lineRule="exact"/>
              <w:rPr>
                <w:sz w:val="20"/>
                <w:szCs w:val="20"/>
                <w:color w:val="auto"/>
              </w:rPr>
            </w:pPr>
            <w:r>
              <w:rPr>
                <w:rFonts w:ascii="Arial" w:cs="Arial" w:eastAsia="Arial" w:hAnsi="Arial"/>
                <w:sz w:val="14"/>
                <w:szCs w:val="14"/>
                <w:color w:val="auto"/>
              </w:rPr>
              <w:t>MDL</w:t>
            </w:r>
          </w:p>
        </w:tc>
        <w:tc>
          <w:tcPr>
            <w:tcW w:w="1680" w:type="dxa"/>
            <w:vAlign w:val="bottom"/>
          </w:tcPr>
          <w:p>
            <w:pPr>
              <w:ind w:left="60"/>
              <w:spacing w:after="0" w:line="155" w:lineRule="exact"/>
              <w:rPr>
                <w:sz w:val="20"/>
                <w:szCs w:val="20"/>
                <w:color w:val="auto"/>
              </w:rPr>
            </w:pPr>
            <w:r>
              <w:rPr>
                <w:rFonts w:ascii="Arial" w:cs="Arial" w:eastAsia="Arial" w:hAnsi="Arial"/>
                <w:sz w:val="14"/>
                <w:szCs w:val="14"/>
                <w:color w:val="auto"/>
              </w:rPr>
              <w:t>Remittance</w:t>
            </w:r>
          </w:p>
        </w:tc>
        <w:tc>
          <w:tcPr>
            <w:tcW w:w="12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$xxx,xxx.xx</w:t>
            </w:r>
          </w:p>
        </w:tc>
      </w:tr>
      <w:tr>
        <w:trPr>
          <w:trHeight w:val="155"/>
        </w:trPr>
        <w:tc>
          <w:tcPr>
            <w:tcW w:w="2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8059000000</w:t>
            </w:r>
          </w:p>
        </w:tc>
        <w:tc>
          <w:tcPr>
            <w:tcW w:w="760" w:type="dxa"/>
            <w:vAlign w:val="bottom"/>
          </w:tcPr>
          <w:p>
            <w:pPr>
              <w:ind w:left="80"/>
              <w:spacing w:after="0" w:line="155" w:lineRule="exact"/>
              <w:rPr>
                <w:sz w:val="20"/>
                <w:szCs w:val="20"/>
                <w:color w:val="auto"/>
              </w:rPr>
            </w:pPr>
            <w:r>
              <w:rPr>
                <w:rFonts w:ascii="Arial" w:cs="Arial" w:eastAsia="Arial" w:hAnsi="Arial"/>
                <w:sz w:val="14"/>
                <w:szCs w:val="14"/>
                <w:color w:val="auto"/>
              </w:rPr>
              <w:t>Bond</w:t>
            </w:r>
          </w:p>
        </w:tc>
        <w:tc>
          <w:tcPr>
            <w:tcW w:w="1280" w:type="dxa"/>
            <w:vAlign w:val="bottom"/>
          </w:tcPr>
          <w:p>
            <w:pPr>
              <w:ind w:left="160"/>
              <w:spacing w:after="0" w:line="155" w:lineRule="exact"/>
              <w:rPr>
                <w:sz w:val="20"/>
                <w:szCs w:val="20"/>
                <w:color w:val="auto"/>
              </w:rPr>
            </w:pPr>
            <w:r>
              <w:rPr>
                <w:rFonts w:ascii="Arial" w:cs="Arial" w:eastAsia="Arial" w:hAnsi="Arial"/>
                <w:sz w:val="14"/>
                <w:szCs w:val="14"/>
                <w:color w:val="auto"/>
              </w:rPr>
              <w:t>Bundled</w:t>
            </w:r>
          </w:p>
        </w:tc>
        <w:tc>
          <w:tcPr>
            <w:tcW w:w="1680" w:type="dxa"/>
            <w:vAlign w:val="bottom"/>
          </w:tcPr>
          <w:p>
            <w:pPr>
              <w:ind w:left="60"/>
              <w:spacing w:after="0" w:line="155" w:lineRule="exact"/>
              <w:rPr>
                <w:sz w:val="20"/>
                <w:szCs w:val="20"/>
                <w:color w:val="auto"/>
              </w:rPr>
            </w:pPr>
            <w:r>
              <w:rPr>
                <w:rFonts w:ascii="Arial" w:cs="Arial" w:eastAsia="Arial" w:hAnsi="Arial"/>
                <w:sz w:val="14"/>
                <w:szCs w:val="14"/>
                <w:color w:val="auto"/>
              </w:rPr>
              <w:t>Late Payment Charge</w:t>
            </w:r>
          </w:p>
        </w:tc>
        <w:tc>
          <w:tcPr>
            <w:tcW w:w="12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$xxx,xxx.xx</w:t>
            </w:r>
          </w:p>
        </w:tc>
      </w:tr>
      <w:tr>
        <w:trPr>
          <w:trHeight w:val="155"/>
        </w:trPr>
        <w:tc>
          <w:tcPr>
            <w:tcW w:w="2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8059000001</w:t>
            </w:r>
          </w:p>
        </w:tc>
        <w:tc>
          <w:tcPr>
            <w:tcW w:w="760" w:type="dxa"/>
            <w:vAlign w:val="bottom"/>
          </w:tcPr>
          <w:p>
            <w:pPr>
              <w:ind w:left="80"/>
              <w:spacing w:after="0" w:line="155" w:lineRule="exact"/>
              <w:rPr>
                <w:sz w:val="20"/>
                <w:szCs w:val="20"/>
                <w:color w:val="auto"/>
              </w:rPr>
            </w:pPr>
            <w:r>
              <w:rPr>
                <w:rFonts w:ascii="Arial" w:cs="Arial" w:eastAsia="Arial" w:hAnsi="Arial"/>
                <w:sz w:val="14"/>
                <w:szCs w:val="14"/>
                <w:color w:val="auto"/>
              </w:rPr>
              <w:t>Bond</w:t>
            </w:r>
          </w:p>
        </w:tc>
        <w:tc>
          <w:tcPr>
            <w:tcW w:w="1280" w:type="dxa"/>
            <w:vAlign w:val="bottom"/>
          </w:tcPr>
          <w:p>
            <w:pPr>
              <w:ind w:left="160"/>
              <w:spacing w:after="0" w:line="155" w:lineRule="exact"/>
              <w:rPr>
                <w:sz w:val="20"/>
                <w:szCs w:val="20"/>
                <w:color w:val="auto"/>
              </w:rPr>
            </w:pPr>
            <w:r>
              <w:rPr>
                <w:rFonts w:ascii="Arial" w:cs="Arial" w:eastAsia="Arial" w:hAnsi="Arial"/>
                <w:sz w:val="14"/>
                <w:szCs w:val="14"/>
                <w:color w:val="auto"/>
              </w:rPr>
              <w:t>DA</w:t>
            </w:r>
          </w:p>
        </w:tc>
        <w:tc>
          <w:tcPr>
            <w:tcW w:w="1680" w:type="dxa"/>
            <w:vAlign w:val="bottom"/>
          </w:tcPr>
          <w:p>
            <w:pPr>
              <w:ind w:left="60"/>
              <w:spacing w:after="0" w:line="155" w:lineRule="exact"/>
              <w:rPr>
                <w:sz w:val="20"/>
                <w:szCs w:val="20"/>
                <w:color w:val="auto"/>
              </w:rPr>
            </w:pPr>
            <w:r>
              <w:rPr>
                <w:rFonts w:ascii="Arial" w:cs="Arial" w:eastAsia="Arial" w:hAnsi="Arial"/>
                <w:sz w:val="14"/>
                <w:szCs w:val="14"/>
                <w:color w:val="auto"/>
              </w:rPr>
              <w:t>Late Payment Charge</w:t>
            </w:r>
          </w:p>
        </w:tc>
        <w:tc>
          <w:tcPr>
            <w:tcW w:w="12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$xxx,xxx.xx</w:t>
            </w:r>
          </w:p>
        </w:tc>
      </w:tr>
      <w:tr>
        <w:trPr>
          <w:trHeight w:val="155"/>
        </w:trPr>
        <w:tc>
          <w:tcPr>
            <w:tcW w:w="2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8059000003</w:t>
            </w:r>
          </w:p>
        </w:tc>
        <w:tc>
          <w:tcPr>
            <w:tcW w:w="760" w:type="dxa"/>
            <w:vAlign w:val="bottom"/>
          </w:tcPr>
          <w:p>
            <w:pPr>
              <w:ind w:left="80"/>
              <w:spacing w:after="0" w:line="155" w:lineRule="exact"/>
              <w:rPr>
                <w:sz w:val="20"/>
                <w:szCs w:val="20"/>
                <w:color w:val="auto"/>
              </w:rPr>
            </w:pPr>
            <w:r>
              <w:rPr>
                <w:rFonts w:ascii="Arial" w:cs="Arial" w:eastAsia="Arial" w:hAnsi="Arial"/>
                <w:sz w:val="14"/>
                <w:szCs w:val="14"/>
                <w:color w:val="auto"/>
              </w:rPr>
              <w:t>Bond</w:t>
            </w:r>
          </w:p>
        </w:tc>
        <w:tc>
          <w:tcPr>
            <w:tcW w:w="1280" w:type="dxa"/>
            <w:vAlign w:val="bottom"/>
          </w:tcPr>
          <w:p>
            <w:pPr>
              <w:ind w:left="160"/>
              <w:spacing w:after="0" w:line="155" w:lineRule="exact"/>
              <w:rPr>
                <w:sz w:val="20"/>
                <w:szCs w:val="20"/>
                <w:color w:val="auto"/>
              </w:rPr>
            </w:pPr>
            <w:r>
              <w:rPr>
                <w:rFonts w:ascii="Arial" w:cs="Arial" w:eastAsia="Arial" w:hAnsi="Arial"/>
                <w:sz w:val="14"/>
                <w:szCs w:val="14"/>
                <w:color w:val="auto"/>
              </w:rPr>
              <w:t>CGDL</w:t>
            </w:r>
          </w:p>
        </w:tc>
        <w:tc>
          <w:tcPr>
            <w:tcW w:w="1680" w:type="dxa"/>
            <w:vAlign w:val="bottom"/>
          </w:tcPr>
          <w:p>
            <w:pPr>
              <w:ind w:left="60"/>
              <w:spacing w:after="0" w:line="155" w:lineRule="exact"/>
              <w:rPr>
                <w:sz w:val="20"/>
                <w:szCs w:val="20"/>
                <w:color w:val="auto"/>
              </w:rPr>
            </w:pPr>
            <w:r>
              <w:rPr>
                <w:rFonts w:ascii="Arial" w:cs="Arial" w:eastAsia="Arial" w:hAnsi="Arial"/>
                <w:sz w:val="14"/>
                <w:szCs w:val="14"/>
                <w:color w:val="auto"/>
              </w:rPr>
              <w:t>Late Payment Charge</w:t>
            </w:r>
          </w:p>
        </w:tc>
        <w:tc>
          <w:tcPr>
            <w:tcW w:w="12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$xxx,xxx.xx</w:t>
            </w:r>
          </w:p>
        </w:tc>
      </w:tr>
      <w:tr>
        <w:trPr>
          <w:trHeight w:val="155"/>
        </w:trPr>
        <w:tc>
          <w:tcPr>
            <w:tcW w:w="2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8059000004</w:t>
            </w:r>
          </w:p>
        </w:tc>
        <w:tc>
          <w:tcPr>
            <w:tcW w:w="760" w:type="dxa"/>
            <w:vAlign w:val="bottom"/>
          </w:tcPr>
          <w:p>
            <w:pPr>
              <w:ind w:left="80"/>
              <w:spacing w:after="0" w:line="155" w:lineRule="exact"/>
              <w:rPr>
                <w:sz w:val="20"/>
                <w:szCs w:val="20"/>
                <w:color w:val="auto"/>
              </w:rPr>
            </w:pPr>
            <w:r>
              <w:rPr>
                <w:rFonts w:ascii="Arial" w:cs="Arial" w:eastAsia="Arial" w:hAnsi="Arial"/>
                <w:sz w:val="14"/>
                <w:szCs w:val="14"/>
                <w:color w:val="auto"/>
              </w:rPr>
              <w:t>Bond</w:t>
            </w:r>
          </w:p>
        </w:tc>
        <w:tc>
          <w:tcPr>
            <w:tcW w:w="1280" w:type="dxa"/>
            <w:vAlign w:val="bottom"/>
          </w:tcPr>
          <w:p>
            <w:pPr>
              <w:ind w:left="160"/>
              <w:spacing w:after="0" w:line="155" w:lineRule="exact"/>
              <w:rPr>
                <w:sz w:val="20"/>
                <w:szCs w:val="20"/>
                <w:color w:val="auto"/>
              </w:rPr>
            </w:pPr>
            <w:r>
              <w:rPr>
                <w:rFonts w:ascii="Arial" w:cs="Arial" w:eastAsia="Arial" w:hAnsi="Arial"/>
                <w:sz w:val="14"/>
                <w:szCs w:val="14"/>
                <w:color w:val="auto"/>
              </w:rPr>
              <w:t>CCA</w:t>
            </w:r>
          </w:p>
        </w:tc>
        <w:tc>
          <w:tcPr>
            <w:tcW w:w="1680" w:type="dxa"/>
            <w:vAlign w:val="bottom"/>
          </w:tcPr>
          <w:p>
            <w:pPr>
              <w:ind w:left="60"/>
              <w:spacing w:after="0" w:line="155" w:lineRule="exact"/>
              <w:rPr>
                <w:sz w:val="20"/>
                <w:szCs w:val="20"/>
                <w:color w:val="auto"/>
              </w:rPr>
            </w:pPr>
            <w:r>
              <w:rPr>
                <w:rFonts w:ascii="Arial" w:cs="Arial" w:eastAsia="Arial" w:hAnsi="Arial"/>
                <w:sz w:val="14"/>
                <w:szCs w:val="14"/>
                <w:color w:val="auto"/>
              </w:rPr>
              <w:t>Late Payment Charge</w:t>
            </w:r>
          </w:p>
        </w:tc>
        <w:tc>
          <w:tcPr>
            <w:tcW w:w="12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$xxx,xxx.xx</w:t>
            </w:r>
          </w:p>
        </w:tc>
      </w:tr>
      <w:tr>
        <w:trPr>
          <w:trHeight w:val="155"/>
        </w:trPr>
        <w:tc>
          <w:tcPr>
            <w:tcW w:w="2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8059000005</w:t>
            </w:r>
          </w:p>
        </w:tc>
        <w:tc>
          <w:tcPr>
            <w:tcW w:w="760" w:type="dxa"/>
            <w:vAlign w:val="bottom"/>
          </w:tcPr>
          <w:p>
            <w:pPr>
              <w:ind w:left="80"/>
              <w:spacing w:after="0" w:line="155" w:lineRule="exact"/>
              <w:rPr>
                <w:sz w:val="20"/>
                <w:szCs w:val="20"/>
                <w:color w:val="auto"/>
              </w:rPr>
            </w:pPr>
            <w:r>
              <w:rPr>
                <w:rFonts w:ascii="Arial" w:cs="Arial" w:eastAsia="Arial" w:hAnsi="Arial"/>
                <w:sz w:val="14"/>
                <w:szCs w:val="14"/>
                <w:color w:val="auto"/>
              </w:rPr>
              <w:t>Bond</w:t>
            </w:r>
          </w:p>
        </w:tc>
        <w:tc>
          <w:tcPr>
            <w:tcW w:w="1280" w:type="dxa"/>
            <w:vAlign w:val="bottom"/>
          </w:tcPr>
          <w:p>
            <w:pPr>
              <w:ind w:left="160"/>
              <w:spacing w:after="0" w:line="155" w:lineRule="exact"/>
              <w:rPr>
                <w:sz w:val="20"/>
                <w:szCs w:val="20"/>
                <w:color w:val="auto"/>
              </w:rPr>
            </w:pPr>
            <w:r>
              <w:rPr>
                <w:rFonts w:ascii="Arial" w:cs="Arial" w:eastAsia="Arial" w:hAnsi="Arial"/>
                <w:sz w:val="14"/>
                <w:szCs w:val="14"/>
                <w:color w:val="auto"/>
              </w:rPr>
              <w:t>MDL</w:t>
            </w:r>
          </w:p>
        </w:tc>
        <w:tc>
          <w:tcPr>
            <w:tcW w:w="1680" w:type="dxa"/>
            <w:vAlign w:val="bottom"/>
          </w:tcPr>
          <w:p>
            <w:pPr>
              <w:ind w:left="60"/>
              <w:spacing w:after="0" w:line="155" w:lineRule="exact"/>
              <w:rPr>
                <w:sz w:val="20"/>
                <w:szCs w:val="20"/>
                <w:color w:val="auto"/>
              </w:rPr>
            </w:pPr>
            <w:r>
              <w:rPr>
                <w:rFonts w:ascii="Arial" w:cs="Arial" w:eastAsia="Arial" w:hAnsi="Arial"/>
                <w:sz w:val="14"/>
                <w:szCs w:val="14"/>
                <w:color w:val="auto"/>
              </w:rPr>
              <w:t>Late Payment Charge</w:t>
            </w:r>
          </w:p>
        </w:tc>
        <w:tc>
          <w:tcPr>
            <w:tcW w:w="12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$xxx,xxx.xx</w:t>
            </w:r>
          </w:p>
        </w:tc>
      </w:tr>
      <w:tr>
        <w:trPr>
          <w:trHeight w:val="155"/>
        </w:trPr>
        <w:tc>
          <w:tcPr>
            <w:tcW w:w="2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8059000000</w:t>
            </w:r>
          </w:p>
        </w:tc>
        <w:tc>
          <w:tcPr>
            <w:tcW w:w="760" w:type="dxa"/>
            <w:vAlign w:val="bottom"/>
          </w:tcPr>
          <w:p>
            <w:pPr>
              <w:ind w:left="80"/>
              <w:spacing w:after="0" w:line="155" w:lineRule="exact"/>
              <w:rPr>
                <w:sz w:val="20"/>
                <w:szCs w:val="20"/>
                <w:color w:val="auto"/>
              </w:rPr>
            </w:pPr>
            <w:r>
              <w:rPr>
                <w:rFonts w:ascii="Arial" w:cs="Arial" w:eastAsia="Arial" w:hAnsi="Arial"/>
                <w:sz w:val="14"/>
                <w:szCs w:val="14"/>
                <w:color w:val="auto"/>
              </w:rPr>
              <w:t>Bond</w:t>
            </w:r>
          </w:p>
        </w:tc>
        <w:tc>
          <w:tcPr>
            <w:tcW w:w="1280" w:type="dxa"/>
            <w:vAlign w:val="bottom"/>
          </w:tcPr>
          <w:p>
            <w:pPr>
              <w:ind w:left="160"/>
              <w:spacing w:after="0" w:line="155" w:lineRule="exact"/>
              <w:rPr>
                <w:sz w:val="20"/>
                <w:szCs w:val="20"/>
                <w:color w:val="auto"/>
              </w:rPr>
            </w:pPr>
            <w:r>
              <w:rPr>
                <w:rFonts w:ascii="Arial" w:cs="Arial" w:eastAsia="Arial" w:hAnsi="Arial"/>
                <w:sz w:val="14"/>
                <w:szCs w:val="14"/>
                <w:color w:val="auto"/>
              </w:rPr>
              <w:t>Bundled</w:t>
            </w:r>
          </w:p>
        </w:tc>
        <w:tc>
          <w:tcPr>
            <w:tcW w:w="1680" w:type="dxa"/>
            <w:vAlign w:val="bottom"/>
          </w:tcPr>
          <w:p>
            <w:pPr>
              <w:ind w:left="60"/>
              <w:spacing w:after="0" w:line="155" w:lineRule="exact"/>
              <w:rPr>
                <w:sz w:val="20"/>
                <w:szCs w:val="20"/>
                <w:color w:val="auto"/>
              </w:rPr>
            </w:pPr>
            <w:r>
              <w:rPr>
                <w:rFonts w:ascii="Arial" w:cs="Arial" w:eastAsia="Arial" w:hAnsi="Arial"/>
                <w:sz w:val="14"/>
                <w:szCs w:val="14"/>
                <w:color w:val="auto"/>
              </w:rPr>
              <w:t>Charge Off Recovery</w:t>
            </w:r>
          </w:p>
        </w:tc>
        <w:tc>
          <w:tcPr>
            <w:tcW w:w="12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$xxx,xxx.xx</w:t>
            </w:r>
          </w:p>
        </w:tc>
      </w:tr>
      <w:tr>
        <w:trPr>
          <w:trHeight w:val="155"/>
        </w:trPr>
        <w:tc>
          <w:tcPr>
            <w:tcW w:w="2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8059000001</w:t>
            </w:r>
          </w:p>
        </w:tc>
        <w:tc>
          <w:tcPr>
            <w:tcW w:w="760" w:type="dxa"/>
            <w:vAlign w:val="bottom"/>
          </w:tcPr>
          <w:p>
            <w:pPr>
              <w:ind w:left="80"/>
              <w:spacing w:after="0" w:line="155" w:lineRule="exact"/>
              <w:rPr>
                <w:sz w:val="20"/>
                <w:szCs w:val="20"/>
                <w:color w:val="auto"/>
              </w:rPr>
            </w:pPr>
            <w:r>
              <w:rPr>
                <w:rFonts w:ascii="Arial" w:cs="Arial" w:eastAsia="Arial" w:hAnsi="Arial"/>
                <w:sz w:val="14"/>
                <w:szCs w:val="14"/>
                <w:color w:val="auto"/>
              </w:rPr>
              <w:t>Bond</w:t>
            </w:r>
          </w:p>
        </w:tc>
        <w:tc>
          <w:tcPr>
            <w:tcW w:w="1280" w:type="dxa"/>
            <w:vAlign w:val="bottom"/>
          </w:tcPr>
          <w:p>
            <w:pPr>
              <w:ind w:left="160"/>
              <w:spacing w:after="0" w:line="155" w:lineRule="exact"/>
              <w:rPr>
                <w:sz w:val="20"/>
                <w:szCs w:val="20"/>
                <w:color w:val="auto"/>
              </w:rPr>
            </w:pPr>
            <w:r>
              <w:rPr>
                <w:rFonts w:ascii="Arial" w:cs="Arial" w:eastAsia="Arial" w:hAnsi="Arial"/>
                <w:sz w:val="14"/>
                <w:szCs w:val="14"/>
                <w:color w:val="auto"/>
              </w:rPr>
              <w:t>DA</w:t>
            </w:r>
          </w:p>
        </w:tc>
        <w:tc>
          <w:tcPr>
            <w:tcW w:w="1680" w:type="dxa"/>
            <w:vAlign w:val="bottom"/>
          </w:tcPr>
          <w:p>
            <w:pPr>
              <w:ind w:left="60"/>
              <w:spacing w:after="0" w:line="155" w:lineRule="exact"/>
              <w:rPr>
                <w:sz w:val="20"/>
                <w:szCs w:val="20"/>
                <w:color w:val="auto"/>
              </w:rPr>
            </w:pPr>
            <w:r>
              <w:rPr>
                <w:rFonts w:ascii="Arial" w:cs="Arial" w:eastAsia="Arial" w:hAnsi="Arial"/>
                <w:sz w:val="14"/>
                <w:szCs w:val="14"/>
                <w:color w:val="auto"/>
              </w:rPr>
              <w:t>Charge Off Recovery</w:t>
            </w:r>
          </w:p>
        </w:tc>
        <w:tc>
          <w:tcPr>
            <w:tcW w:w="12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$xxx,xxx.xx</w:t>
            </w:r>
          </w:p>
        </w:tc>
      </w:tr>
      <w:tr>
        <w:trPr>
          <w:trHeight w:val="155"/>
        </w:trPr>
        <w:tc>
          <w:tcPr>
            <w:tcW w:w="2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8059000003</w:t>
            </w:r>
          </w:p>
        </w:tc>
        <w:tc>
          <w:tcPr>
            <w:tcW w:w="760" w:type="dxa"/>
            <w:vAlign w:val="bottom"/>
          </w:tcPr>
          <w:p>
            <w:pPr>
              <w:ind w:left="80"/>
              <w:spacing w:after="0" w:line="155" w:lineRule="exact"/>
              <w:rPr>
                <w:sz w:val="20"/>
                <w:szCs w:val="20"/>
                <w:color w:val="auto"/>
              </w:rPr>
            </w:pPr>
            <w:r>
              <w:rPr>
                <w:rFonts w:ascii="Arial" w:cs="Arial" w:eastAsia="Arial" w:hAnsi="Arial"/>
                <w:sz w:val="14"/>
                <w:szCs w:val="14"/>
                <w:color w:val="auto"/>
              </w:rPr>
              <w:t>Bond</w:t>
            </w:r>
          </w:p>
        </w:tc>
        <w:tc>
          <w:tcPr>
            <w:tcW w:w="1280" w:type="dxa"/>
            <w:vAlign w:val="bottom"/>
          </w:tcPr>
          <w:p>
            <w:pPr>
              <w:ind w:left="160"/>
              <w:spacing w:after="0" w:line="155" w:lineRule="exact"/>
              <w:rPr>
                <w:sz w:val="20"/>
                <w:szCs w:val="20"/>
                <w:color w:val="auto"/>
              </w:rPr>
            </w:pPr>
            <w:r>
              <w:rPr>
                <w:rFonts w:ascii="Arial" w:cs="Arial" w:eastAsia="Arial" w:hAnsi="Arial"/>
                <w:sz w:val="14"/>
                <w:szCs w:val="14"/>
                <w:color w:val="auto"/>
              </w:rPr>
              <w:t>CGDL</w:t>
            </w:r>
          </w:p>
        </w:tc>
        <w:tc>
          <w:tcPr>
            <w:tcW w:w="1680" w:type="dxa"/>
            <w:vAlign w:val="bottom"/>
          </w:tcPr>
          <w:p>
            <w:pPr>
              <w:ind w:left="60"/>
              <w:spacing w:after="0" w:line="155" w:lineRule="exact"/>
              <w:rPr>
                <w:sz w:val="20"/>
                <w:szCs w:val="20"/>
                <w:color w:val="auto"/>
              </w:rPr>
            </w:pPr>
            <w:r>
              <w:rPr>
                <w:rFonts w:ascii="Arial" w:cs="Arial" w:eastAsia="Arial" w:hAnsi="Arial"/>
                <w:sz w:val="14"/>
                <w:szCs w:val="14"/>
                <w:color w:val="auto"/>
              </w:rPr>
              <w:t>Charge Off Recovery</w:t>
            </w:r>
          </w:p>
        </w:tc>
        <w:tc>
          <w:tcPr>
            <w:tcW w:w="12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$xxx,xxx.xx</w:t>
            </w:r>
          </w:p>
        </w:tc>
      </w:tr>
      <w:tr>
        <w:trPr>
          <w:trHeight w:val="155"/>
        </w:trPr>
        <w:tc>
          <w:tcPr>
            <w:tcW w:w="244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8059000004</w:t>
            </w:r>
          </w:p>
        </w:tc>
        <w:tc>
          <w:tcPr>
            <w:tcW w:w="760" w:type="dxa"/>
            <w:vAlign w:val="bottom"/>
          </w:tcPr>
          <w:p>
            <w:pPr>
              <w:ind w:left="80"/>
              <w:spacing w:after="0" w:line="155" w:lineRule="exact"/>
              <w:rPr>
                <w:sz w:val="20"/>
                <w:szCs w:val="20"/>
                <w:color w:val="auto"/>
              </w:rPr>
            </w:pPr>
            <w:r>
              <w:rPr>
                <w:rFonts w:ascii="Arial" w:cs="Arial" w:eastAsia="Arial" w:hAnsi="Arial"/>
                <w:sz w:val="14"/>
                <w:szCs w:val="14"/>
                <w:color w:val="auto"/>
              </w:rPr>
              <w:t>Bond</w:t>
            </w:r>
          </w:p>
        </w:tc>
        <w:tc>
          <w:tcPr>
            <w:tcW w:w="1280" w:type="dxa"/>
            <w:vAlign w:val="bottom"/>
          </w:tcPr>
          <w:p>
            <w:pPr>
              <w:ind w:left="160"/>
              <w:spacing w:after="0" w:line="155" w:lineRule="exact"/>
              <w:rPr>
                <w:sz w:val="20"/>
                <w:szCs w:val="20"/>
                <w:color w:val="auto"/>
              </w:rPr>
            </w:pPr>
            <w:r>
              <w:rPr>
                <w:rFonts w:ascii="Arial" w:cs="Arial" w:eastAsia="Arial" w:hAnsi="Arial"/>
                <w:sz w:val="14"/>
                <w:szCs w:val="14"/>
                <w:color w:val="auto"/>
              </w:rPr>
              <w:t>CCA</w:t>
            </w:r>
          </w:p>
        </w:tc>
        <w:tc>
          <w:tcPr>
            <w:tcW w:w="1680" w:type="dxa"/>
            <w:vAlign w:val="bottom"/>
          </w:tcPr>
          <w:p>
            <w:pPr>
              <w:ind w:left="60"/>
              <w:spacing w:after="0" w:line="155" w:lineRule="exact"/>
              <w:rPr>
                <w:sz w:val="20"/>
                <w:szCs w:val="20"/>
                <w:color w:val="auto"/>
              </w:rPr>
            </w:pPr>
            <w:r>
              <w:rPr>
                <w:rFonts w:ascii="Arial" w:cs="Arial" w:eastAsia="Arial" w:hAnsi="Arial"/>
                <w:sz w:val="14"/>
                <w:szCs w:val="14"/>
                <w:color w:val="auto"/>
              </w:rPr>
              <w:t>Charge Off Recovery</w:t>
            </w:r>
          </w:p>
        </w:tc>
        <w:tc>
          <w:tcPr>
            <w:tcW w:w="1220" w:type="dxa"/>
            <w:vAlign w:val="bottom"/>
          </w:tcPr>
          <w:p>
            <w:pPr>
              <w:jc w:val="right"/>
              <w:ind w:right="31"/>
              <w:spacing w:after="0" w:line="155" w:lineRule="exact"/>
              <w:rPr>
                <w:sz w:val="20"/>
                <w:szCs w:val="20"/>
                <w:color w:val="auto"/>
              </w:rPr>
            </w:pPr>
            <w:r>
              <w:rPr>
                <w:rFonts w:ascii="Arial" w:cs="Arial" w:eastAsia="Arial" w:hAnsi="Arial"/>
                <w:sz w:val="14"/>
                <w:szCs w:val="14"/>
                <w:color w:val="auto"/>
              </w:rPr>
              <w:t>$xxx,xxx.xx</w:t>
            </w:r>
          </w:p>
        </w:tc>
      </w:tr>
      <w:tr>
        <w:trPr>
          <w:trHeight w:val="156"/>
        </w:trPr>
        <w:tc>
          <w:tcPr>
            <w:tcW w:w="2440" w:type="dxa"/>
            <w:vAlign w:val="bottom"/>
            <w:tcBorders>
              <w:bottom w:val="single" w:sz="8" w:color="auto"/>
              <w:right w:val="single" w:sz="8" w:color="auto"/>
            </w:tcBorders>
          </w:tcPr>
          <w:p>
            <w:pPr>
              <w:ind w:left="100"/>
              <w:spacing w:after="0" w:line="156" w:lineRule="exact"/>
              <w:rPr>
                <w:sz w:val="20"/>
                <w:szCs w:val="20"/>
                <w:color w:val="auto"/>
              </w:rPr>
            </w:pPr>
            <w:r>
              <w:rPr>
                <w:rFonts w:ascii="Arial" w:cs="Arial" w:eastAsia="Arial" w:hAnsi="Arial"/>
                <w:sz w:val="14"/>
                <w:szCs w:val="14"/>
                <w:color w:val="auto"/>
              </w:rPr>
              <w:t>8059000005</w:t>
            </w:r>
          </w:p>
        </w:tc>
        <w:tc>
          <w:tcPr>
            <w:tcW w:w="760" w:type="dxa"/>
            <w:vAlign w:val="bottom"/>
            <w:tcBorders>
              <w:bottom w:val="single" w:sz="8" w:color="auto"/>
            </w:tcBorders>
          </w:tcPr>
          <w:p>
            <w:pPr>
              <w:ind w:left="80"/>
              <w:spacing w:after="0" w:line="156" w:lineRule="exact"/>
              <w:rPr>
                <w:sz w:val="20"/>
                <w:szCs w:val="20"/>
                <w:color w:val="auto"/>
              </w:rPr>
            </w:pPr>
            <w:r>
              <w:rPr>
                <w:rFonts w:ascii="Arial" w:cs="Arial" w:eastAsia="Arial" w:hAnsi="Arial"/>
                <w:sz w:val="14"/>
                <w:szCs w:val="14"/>
                <w:color w:val="auto"/>
              </w:rPr>
              <w:t>Bond</w:t>
            </w:r>
          </w:p>
        </w:tc>
        <w:tc>
          <w:tcPr>
            <w:tcW w:w="1280" w:type="dxa"/>
            <w:vAlign w:val="bottom"/>
            <w:tcBorders>
              <w:bottom w:val="single" w:sz="8" w:color="auto"/>
            </w:tcBorders>
          </w:tcPr>
          <w:p>
            <w:pPr>
              <w:ind w:left="160"/>
              <w:spacing w:after="0" w:line="156" w:lineRule="exact"/>
              <w:rPr>
                <w:sz w:val="20"/>
                <w:szCs w:val="20"/>
                <w:color w:val="auto"/>
              </w:rPr>
            </w:pPr>
            <w:r>
              <w:rPr>
                <w:rFonts w:ascii="Arial" w:cs="Arial" w:eastAsia="Arial" w:hAnsi="Arial"/>
                <w:sz w:val="14"/>
                <w:szCs w:val="14"/>
                <w:color w:val="auto"/>
              </w:rPr>
              <w:t>MDL</w:t>
            </w:r>
          </w:p>
        </w:tc>
        <w:tc>
          <w:tcPr>
            <w:tcW w:w="1680" w:type="dxa"/>
            <w:vAlign w:val="bottom"/>
            <w:tcBorders>
              <w:bottom w:val="single" w:sz="8" w:color="auto"/>
            </w:tcBorders>
          </w:tcPr>
          <w:p>
            <w:pPr>
              <w:ind w:left="60"/>
              <w:spacing w:after="0" w:line="156" w:lineRule="exact"/>
              <w:rPr>
                <w:sz w:val="20"/>
                <w:szCs w:val="20"/>
                <w:color w:val="auto"/>
              </w:rPr>
            </w:pPr>
            <w:r>
              <w:rPr>
                <w:rFonts w:ascii="Arial" w:cs="Arial" w:eastAsia="Arial" w:hAnsi="Arial"/>
                <w:sz w:val="14"/>
                <w:szCs w:val="14"/>
                <w:color w:val="auto"/>
              </w:rPr>
              <w:t>Charge Off Recovery</w:t>
            </w:r>
          </w:p>
        </w:tc>
        <w:tc>
          <w:tcPr>
            <w:tcW w:w="1220" w:type="dxa"/>
            <w:vAlign w:val="bottom"/>
            <w:tcBorders>
              <w:bottom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$xxx,xxx.xx</w:t>
            </w:r>
          </w:p>
        </w:tc>
      </w:tr>
      <w:tr>
        <w:trPr>
          <w:trHeight w:val="156"/>
        </w:trPr>
        <w:tc>
          <w:tcPr>
            <w:tcW w:w="2440" w:type="dxa"/>
            <w:vAlign w:val="bottom"/>
            <w:tcBorders>
              <w:bottom w:val="single" w:sz="8" w:color="auto"/>
              <w:right w:val="single" w:sz="8" w:color="auto"/>
            </w:tcBorders>
          </w:tcPr>
          <w:p>
            <w:pPr>
              <w:ind w:left="100"/>
              <w:spacing w:after="0" w:line="155" w:lineRule="exact"/>
              <w:rPr>
                <w:sz w:val="20"/>
                <w:szCs w:val="20"/>
                <w:color w:val="auto"/>
              </w:rPr>
            </w:pPr>
            <w:r>
              <w:rPr>
                <w:rFonts w:ascii="Arial" w:cs="Arial" w:eastAsia="Arial" w:hAnsi="Arial"/>
                <w:sz w:val="14"/>
                <w:szCs w:val="14"/>
                <w:color w:val="auto"/>
              </w:rPr>
              <w:t>Bond Charge Remittance Amount</w:t>
            </w:r>
          </w:p>
        </w:tc>
        <w:tc>
          <w:tcPr>
            <w:tcW w:w="7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$x,xxx,xxx.xx</w:t>
            </w:r>
          </w:p>
        </w:tc>
      </w:tr>
    </w:tbl>
    <w:p>
      <w:pPr>
        <w:spacing w:after="0" w:line="159" w:lineRule="exact"/>
        <w:rPr>
          <w:sz w:val="20"/>
          <w:szCs w:val="20"/>
          <w:color w:val="auto"/>
        </w:rPr>
      </w:pPr>
    </w:p>
    <w:p>
      <w:pPr>
        <w:ind w:left="500" w:right="3060" w:hanging="1"/>
        <w:spacing w:after="0" w:line="456" w:lineRule="auto"/>
        <w:tabs>
          <w:tab w:leader="none" w:pos="996" w:val="left"/>
        </w:tabs>
        <w:numPr>
          <w:ilvl w:val="0"/>
          <w:numId w:val="184"/>
        </w:numPr>
        <w:rPr>
          <w:rFonts w:ascii="Arial" w:cs="Arial" w:eastAsia="Arial" w:hAnsi="Arial"/>
          <w:sz w:val="17"/>
          <w:szCs w:val="17"/>
          <w:color w:val="auto"/>
        </w:rPr>
      </w:pPr>
      <w:r>
        <w:rPr>
          <w:rFonts w:ascii="Arial" w:cs="Arial" w:eastAsia="Arial" w:hAnsi="Arial"/>
          <w:sz w:val="17"/>
          <w:szCs w:val="17"/>
          <w:color w:val="auto"/>
        </w:rPr>
        <w:t>Wiring or ACH transfer Information - The following information should appear in the wire or ACH transmittal: &lt;Utility Name&gt; &lt;Fund Type&gt;&lt;Collection Date yyyymmdd&gt;</w:t>
      </w:r>
    </w:p>
    <w:p>
      <w:pPr>
        <w:spacing w:after="0" w:line="1" w:lineRule="exact"/>
        <w:rPr>
          <w:sz w:val="20"/>
          <w:szCs w:val="20"/>
          <w:color w:val="auto"/>
        </w:rPr>
      </w:pPr>
    </w:p>
    <w:p>
      <w:pPr>
        <w:ind w:left="1000"/>
        <w:spacing w:after="0"/>
        <w:tabs>
          <w:tab w:leader="none" w:pos="1960" w:val="left"/>
        </w:tabs>
        <w:rPr>
          <w:sz w:val="20"/>
          <w:szCs w:val="20"/>
          <w:color w:val="auto"/>
        </w:rPr>
      </w:pPr>
      <w:r>
        <w:rPr>
          <w:rFonts w:ascii="Arial" w:cs="Arial" w:eastAsia="Arial" w:hAnsi="Arial"/>
          <w:sz w:val="17"/>
          <w:szCs w:val="17"/>
          <w:i w:val="1"/>
          <w:iCs w:val="1"/>
          <w:color w:val="auto"/>
        </w:rPr>
        <w:t>Example:</w:t>
      </w:r>
      <w:r>
        <w:rPr>
          <w:sz w:val="20"/>
          <w:szCs w:val="20"/>
          <w:color w:val="auto"/>
        </w:rPr>
        <w:tab/>
      </w:r>
      <w:r>
        <w:rPr>
          <w:rFonts w:ascii="Arial" w:cs="Arial" w:eastAsia="Arial" w:hAnsi="Arial"/>
          <w:sz w:val="17"/>
          <w:szCs w:val="17"/>
          <w:i w:val="1"/>
          <w:iCs w:val="1"/>
          <w:color w:val="auto"/>
        </w:rPr>
        <w:t>SDG&amp;E DWR Power 20090902</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B</w:t>
      </w:r>
      <w:r>
        <w:rPr>
          <w:rFonts w:ascii="Arial" w:cs="Arial" w:eastAsia="Arial" w:hAnsi="Arial"/>
          <w:sz w:val="17"/>
          <w:szCs w:val="17"/>
          <w:b w:val="1"/>
          <w:bCs w:val="1"/>
          <w:color w:val="auto"/>
        </w:rPr>
        <w:t>.</w:t>
      </w:r>
      <w:r>
        <w:rPr>
          <w:sz w:val="20"/>
          <w:szCs w:val="20"/>
          <w:color w:val="auto"/>
        </w:rPr>
        <w:tab/>
      </w:r>
      <w:r>
        <w:rPr>
          <w:rFonts w:ascii="Arial" w:cs="Arial" w:eastAsia="Arial" w:hAnsi="Arial"/>
          <w:sz w:val="14"/>
          <w:szCs w:val="14"/>
          <w:u w:val="single" w:color="auto"/>
          <w:color w:val="auto"/>
        </w:rPr>
        <w:t>Remittance Netting Report</w:t>
      </w:r>
    </w:p>
    <w:p>
      <w:pPr>
        <w:spacing w:after="0" w:line="177" w:lineRule="exact"/>
        <w:rPr>
          <w:sz w:val="20"/>
          <w:szCs w:val="20"/>
          <w:color w:val="auto"/>
        </w:rPr>
      </w:pPr>
    </w:p>
    <w:p>
      <w:pPr>
        <w:ind w:firstLine="496"/>
        <w:spacing w:after="0" w:line="237" w:lineRule="auto"/>
        <w:rPr>
          <w:sz w:val="20"/>
          <w:szCs w:val="20"/>
          <w:color w:val="auto"/>
        </w:rPr>
      </w:pPr>
      <w:r>
        <w:rPr>
          <w:rFonts w:ascii="Arial" w:cs="Arial" w:eastAsia="Arial" w:hAnsi="Arial"/>
          <w:sz w:val="17"/>
          <w:szCs w:val="17"/>
          <w:color w:val="auto"/>
        </w:rPr>
        <w:t>The Remittance Netting Report, which will include the items in the Daily Remittance Report described in Sub-section A, is to be submitted to DWR on any Utility Business Day of the Term on which SDG&amp;E nets amount owed by DWR to SDG&amp;E against the amount of Customer payment for a Charge Type on an applicable Customer Type.</w:t>
      </w:r>
    </w:p>
    <w:p>
      <w:pPr>
        <w:spacing w:after="0" w:line="151" w:lineRule="exact"/>
        <w:rPr>
          <w:sz w:val="20"/>
          <w:szCs w:val="20"/>
          <w:color w:val="auto"/>
        </w:rPr>
      </w:pPr>
    </w:p>
    <w:p>
      <w:pPr>
        <w:ind w:left="1000" w:right="180" w:hanging="501"/>
        <w:spacing w:after="0" w:line="250" w:lineRule="auto"/>
        <w:tabs>
          <w:tab w:leader="none" w:pos="1000" w:val="left"/>
        </w:tabs>
        <w:numPr>
          <w:ilvl w:val="0"/>
          <w:numId w:val="18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Delivery Mechanism and Naming Convention - </w:t>
      </w:r>
      <w:r>
        <w:rPr>
          <w:rFonts w:ascii="Arial" w:cs="Arial" w:eastAsia="Arial" w:hAnsi="Arial"/>
          <w:sz w:val="17"/>
          <w:szCs w:val="17"/>
          <w:color w:val="auto"/>
        </w:rPr>
        <w:t>The Remittance Netting Report should be attached to the same e-mail transmitting the Daily Remittance</w:t>
      </w:r>
      <w:r>
        <w:rPr>
          <w:rFonts w:ascii="Arial" w:cs="Arial" w:eastAsia="Arial" w:hAnsi="Arial"/>
          <w:sz w:val="17"/>
          <w:szCs w:val="17"/>
          <w:b w:val="1"/>
          <w:bCs w:val="1"/>
          <w:color w:val="auto"/>
        </w:rPr>
        <w:t xml:space="preserve"> </w:t>
      </w:r>
      <w:r>
        <w:rPr>
          <w:rFonts w:ascii="Arial" w:cs="Arial" w:eastAsia="Arial" w:hAnsi="Arial"/>
          <w:sz w:val="17"/>
          <w:szCs w:val="17"/>
          <w:color w:val="auto"/>
        </w:rPr>
        <w:t>Report.</w:t>
      </w:r>
    </w:p>
    <w:p>
      <w:pPr>
        <w:spacing w:after="0" w:line="155" w:lineRule="exact"/>
        <w:rPr>
          <w:sz w:val="20"/>
          <w:szCs w:val="20"/>
          <w:color w:val="auto"/>
        </w:rPr>
      </w:pPr>
    </w:p>
    <w:p>
      <w:pPr>
        <w:ind w:left="1000" w:right="4680" w:hanging="501"/>
        <w:spacing w:after="0" w:line="485" w:lineRule="auto"/>
        <w:tabs>
          <w:tab w:leader="none" w:pos="752"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The format of the filename: &lt;utility name&gt; - Remittance Netting Report yyyymmdd v#.xls </w:t>
      </w:r>
      <w:r>
        <w:rPr>
          <w:rFonts w:ascii="Arial" w:cs="Arial" w:eastAsia="Arial" w:hAnsi="Arial"/>
          <w:sz w:val="16"/>
          <w:szCs w:val="16"/>
          <w:i w:val="1"/>
          <w:iCs w:val="1"/>
          <w:color w:val="auto"/>
        </w:rPr>
        <w:t>Example: SDG&amp;E - Remittance Netting Report 20090902 v1.xls</w:t>
      </w:r>
    </w:p>
    <w:p>
      <w:pPr>
        <w:spacing w:after="0" w:line="1" w:lineRule="exact"/>
        <w:rPr>
          <w:sz w:val="20"/>
          <w:szCs w:val="20"/>
          <w:color w:val="auto"/>
        </w:rPr>
      </w:pPr>
    </w:p>
    <w:p>
      <w:pPr>
        <w:ind w:left="1000" w:right="120"/>
        <w:spacing w:after="0" w:line="245" w:lineRule="auto"/>
        <w:rPr>
          <w:sz w:val="20"/>
          <w:szCs w:val="20"/>
          <w:color w:val="auto"/>
        </w:rPr>
      </w:pPr>
      <w:r>
        <w:rPr>
          <w:rFonts w:ascii="Arial" w:cs="Arial" w:eastAsia="Arial" w:hAnsi="Arial"/>
          <w:sz w:val="17"/>
          <w:szCs w:val="17"/>
          <w:color w:val="auto"/>
        </w:rPr>
        <w:t>Modifications to a submitted report will be accomplished by resending all the data including the necessary modifications and renaming the daily report with the subsequent version number.</w:t>
      </w:r>
    </w:p>
    <w:p>
      <w:pPr>
        <w:spacing w:after="0" w:line="145" w:lineRule="exact"/>
        <w:rPr>
          <w:sz w:val="20"/>
          <w:szCs w:val="20"/>
          <w:color w:val="auto"/>
        </w:rPr>
      </w:pPr>
    </w:p>
    <w:p>
      <w:pPr>
        <w:ind w:left="1000" w:right="60" w:hanging="501"/>
        <w:spacing w:after="0" w:line="355" w:lineRule="auto"/>
        <w:tabs>
          <w:tab w:leader="none" w:pos="1000" w:val="left"/>
        </w:tabs>
        <w:numPr>
          <w:ilvl w:val="0"/>
          <w:numId w:val="18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Required Information – </w:t>
      </w:r>
      <w:r>
        <w:rPr>
          <w:rFonts w:ascii="Arial" w:cs="Arial" w:eastAsia="Arial" w:hAnsi="Arial"/>
          <w:sz w:val="14"/>
          <w:szCs w:val="14"/>
          <w:color w:val="auto"/>
        </w:rPr>
        <w:t>The required information is shown in the following example. Except for the Remittance Adjustment and Daily Remittance values,</w:t>
      </w:r>
      <w:r>
        <w:rPr>
          <w:rFonts w:ascii="Arial" w:cs="Arial" w:eastAsia="Arial" w:hAnsi="Arial"/>
          <w:sz w:val="14"/>
          <w:szCs w:val="14"/>
          <w:b w:val="1"/>
          <w:bCs w:val="1"/>
          <w:color w:val="auto"/>
        </w:rPr>
        <w:t xml:space="preserve"> </w:t>
      </w:r>
      <w:r>
        <w:rPr>
          <w:rFonts w:ascii="Arial" w:cs="Arial" w:eastAsia="Arial" w:hAnsi="Arial"/>
          <w:sz w:val="14"/>
          <w:szCs w:val="14"/>
          <w:color w:val="auto"/>
        </w:rPr>
        <w:t>other required information is identical to that for the Daily Remittance Report. The following table defines Remittance Adjustment and Daily Remittance.</w:t>
      </w:r>
    </w:p>
    <w:p>
      <w:pPr>
        <w:spacing w:after="0" w:line="200" w:lineRule="exact"/>
        <w:rPr>
          <w:sz w:val="20"/>
          <w:szCs w:val="20"/>
          <w:color w:val="auto"/>
        </w:rPr>
      </w:pPr>
    </w:p>
    <w:p>
      <w:pPr>
        <w:spacing w:after="0" w:line="27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300" w:type="dxa"/>
            <w:vAlign w:val="bottom"/>
            <w:tcBorders>
              <w:top w:val="single" w:sz="8" w:color="auto"/>
              <w:left w:val="single" w:sz="8" w:color="auto"/>
              <w:bottom w:val="single" w:sz="8" w:color="auto"/>
              <w:right w:val="single" w:sz="8" w:color="auto"/>
            </w:tcBorders>
            <w:shd w:val="clear" w:color="auto" w:fill="808080"/>
          </w:tcPr>
          <w:p>
            <w:pPr>
              <w:ind w:left="1380"/>
              <w:spacing w:after="0"/>
              <w:rPr>
                <w:sz w:val="20"/>
                <w:szCs w:val="20"/>
                <w:color w:val="auto"/>
              </w:rPr>
            </w:pPr>
            <w:r>
              <w:rPr>
                <w:rFonts w:ascii="Arial" w:cs="Arial" w:eastAsia="Arial" w:hAnsi="Arial"/>
                <w:sz w:val="17"/>
                <w:szCs w:val="17"/>
                <w:color w:val="FFFFFF"/>
              </w:rPr>
              <w:t>Column</w:t>
            </w:r>
          </w:p>
        </w:tc>
        <w:tc>
          <w:tcPr>
            <w:tcW w:w="3260" w:type="dxa"/>
            <w:vAlign w:val="bottom"/>
            <w:tcBorders>
              <w:top w:val="single" w:sz="8" w:color="auto"/>
              <w:bottom w:val="single" w:sz="8" w:color="auto"/>
              <w:right w:val="single" w:sz="8" w:color="auto"/>
            </w:tcBorders>
            <w:shd w:val="clear" w:color="auto" w:fill="808080"/>
          </w:tcPr>
          <w:p>
            <w:pPr>
              <w:ind w:left="1220"/>
              <w:spacing w:after="0"/>
              <w:rPr>
                <w:sz w:val="20"/>
                <w:szCs w:val="20"/>
                <w:color w:val="auto"/>
              </w:rPr>
            </w:pPr>
            <w:r>
              <w:rPr>
                <w:rFonts w:ascii="Arial" w:cs="Arial" w:eastAsia="Arial" w:hAnsi="Arial"/>
                <w:sz w:val="17"/>
                <w:szCs w:val="17"/>
                <w:color w:val="FFFFFF"/>
              </w:rPr>
              <w:t>Description</w:t>
            </w:r>
          </w:p>
        </w:tc>
      </w:tr>
      <w:tr>
        <w:trPr>
          <w:trHeight w:val="145"/>
        </w:trPr>
        <w:tc>
          <w:tcPr>
            <w:tcW w:w="3300" w:type="dxa"/>
            <w:vAlign w:val="bottom"/>
            <w:tcBorders>
              <w:left w:val="single" w:sz="8" w:color="auto"/>
              <w:right w:val="single" w:sz="8" w:color="auto"/>
            </w:tcBorders>
          </w:tcPr>
          <w:p>
            <w:pPr>
              <w:ind w:left="120"/>
              <w:spacing w:after="0" w:line="145" w:lineRule="exact"/>
              <w:rPr>
                <w:sz w:val="20"/>
                <w:szCs w:val="20"/>
                <w:color w:val="auto"/>
              </w:rPr>
            </w:pPr>
            <w:r>
              <w:rPr>
                <w:rFonts w:ascii="Arial" w:cs="Arial" w:eastAsia="Arial" w:hAnsi="Arial"/>
                <w:sz w:val="16"/>
                <w:szCs w:val="16"/>
                <w:color w:val="auto"/>
              </w:rPr>
              <w:t>Adjustments</w:t>
            </w:r>
          </w:p>
        </w:tc>
        <w:tc>
          <w:tcPr>
            <w:tcW w:w="326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6"/>
                <w:szCs w:val="16"/>
                <w:color w:val="auto"/>
              </w:rPr>
              <w:t>Adjustment applied in determining the daily</w:t>
            </w:r>
          </w:p>
        </w:tc>
      </w:tr>
      <w:tr>
        <w:trPr>
          <w:trHeight w:val="203"/>
        </w:trPr>
        <w:tc>
          <w:tcPr>
            <w:tcW w:w="3300" w:type="dxa"/>
            <w:vAlign w:val="bottom"/>
            <w:tcBorders>
              <w:left w:val="single" w:sz="8" w:color="auto"/>
              <w:bottom w:val="single" w:sz="8" w:color="auto"/>
              <w:right w:val="single" w:sz="8" w:color="auto"/>
            </w:tcBorders>
          </w:tcPr>
          <w:p>
            <w:pPr>
              <w:spacing w:after="0"/>
              <w:rPr>
                <w:sz w:val="17"/>
                <w:szCs w:val="17"/>
                <w:color w:val="auto"/>
              </w:rPr>
            </w:pPr>
          </w:p>
        </w:tc>
        <w:tc>
          <w:tcPr>
            <w:tcW w:w="3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remittance amount</w:t>
            </w:r>
          </w:p>
        </w:tc>
      </w:tr>
      <w:tr>
        <w:trPr>
          <w:trHeight w:val="160"/>
        </w:trPr>
        <w:tc>
          <w:tcPr>
            <w:tcW w:w="3300" w:type="dxa"/>
            <w:vAlign w:val="bottom"/>
            <w:tcBorders>
              <w:left w:val="single" w:sz="8" w:color="auto"/>
              <w:right w:val="single" w:sz="8" w:color="auto"/>
            </w:tcBorders>
          </w:tcPr>
          <w:p>
            <w:pPr>
              <w:ind w:left="120"/>
              <w:spacing w:after="0" w:line="160" w:lineRule="exact"/>
              <w:rPr>
                <w:sz w:val="20"/>
                <w:szCs w:val="20"/>
                <w:color w:val="auto"/>
              </w:rPr>
            </w:pPr>
            <w:r>
              <w:rPr>
                <w:rFonts w:ascii="Arial" w:cs="Arial" w:eastAsia="Arial" w:hAnsi="Arial"/>
                <w:sz w:val="17"/>
                <w:szCs w:val="17"/>
                <w:color w:val="auto"/>
              </w:rPr>
              <w:t>Net Cash</w:t>
            </w:r>
          </w:p>
        </w:tc>
        <w:tc>
          <w:tcPr>
            <w:tcW w:w="326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7"/>
                <w:szCs w:val="17"/>
                <w:color w:val="auto"/>
                <w:w w:val="93"/>
              </w:rPr>
              <w:t>Actual dollar amount remitted to DWR on the</w:t>
            </w:r>
          </w:p>
        </w:tc>
      </w:tr>
      <w:tr>
        <w:trPr>
          <w:trHeight w:val="186"/>
        </w:trPr>
        <w:tc>
          <w:tcPr>
            <w:tcW w:w="3300" w:type="dxa"/>
            <w:vAlign w:val="bottom"/>
            <w:tcBorders>
              <w:left w:val="single" w:sz="8" w:color="auto"/>
              <w:right w:val="single" w:sz="8" w:color="auto"/>
            </w:tcBorders>
          </w:tcPr>
          <w:p>
            <w:pPr>
              <w:spacing w:after="0"/>
              <w:rPr>
                <w:sz w:val="16"/>
                <w:szCs w:val="16"/>
                <w:color w:val="auto"/>
              </w:rPr>
            </w:pPr>
          </w:p>
        </w:tc>
        <w:tc>
          <w:tcPr>
            <w:tcW w:w="326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w w:val="96"/>
              </w:rPr>
              <w:t>given day for a DWR Charge Fund Type on</w:t>
            </w:r>
          </w:p>
        </w:tc>
      </w:tr>
      <w:tr>
        <w:trPr>
          <w:trHeight w:val="186"/>
        </w:trPr>
        <w:tc>
          <w:tcPr>
            <w:tcW w:w="3300" w:type="dxa"/>
            <w:vAlign w:val="bottom"/>
            <w:tcBorders>
              <w:left w:val="single" w:sz="8" w:color="auto"/>
              <w:right w:val="single" w:sz="8" w:color="auto"/>
            </w:tcBorders>
          </w:tcPr>
          <w:p>
            <w:pPr>
              <w:spacing w:after="0"/>
              <w:rPr>
                <w:sz w:val="16"/>
                <w:szCs w:val="16"/>
                <w:color w:val="auto"/>
              </w:rPr>
            </w:pPr>
          </w:p>
        </w:tc>
        <w:tc>
          <w:tcPr>
            <w:tcW w:w="326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w w:val="98"/>
              </w:rPr>
              <w:t>an applicable Customer Type, equal to the</w:t>
            </w:r>
          </w:p>
        </w:tc>
      </w:tr>
      <w:tr>
        <w:trPr>
          <w:trHeight w:val="186"/>
        </w:trPr>
        <w:tc>
          <w:tcPr>
            <w:tcW w:w="3300" w:type="dxa"/>
            <w:vAlign w:val="bottom"/>
            <w:tcBorders>
              <w:left w:val="single" w:sz="8" w:color="auto"/>
              <w:right w:val="single" w:sz="8" w:color="auto"/>
            </w:tcBorders>
          </w:tcPr>
          <w:p>
            <w:pPr>
              <w:spacing w:after="0"/>
              <w:rPr>
                <w:sz w:val="16"/>
                <w:szCs w:val="16"/>
                <w:color w:val="auto"/>
              </w:rPr>
            </w:pPr>
          </w:p>
        </w:tc>
        <w:tc>
          <w:tcPr>
            <w:tcW w:w="326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7"/>
                <w:szCs w:val="17"/>
                <w:color w:val="auto"/>
                <w:w w:val="98"/>
              </w:rPr>
              <w:t>difference between the Daily Cash and the</w:t>
            </w:r>
          </w:p>
        </w:tc>
      </w:tr>
      <w:tr>
        <w:trPr>
          <w:trHeight w:val="203"/>
        </w:trPr>
        <w:tc>
          <w:tcPr>
            <w:tcW w:w="3300" w:type="dxa"/>
            <w:vAlign w:val="bottom"/>
            <w:tcBorders>
              <w:left w:val="single" w:sz="8" w:color="auto"/>
              <w:bottom w:val="single" w:sz="8" w:color="auto"/>
              <w:right w:val="single" w:sz="8" w:color="auto"/>
            </w:tcBorders>
          </w:tcPr>
          <w:p>
            <w:pPr>
              <w:spacing w:after="0"/>
              <w:rPr>
                <w:sz w:val="17"/>
                <w:szCs w:val="17"/>
                <w:color w:val="auto"/>
              </w:rPr>
            </w:pPr>
          </w:p>
        </w:tc>
        <w:tc>
          <w:tcPr>
            <w:tcW w:w="3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Remittance Adjustment</w:t>
            </w:r>
          </w:p>
        </w:tc>
      </w:tr>
      <w:tr>
        <w:trPr>
          <w:trHeight w:val="369"/>
        </w:trPr>
        <w:tc>
          <w:tcPr>
            <w:tcW w:w="3300" w:type="dxa"/>
            <w:vAlign w:val="bottom"/>
          </w:tcPr>
          <w:p>
            <w:pPr>
              <w:ind w:left="1000"/>
              <w:spacing w:after="0"/>
              <w:rPr>
                <w:sz w:val="20"/>
                <w:szCs w:val="20"/>
                <w:color w:val="auto"/>
              </w:rPr>
            </w:pPr>
            <w:r>
              <w:rPr>
                <w:rFonts w:ascii="Arial" w:cs="Arial" w:eastAsia="Arial" w:hAnsi="Arial"/>
                <w:sz w:val="17"/>
                <w:szCs w:val="17"/>
                <w:i w:val="1"/>
                <w:iCs w:val="1"/>
                <w:color w:val="auto"/>
              </w:rPr>
              <w:t>Example:</w:t>
            </w:r>
          </w:p>
        </w:tc>
        <w:tc>
          <w:tcPr>
            <w:tcW w:w="32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40"/>
          </w:cols>
          <w:pgMar w:left="220" w:top="578" w:right="239"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w:t>
      </w:r>
    </w:p>
    <w:p>
      <w:pPr>
        <w:sectPr>
          <w:pgSz w:w="11900" w:h="16838" w:orient="portrait"/>
          <w:cols w:equalWidth="0" w:num="1">
            <w:col w:w="11440"/>
          </w:cols>
          <w:pgMar w:left="220" w:top="578" w:right="239" w:bottom="1440" w:gutter="0" w:footer="0" w:header="0"/>
          <w:type w:val="continuous"/>
        </w:sectPr>
      </w:pPr>
    </w:p>
    <w:bookmarkStart w:id="139" w:name="page140"/>
    <w:bookmarkEnd w:id="139"/>
    <w:p>
      <w:pPr>
        <w:spacing w:after="0" w:line="62" w:lineRule="exact"/>
        <w:rPr>
          <w:sz w:val="20"/>
          <w:szCs w:val="20"/>
          <w:color w:val="auto"/>
        </w:rPr>
      </w:pPr>
    </w:p>
    <w:p>
      <w:pPr>
        <w:jc w:val="center"/>
        <w:ind w:right="9800"/>
        <w:spacing w:after="0"/>
        <w:rPr>
          <w:sz w:val="20"/>
          <w:szCs w:val="20"/>
          <w:color w:val="auto"/>
        </w:rPr>
      </w:pPr>
      <w:r>
        <w:rPr>
          <w:rFonts w:ascii="Arial" w:cs="Arial" w:eastAsia="Arial" w:hAnsi="Arial"/>
          <w:sz w:val="11"/>
          <w:szCs w:val="11"/>
          <w:b w:val="1"/>
          <w:bCs w:val="1"/>
          <w:color w:val="auto"/>
        </w:rPr>
        <w:t>DAILY REMITTANCE</w:t>
      </w:r>
    </w:p>
    <w:p>
      <w:pPr>
        <w:spacing w:after="0" w:line="19" w:lineRule="exact"/>
        <w:rPr>
          <w:sz w:val="20"/>
          <w:szCs w:val="20"/>
          <w:color w:val="auto"/>
        </w:rPr>
      </w:pPr>
    </w:p>
    <w:p>
      <w:pPr>
        <w:jc w:val="center"/>
        <w:ind w:right="9800"/>
        <w:spacing w:after="0"/>
        <w:rPr>
          <w:sz w:val="20"/>
          <w:szCs w:val="20"/>
          <w:color w:val="auto"/>
        </w:rPr>
      </w:pPr>
      <w:r>
        <w:rPr>
          <w:rFonts w:ascii="Arial" w:cs="Arial" w:eastAsia="Arial" w:hAnsi="Arial"/>
          <w:sz w:val="11"/>
          <w:szCs w:val="11"/>
          <w:b w:val="1"/>
          <w:bCs w:val="1"/>
          <w:color w:val="auto"/>
        </w:rPr>
        <w:t>REPORT</w:t>
      </w:r>
    </w:p>
    <w:p>
      <w:pPr>
        <w:spacing w:after="0" w:line="42" w:lineRule="exact"/>
        <w:rPr>
          <w:sz w:val="20"/>
          <w:szCs w:val="20"/>
          <w:color w:val="auto"/>
        </w:rPr>
      </w:pPr>
    </w:p>
    <w:tbl>
      <w:tblPr>
        <w:tblLayout w:type="fixed"/>
        <w:tblInd w:w="100" w:type="dxa"/>
        <w:tblCellMar>
          <w:top w:w="0" w:type="dxa"/>
          <w:left w:w="0" w:type="dxa"/>
          <w:bottom w:w="0" w:type="dxa"/>
          <w:right w:w="0" w:type="dxa"/>
        </w:tblCellMar>
      </w:tblPr>
      <w:tr>
        <w:trPr>
          <w:trHeight w:val="132"/>
        </w:trPr>
        <w:tc>
          <w:tcPr>
            <w:tcW w:w="1300" w:type="dxa"/>
            <w:vAlign w:val="bottom"/>
          </w:tcPr>
          <w:p>
            <w:pPr>
              <w:spacing w:after="0"/>
              <w:rPr>
                <w:sz w:val="20"/>
                <w:szCs w:val="20"/>
                <w:color w:val="auto"/>
              </w:rPr>
            </w:pPr>
            <w:r>
              <w:rPr>
                <w:rFonts w:ascii="Arial" w:cs="Arial" w:eastAsia="Arial" w:hAnsi="Arial"/>
                <w:sz w:val="11"/>
                <w:szCs w:val="11"/>
                <w:color w:val="auto"/>
              </w:rPr>
              <w:t>DATE:</w:t>
            </w:r>
          </w:p>
        </w:tc>
        <w:tc>
          <w:tcPr>
            <w:tcW w:w="1080" w:type="dxa"/>
            <w:vAlign w:val="bottom"/>
          </w:tcPr>
          <w:p>
            <w:pPr>
              <w:ind w:left="540"/>
              <w:spacing w:after="0"/>
              <w:rPr>
                <w:sz w:val="20"/>
                <w:szCs w:val="20"/>
                <w:color w:val="auto"/>
              </w:rPr>
            </w:pPr>
            <w:r>
              <w:rPr>
                <w:rFonts w:ascii="Arial" w:cs="Arial" w:eastAsia="Arial" w:hAnsi="Arial"/>
                <w:sz w:val="11"/>
                <w:szCs w:val="11"/>
                <w:color w:val="auto"/>
              </w:rPr>
              <w:t>9/1/2009</w:t>
            </w:r>
          </w:p>
        </w:tc>
        <w:tc>
          <w:tcPr>
            <w:tcW w:w="1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300" w:type="dxa"/>
            <w:vAlign w:val="bottom"/>
          </w:tcPr>
          <w:p>
            <w:pPr>
              <w:spacing w:after="0"/>
              <w:rPr>
                <w:sz w:val="20"/>
                <w:szCs w:val="20"/>
                <w:color w:val="auto"/>
              </w:rPr>
            </w:pPr>
            <w:r>
              <w:rPr>
                <w:rFonts w:ascii="Arial" w:cs="Arial" w:eastAsia="Arial" w:hAnsi="Arial"/>
                <w:sz w:val="11"/>
                <w:szCs w:val="11"/>
                <w:color w:val="auto"/>
              </w:rPr>
              <w:t>UTILITY NAME</w:t>
            </w:r>
          </w:p>
        </w:tc>
        <w:tc>
          <w:tcPr>
            <w:tcW w:w="1080" w:type="dxa"/>
            <w:vAlign w:val="bottom"/>
          </w:tcPr>
          <w:p>
            <w:pPr>
              <w:ind w:left="100"/>
              <w:spacing w:after="0"/>
              <w:rPr>
                <w:sz w:val="20"/>
                <w:szCs w:val="20"/>
                <w:color w:val="auto"/>
              </w:rPr>
            </w:pPr>
            <w:r>
              <w:rPr>
                <w:rFonts w:ascii="Arial" w:cs="Arial" w:eastAsia="Arial" w:hAnsi="Arial"/>
                <w:sz w:val="11"/>
                <w:szCs w:val="11"/>
                <w:color w:val="auto"/>
              </w:rPr>
              <w:t>SDGE</w:t>
            </w:r>
          </w:p>
        </w:tc>
        <w:tc>
          <w:tcPr>
            <w:tcW w:w="14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300" w:type="dxa"/>
            <w:vAlign w:val="bottom"/>
          </w:tcPr>
          <w:p>
            <w:pPr>
              <w:jc w:val="center"/>
              <w:ind w:right="45"/>
              <w:spacing w:after="0"/>
              <w:rPr>
                <w:sz w:val="20"/>
                <w:szCs w:val="20"/>
                <w:color w:val="auto"/>
              </w:rPr>
            </w:pPr>
            <w:r>
              <w:rPr>
                <w:rFonts w:ascii="Arial" w:cs="Arial" w:eastAsia="Arial" w:hAnsi="Arial"/>
                <w:sz w:val="11"/>
                <w:szCs w:val="11"/>
                <w:b w:val="1"/>
                <w:bCs w:val="1"/>
                <w:color w:val="auto"/>
                <w:w w:val="99"/>
              </w:rPr>
              <w:t>DWR ACCOUNT</w:t>
            </w: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300" w:type="dxa"/>
            <w:vAlign w:val="bottom"/>
          </w:tcPr>
          <w:p>
            <w:pPr>
              <w:jc w:val="center"/>
              <w:ind w:right="45"/>
              <w:spacing w:after="0"/>
              <w:rPr>
                <w:sz w:val="20"/>
                <w:szCs w:val="20"/>
                <w:color w:val="auto"/>
              </w:rPr>
            </w:pPr>
            <w:r>
              <w:rPr>
                <w:rFonts w:ascii="Arial" w:cs="Arial" w:eastAsia="Arial" w:hAnsi="Arial"/>
                <w:sz w:val="11"/>
                <w:szCs w:val="11"/>
                <w:b w:val="1"/>
                <w:bCs w:val="1"/>
                <w:color w:val="auto"/>
              </w:rPr>
              <w:t>REFERENCE</w:t>
            </w:r>
          </w:p>
        </w:tc>
        <w:tc>
          <w:tcPr>
            <w:tcW w:w="1080" w:type="dxa"/>
            <w:vAlign w:val="bottom"/>
          </w:tcPr>
          <w:p>
            <w:pPr>
              <w:ind w:left="220"/>
              <w:spacing w:after="0"/>
              <w:rPr>
                <w:sz w:val="20"/>
                <w:szCs w:val="20"/>
                <w:color w:val="auto"/>
              </w:rPr>
            </w:pPr>
            <w:r>
              <w:rPr>
                <w:rFonts w:ascii="Arial" w:cs="Arial" w:eastAsia="Arial" w:hAnsi="Arial"/>
                <w:sz w:val="11"/>
                <w:szCs w:val="11"/>
                <w:b w:val="1"/>
                <w:bCs w:val="1"/>
                <w:color w:val="auto"/>
              </w:rPr>
              <w:t>FUND TYPE</w:t>
            </w:r>
          </w:p>
        </w:tc>
        <w:tc>
          <w:tcPr>
            <w:tcW w:w="1440" w:type="dxa"/>
            <w:vAlign w:val="bottom"/>
          </w:tcPr>
          <w:p>
            <w:pPr>
              <w:ind w:left="300"/>
              <w:spacing w:after="0"/>
              <w:rPr>
                <w:sz w:val="20"/>
                <w:szCs w:val="20"/>
                <w:color w:val="auto"/>
              </w:rPr>
            </w:pPr>
            <w:r>
              <w:rPr>
                <w:rFonts w:ascii="Arial" w:cs="Arial" w:eastAsia="Arial" w:hAnsi="Arial"/>
                <w:sz w:val="11"/>
                <w:szCs w:val="11"/>
                <w:b w:val="1"/>
                <w:bCs w:val="1"/>
                <w:color w:val="auto"/>
              </w:rPr>
              <w:t>CUSTOMER TYPE</w:t>
            </w:r>
          </w:p>
        </w:tc>
        <w:tc>
          <w:tcPr>
            <w:tcW w:w="1820" w:type="dxa"/>
            <w:vAlign w:val="bottom"/>
          </w:tcPr>
          <w:p>
            <w:pPr>
              <w:ind w:left="500"/>
              <w:spacing w:after="0"/>
              <w:rPr>
                <w:sz w:val="20"/>
                <w:szCs w:val="20"/>
                <w:color w:val="auto"/>
              </w:rPr>
            </w:pPr>
            <w:r>
              <w:rPr>
                <w:rFonts w:ascii="Arial" w:cs="Arial" w:eastAsia="Arial" w:hAnsi="Arial"/>
                <w:sz w:val="11"/>
                <w:szCs w:val="11"/>
                <w:b w:val="1"/>
                <w:bCs w:val="1"/>
                <w:color w:val="auto"/>
              </w:rPr>
              <w:t>COLLECTION TYPE</w:t>
            </w:r>
          </w:p>
        </w:tc>
        <w:tc>
          <w:tcPr>
            <w:tcW w:w="1320" w:type="dxa"/>
            <w:vAlign w:val="bottom"/>
          </w:tcPr>
          <w:p>
            <w:pPr>
              <w:jc w:val="right"/>
              <w:ind w:right="364"/>
              <w:spacing w:after="0"/>
              <w:rPr>
                <w:sz w:val="20"/>
                <w:szCs w:val="20"/>
                <w:color w:val="auto"/>
              </w:rPr>
            </w:pPr>
            <w:r>
              <w:rPr>
                <w:rFonts w:ascii="Arial" w:cs="Arial" w:eastAsia="Arial" w:hAnsi="Arial"/>
                <w:sz w:val="11"/>
                <w:szCs w:val="11"/>
                <w:b w:val="1"/>
                <w:bCs w:val="1"/>
                <w:color w:val="auto"/>
              </w:rPr>
              <w:t>DAILY CASH</w:t>
            </w:r>
          </w:p>
        </w:tc>
        <w:tc>
          <w:tcPr>
            <w:tcW w:w="1240" w:type="dxa"/>
            <w:vAlign w:val="bottom"/>
          </w:tcPr>
          <w:p>
            <w:pPr>
              <w:jc w:val="right"/>
              <w:ind w:right="204"/>
              <w:spacing w:after="0"/>
              <w:rPr>
                <w:sz w:val="20"/>
                <w:szCs w:val="20"/>
                <w:color w:val="auto"/>
              </w:rPr>
            </w:pPr>
            <w:r>
              <w:rPr>
                <w:rFonts w:ascii="Arial" w:cs="Arial" w:eastAsia="Arial" w:hAnsi="Arial"/>
                <w:sz w:val="11"/>
                <w:szCs w:val="11"/>
                <w:b w:val="1"/>
                <w:bCs w:val="1"/>
                <w:color w:val="auto"/>
              </w:rPr>
              <w:t>ADJUSTMENTS</w:t>
            </w:r>
          </w:p>
        </w:tc>
        <w:tc>
          <w:tcPr>
            <w:tcW w:w="1000" w:type="dxa"/>
            <w:vAlign w:val="bottom"/>
          </w:tcPr>
          <w:p>
            <w:pPr>
              <w:jc w:val="right"/>
              <w:ind w:right="144"/>
              <w:spacing w:after="0"/>
              <w:rPr>
                <w:sz w:val="20"/>
                <w:szCs w:val="20"/>
                <w:color w:val="auto"/>
              </w:rPr>
            </w:pPr>
            <w:r>
              <w:rPr>
                <w:rFonts w:ascii="Arial" w:cs="Arial" w:eastAsia="Arial" w:hAnsi="Arial"/>
                <w:sz w:val="11"/>
                <w:szCs w:val="11"/>
                <w:b w:val="1"/>
                <w:bCs w:val="1"/>
                <w:color w:val="auto"/>
              </w:rPr>
              <w:t>NET CASH</w:t>
            </w: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20" w:type="dxa"/>
            <w:vAlign w:val="bottom"/>
          </w:tcPr>
          <w:p>
            <w:pPr>
              <w:jc w:val="right"/>
              <w:ind w:right="504"/>
              <w:spacing w:after="0"/>
              <w:rPr>
                <w:sz w:val="20"/>
                <w:szCs w:val="20"/>
                <w:color w:val="auto"/>
              </w:rPr>
            </w:pPr>
            <w:r>
              <w:rPr>
                <w:rFonts w:ascii="Arial" w:cs="Arial" w:eastAsia="Arial" w:hAnsi="Arial"/>
                <w:sz w:val="11"/>
                <w:szCs w:val="11"/>
                <w:b w:val="1"/>
                <w:bCs w:val="1"/>
                <w:color w:val="auto"/>
              </w:rPr>
              <w:t>(a)</w:t>
            </w:r>
          </w:p>
        </w:tc>
        <w:tc>
          <w:tcPr>
            <w:tcW w:w="1240" w:type="dxa"/>
            <w:vAlign w:val="bottom"/>
          </w:tcPr>
          <w:p>
            <w:pPr>
              <w:jc w:val="right"/>
              <w:ind w:right="544"/>
              <w:spacing w:after="0"/>
              <w:rPr>
                <w:sz w:val="20"/>
                <w:szCs w:val="20"/>
                <w:color w:val="auto"/>
              </w:rPr>
            </w:pPr>
            <w:r>
              <w:rPr>
                <w:rFonts w:ascii="Arial" w:cs="Arial" w:eastAsia="Arial" w:hAnsi="Arial"/>
                <w:sz w:val="11"/>
                <w:szCs w:val="11"/>
                <w:b w:val="1"/>
                <w:bCs w:val="1"/>
                <w:color w:val="auto"/>
              </w:rPr>
              <w:t>(b)</w:t>
            </w:r>
          </w:p>
        </w:tc>
        <w:tc>
          <w:tcPr>
            <w:tcW w:w="1000" w:type="dxa"/>
            <w:vAlign w:val="bottom"/>
          </w:tcPr>
          <w:p>
            <w:pPr>
              <w:jc w:val="right"/>
              <w:ind w:right="324"/>
              <w:spacing w:after="0"/>
              <w:rPr>
                <w:sz w:val="20"/>
                <w:szCs w:val="20"/>
                <w:color w:val="auto"/>
              </w:rPr>
            </w:pPr>
            <w:r>
              <w:rPr>
                <w:rFonts w:ascii="Arial" w:cs="Arial" w:eastAsia="Arial" w:hAnsi="Arial"/>
                <w:sz w:val="11"/>
                <w:szCs w:val="11"/>
                <w:b w:val="1"/>
                <w:bCs w:val="1"/>
                <w:color w:val="auto"/>
              </w:rPr>
              <w:t>(a-b)</w:t>
            </w:r>
          </w:p>
        </w:tc>
        <w:tc>
          <w:tcPr>
            <w:tcW w:w="0" w:type="dxa"/>
            <w:vAlign w:val="bottom"/>
          </w:tcPr>
          <w:p>
            <w:pPr>
              <w:spacing w:after="0"/>
              <w:rPr>
                <w:sz w:val="1"/>
                <w:szCs w:val="1"/>
                <w:color w:val="auto"/>
              </w:rPr>
            </w:pPr>
          </w:p>
        </w:tc>
      </w:tr>
      <w:tr>
        <w:trPr>
          <w:trHeight w:val="134"/>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8021360001</w:t>
            </w:r>
          </w:p>
        </w:tc>
        <w:tc>
          <w:tcPr>
            <w:tcW w:w="1080" w:type="dxa"/>
            <w:vAlign w:val="bottom"/>
          </w:tcPr>
          <w:p>
            <w:pPr>
              <w:ind w:left="100"/>
              <w:spacing w:after="0"/>
              <w:rPr>
                <w:sz w:val="20"/>
                <w:szCs w:val="20"/>
                <w:color w:val="auto"/>
              </w:rPr>
            </w:pPr>
            <w:r>
              <w:rPr>
                <w:rFonts w:ascii="Arial" w:cs="Arial" w:eastAsia="Arial" w:hAnsi="Arial"/>
                <w:sz w:val="11"/>
                <w:szCs w:val="11"/>
                <w:color w:val="auto"/>
              </w:rPr>
              <w:t>POWER</w:t>
            </w:r>
          </w:p>
        </w:tc>
        <w:tc>
          <w:tcPr>
            <w:tcW w:w="1440" w:type="dxa"/>
            <w:vAlign w:val="bottom"/>
          </w:tcPr>
          <w:p>
            <w:pPr>
              <w:ind w:left="100"/>
              <w:spacing w:after="0"/>
              <w:rPr>
                <w:sz w:val="20"/>
                <w:szCs w:val="20"/>
                <w:color w:val="auto"/>
              </w:rPr>
            </w:pPr>
            <w:r>
              <w:rPr>
                <w:rFonts w:ascii="Arial" w:cs="Arial" w:eastAsia="Arial" w:hAnsi="Arial"/>
                <w:sz w:val="11"/>
                <w:szCs w:val="11"/>
                <w:color w:val="auto"/>
              </w:rPr>
              <w:t>BUNDLED</w:t>
            </w:r>
          </w:p>
        </w:tc>
        <w:tc>
          <w:tcPr>
            <w:tcW w:w="1820" w:type="dxa"/>
            <w:vAlign w:val="bottom"/>
          </w:tcPr>
          <w:p>
            <w:pPr>
              <w:ind w:left="200"/>
              <w:spacing w:after="0"/>
              <w:rPr>
                <w:sz w:val="20"/>
                <w:szCs w:val="20"/>
                <w:color w:val="auto"/>
              </w:rPr>
            </w:pPr>
            <w:r>
              <w:rPr>
                <w:rFonts w:ascii="Arial" w:cs="Arial" w:eastAsia="Arial" w:hAnsi="Arial"/>
                <w:sz w:val="11"/>
                <w:szCs w:val="11"/>
                <w:color w:val="auto"/>
              </w:rPr>
              <w:t>REMITTANCE</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8021360002</w:t>
            </w:r>
          </w:p>
        </w:tc>
        <w:tc>
          <w:tcPr>
            <w:tcW w:w="1080" w:type="dxa"/>
            <w:vAlign w:val="bottom"/>
          </w:tcPr>
          <w:p>
            <w:pPr>
              <w:ind w:left="100"/>
              <w:spacing w:after="0"/>
              <w:rPr>
                <w:sz w:val="20"/>
                <w:szCs w:val="20"/>
                <w:color w:val="auto"/>
              </w:rPr>
            </w:pPr>
            <w:r>
              <w:rPr>
                <w:rFonts w:ascii="Arial" w:cs="Arial" w:eastAsia="Arial" w:hAnsi="Arial"/>
                <w:sz w:val="11"/>
                <w:szCs w:val="11"/>
                <w:color w:val="auto"/>
              </w:rPr>
              <w:t>POWER</w:t>
            </w:r>
          </w:p>
        </w:tc>
        <w:tc>
          <w:tcPr>
            <w:tcW w:w="1440" w:type="dxa"/>
            <w:vAlign w:val="bottom"/>
          </w:tcPr>
          <w:p>
            <w:pPr>
              <w:ind w:left="100"/>
              <w:spacing w:after="0"/>
              <w:rPr>
                <w:sz w:val="20"/>
                <w:szCs w:val="20"/>
                <w:color w:val="auto"/>
              </w:rPr>
            </w:pPr>
            <w:r>
              <w:rPr>
                <w:rFonts w:ascii="Arial" w:cs="Arial" w:eastAsia="Arial" w:hAnsi="Arial"/>
                <w:sz w:val="11"/>
                <w:szCs w:val="11"/>
                <w:color w:val="auto"/>
              </w:rPr>
              <w:t>DA</w:t>
            </w:r>
          </w:p>
        </w:tc>
        <w:tc>
          <w:tcPr>
            <w:tcW w:w="1820" w:type="dxa"/>
            <w:vAlign w:val="bottom"/>
          </w:tcPr>
          <w:p>
            <w:pPr>
              <w:ind w:left="200"/>
              <w:spacing w:after="0"/>
              <w:rPr>
                <w:sz w:val="20"/>
                <w:szCs w:val="20"/>
                <w:color w:val="auto"/>
              </w:rPr>
            </w:pPr>
            <w:r>
              <w:rPr>
                <w:rFonts w:ascii="Arial" w:cs="Arial" w:eastAsia="Arial" w:hAnsi="Arial"/>
                <w:sz w:val="11"/>
                <w:szCs w:val="11"/>
                <w:color w:val="auto"/>
              </w:rPr>
              <w:t>REMITTANCE</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8021360003</w:t>
            </w:r>
          </w:p>
        </w:tc>
        <w:tc>
          <w:tcPr>
            <w:tcW w:w="1080" w:type="dxa"/>
            <w:vAlign w:val="bottom"/>
          </w:tcPr>
          <w:p>
            <w:pPr>
              <w:ind w:left="100"/>
              <w:spacing w:after="0"/>
              <w:rPr>
                <w:sz w:val="20"/>
                <w:szCs w:val="20"/>
                <w:color w:val="auto"/>
              </w:rPr>
            </w:pPr>
            <w:r>
              <w:rPr>
                <w:rFonts w:ascii="Arial" w:cs="Arial" w:eastAsia="Arial" w:hAnsi="Arial"/>
                <w:sz w:val="11"/>
                <w:szCs w:val="11"/>
                <w:color w:val="auto"/>
              </w:rPr>
              <w:t>POWER</w:t>
            </w:r>
          </w:p>
        </w:tc>
        <w:tc>
          <w:tcPr>
            <w:tcW w:w="1440" w:type="dxa"/>
            <w:vAlign w:val="bottom"/>
          </w:tcPr>
          <w:p>
            <w:pPr>
              <w:ind w:left="100"/>
              <w:spacing w:after="0"/>
              <w:rPr>
                <w:sz w:val="20"/>
                <w:szCs w:val="20"/>
                <w:color w:val="auto"/>
              </w:rPr>
            </w:pPr>
            <w:r>
              <w:rPr>
                <w:rFonts w:ascii="Arial" w:cs="Arial" w:eastAsia="Arial" w:hAnsi="Arial"/>
                <w:sz w:val="11"/>
                <w:szCs w:val="11"/>
                <w:color w:val="auto"/>
              </w:rPr>
              <w:t>CGDL</w:t>
            </w:r>
          </w:p>
        </w:tc>
        <w:tc>
          <w:tcPr>
            <w:tcW w:w="1820" w:type="dxa"/>
            <w:vAlign w:val="bottom"/>
          </w:tcPr>
          <w:p>
            <w:pPr>
              <w:ind w:left="200"/>
              <w:spacing w:after="0"/>
              <w:rPr>
                <w:sz w:val="20"/>
                <w:szCs w:val="20"/>
                <w:color w:val="auto"/>
              </w:rPr>
            </w:pPr>
            <w:r>
              <w:rPr>
                <w:rFonts w:ascii="Arial" w:cs="Arial" w:eastAsia="Arial" w:hAnsi="Arial"/>
                <w:sz w:val="11"/>
                <w:szCs w:val="11"/>
                <w:color w:val="auto"/>
              </w:rPr>
              <w:t>REMITTANCE</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8021360004</w:t>
            </w:r>
          </w:p>
        </w:tc>
        <w:tc>
          <w:tcPr>
            <w:tcW w:w="1080" w:type="dxa"/>
            <w:vAlign w:val="bottom"/>
          </w:tcPr>
          <w:p>
            <w:pPr>
              <w:ind w:left="100"/>
              <w:spacing w:after="0"/>
              <w:rPr>
                <w:sz w:val="20"/>
                <w:szCs w:val="20"/>
                <w:color w:val="auto"/>
              </w:rPr>
            </w:pPr>
            <w:r>
              <w:rPr>
                <w:rFonts w:ascii="Arial" w:cs="Arial" w:eastAsia="Arial" w:hAnsi="Arial"/>
                <w:sz w:val="11"/>
                <w:szCs w:val="11"/>
                <w:color w:val="auto"/>
              </w:rPr>
              <w:t>POWER</w:t>
            </w:r>
          </w:p>
        </w:tc>
        <w:tc>
          <w:tcPr>
            <w:tcW w:w="1440" w:type="dxa"/>
            <w:vAlign w:val="bottom"/>
          </w:tcPr>
          <w:p>
            <w:pPr>
              <w:ind w:left="100"/>
              <w:spacing w:after="0"/>
              <w:rPr>
                <w:sz w:val="20"/>
                <w:szCs w:val="20"/>
                <w:color w:val="auto"/>
              </w:rPr>
            </w:pPr>
            <w:r>
              <w:rPr>
                <w:rFonts w:ascii="Arial" w:cs="Arial" w:eastAsia="Arial" w:hAnsi="Arial"/>
                <w:sz w:val="11"/>
                <w:szCs w:val="11"/>
                <w:color w:val="auto"/>
              </w:rPr>
              <w:t>CCA</w:t>
            </w:r>
          </w:p>
        </w:tc>
        <w:tc>
          <w:tcPr>
            <w:tcW w:w="1820" w:type="dxa"/>
            <w:vAlign w:val="bottom"/>
          </w:tcPr>
          <w:p>
            <w:pPr>
              <w:ind w:left="200"/>
              <w:spacing w:after="0"/>
              <w:rPr>
                <w:sz w:val="20"/>
                <w:szCs w:val="20"/>
                <w:color w:val="auto"/>
              </w:rPr>
            </w:pPr>
            <w:r>
              <w:rPr>
                <w:rFonts w:ascii="Arial" w:cs="Arial" w:eastAsia="Arial" w:hAnsi="Arial"/>
                <w:sz w:val="11"/>
                <w:szCs w:val="11"/>
                <w:color w:val="auto"/>
              </w:rPr>
              <w:t>REMITTANCE</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8021360010</w:t>
            </w:r>
          </w:p>
        </w:tc>
        <w:tc>
          <w:tcPr>
            <w:tcW w:w="1080" w:type="dxa"/>
            <w:vAlign w:val="bottom"/>
          </w:tcPr>
          <w:p>
            <w:pPr>
              <w:ind w:left="100"/>
              <w:spacing w:after="0"/>
              <w:rPr>
                <w:sz w:val="20"/>
                <w:szCs w:val="20"/>
                <w:color w:val="auto"/>
              </w:rPr>
            </w:pPr>
            <w:r>
              <w:rPr>
                <w:rFonts w:ascii="Arial" w:cs="Arial" w:eastAsia="Arial" w:hAnsi="Arial"/>
                <w:sz w:val="11"/>
                <w:szCs w:val="11"/>
                <w:color w:val="auto"/>
              </w:rPr>
              <w:t>POWER</w:t>
            </w:r>
          </w:p>
        </w:tc>
        <w:tc>
          <w:tcPr>
            <w:tcW w:w="1440" w:type="dxa"/>
            <w:vAlign w:val="bottom"/>
          </w:tcPr>
          <w:p>
            <w:pPr>
              <w:ind w:left="100"/>
              <w:spacing w:after="0"/>
              <w:rPr>
                <w:sz w:val="20"/>
                <w:szCs w:val="20"/>
                <w:color w:val="auto"/>
              </w:rPr>
            </w:pPr>
            <w:r>
              <w:rPr>
                <w:rFonts w:ascii="Arial" w:cs="Arial" w:eastAsia="Arial" w:hAnsi="Arial"/>
                <w:sz w:val="11"/>
                <w:szCs w:val="11"/>
                <w:color w:val="auto"/>
              </w:rPr>
              <w:t>MDL</w:t>
            </w:r>
          </w:p>
        </w:tc>
        <w:tc>
          <w:tcPr>
            <w:tcW w:w="1820" w:type="dxa"/>
            <w:vAlign w:val="bottom"/>
          </w:tcPr>
          <w:p>
            <w:pPr>
              <w:ind w:left="200"/>
              <w:spacing w:after="0"/>
              <w:rPr>
                <w:sz w:val="20"/>
                <w:szCs w:val="20"/>
                <w:color w:val="auto"/>
              </w:rPr>
            </w:pPr>
            <w:r>
              <w:rPr>
                <w:rFonts w:ascii="Arial" w:cs="Arial" w:eastAsia="Arial" w:hAnsi="Arial"/>
                <w:sz w:val="11"/>
                <w:szCs w:val="11"/>
                <w:color w:val="auto"/>
              </w:rPr>
              <w:t>REMITTANCE</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8021360001</w:t>
            </w:r>
          </w:p>
        </w:tc>
        <w:tc>
          <w:tcPr>
            <w:tcW w:w="1080" w:type="dxa"/>
            <w:vAlign w:val="bottom"/>
          </w:tcPr>
          <w:p>
            <w:pPr>
              <w:ind w:left="100"/>
              <w:spacing w:after="0"/>
              <w:rPr>
                <w:sz w:val="20"/>
                <w:szCs w:val="20"/>
                <w:color w:val="auto"/>
              </w:rPr>
            </w:pPr>
            <w:r>
              <w:rPr>
                <w:rFonts w:ascii="Arial" w:cs="Arial" w:eastAsia="Arial" w:hAnsi="Arial"/>
                <w:sz w:val="11"/>
                <w:szCs w:val="11"/>
                <w:color w:val="auto"/>
              </w:rPr>
              <w:t>POWER</w:t>
            </w:r>
          </w:p>
        </w:tc>
        <w:tc>
          <w:tcPr>
            <w:tcW w:w="1440" w:type="dxa"/>
            <w:vAlign w:val="bottom"/>
          </w:tcPr>
          <w:p>
            <w:pPr>
              <w:ind w:left="100"/>
              <w:spacing w:after="0"/>
              <w:rPr>
                <w:sz w:val="20"/>
                <w:szCs w:val="20"/>
                <w:color w:val="auto"/>
              </w:rPr>
            </w:pPr>
            <w:r>
              <w:rPr>
                <w:rFonts w:ascii="Arial" w:cs="Arial" w:eastAsia="Arial" w:hAnsi="Arial"/>
                <w:sz w:val="11"/>
                <w:szCs w:val="11"/>
                <w:color w:val="auto"/>
              </w:rPr>
              <w:t>BUNDLED</w:t>
            </w:r>
          </w:p>
        </w:tc>
        <w:tc>
          <w:tcPr>
            <w:tcW w:w="1820" w:type="dxa"/>
            <w:vAlign w:val="bottom"/>
          </w:tcPr>
          <w:p>
            <w:pPr>
              <w:ind w:left="200"/>
              <w:spacing w:after="0"/>
              <w:rPr>
                <w:sz w:val="20"/>
                <w:szCs w:val="20"/>
                <w:color w:val="auto"/>
              </w:rPr>
            </w:pPr>
            <w:r>
              <w:rPr>
                <w:rFonts w:ascii="Arial" w:cs="Arial" w:eastAsia="Arial" w:hAnsi="Arial"/>
                <w:sz w:val="11"/>
                <w:szCs w:val="11"/>
                <w:color w:val="auto"/>
              </w:rPr>
              <w:t>LATE PAYMENT CHARGE</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8021360002</w:t>
            </w:r>
          </w:p>
        </w:tc>
        <w:tc>
          <w:tcPr>
            <w:tcW w:w="1080" w:type="dxa"/>
            <w:vAlign w:val="bottom"/>
          </w:tcPr>
          <w:p>
            <w:pPr>
              <w:ind w:left="100"/>
              <w:spacing w:after="0"/>
              <w:rPr>
                <w:sz w:val="20"/>
                <w:szCs w:val="20"/>
                <w:color w:val="auto"/>
              </w:rPr>
            </w:pPr>
            <w:r>
              <w:rPr>
                <w:rFonts w:ascii="Arial" w:cs="Arial" w:eastAsia="Arial" w:hAnsi="Arial"/>
                <w:sz w:val="11"/>
                <w:szCs w:val="11"/>
                <w:color w:val="auto"/>
              </w:rPr>
              <w:t>POWER</w:t>
            </w:r>
          </w:p>
        </w:tc>
        <w:tc>
          <w:tcPr>
            <w:tcW w:w="1440" w:type="dxa"/>
            <w:vAlign w:val="bottom"/>
          </w:tcPr>
          <w:p>
            <w:pPr>
              <w:ind w:left="100"/>
              <w:spacing w:after="0"/>
              <w:rPr>
                <w:sz w:val="20"/>
                <w:szCs w:val="20"/>
                <w:color w:val="auto"/>
              </w:rPr>
            </w:pPr>
            <w:r>
              <w:rPr>
                <w:rFonts w:ascii="Arial" w:cs="Arial" w:eastAsia="Arial" w:hAnsi="Arial"/>
                <w:sz w:val="11"/>
                <w:szCs w:val="11"/>
                <w:color w:val="auto"/>
              </w:rPr>
              <w:t>DA</w:t>
            </w:r>
          </w:p>
        </w:tc>
        <w:tc>
          <w:tcPr>
            <w:tcW w:w="1820" w:type="dxa"/>
            <w:vAlign w:val="bottom"/>
          </w:tcPr>
          <w:p>
            <w:pPr>
              <w:ind w:left="200"/>
              <w:spacing w:after="0"/>
              <w:rPr>
                <w:sz w:val="20"/>
                <w:szCs w:val="20"/>
                <w:color w:val="auto"/>
              </w:rPr>
            </w:pPr>
            <w:r>
              <w:rPr>
                <w:rFonts w:ascii="Arial" w:cs="Arial" w:eastAsia="Arial" w:hAnsi="Arial"/>
                <w:sz w:val="11"/>
                <w:szCs w:val="11"/>
                <w:color w:val="auto"/>
              </w:rPr>
              <w:t>LATE PAYMENT CHARGE</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8021360003</w:t>
            </w:r>
          </w:p>
        </w:tc>
        <w:tc>
          <w:tcPr>
            <w:tcW w:w="1080" w:type="dxa"/>
            <w:vAlign w:val="bottom"/>
          </w:tcPr>
          <w:p>
            <w:pPr>
              <w:ind w:left="100"/>
              <w:spacing w:after="0"/>
              <w:rPr>
                <w:sz w:val="20"/>
                <w:szCs w:val="20"/>
                <w:color w:val="auto"/>
              </w:rPr>
            </w:pPr>
            <w:r>
              <w:rPr>
                <w:rFonts w:ascii="Arial" w:cs="Arial" w:eastAsia="Arial" w:hAnsi="Arial"/>
                <w:sz w:val="11"/>
                <w:szCs w:val="11"/>
                <w:color w:val="auto"/>
              </w:rPr>
              <w:t>POWER</w:t>
            </w:r>
          </w:p>
        </w:tc>
        <w:tc>
          <w:tcPr>
            <w:tcW w:w="1440" w:type="dxa"/>
            <w:vAlign w:val="bottom"/>
          </w:tcPr>
          <w:p>
            <w:pPr>
              <w:ind w:left="100"/>
              <w:spacing w:after="0"/>
              <w:rPr>
                <w:sz w:val="20"/>
                <w:szCs w:val="20"/>
                <w:color w:val="auto"/>
              </w:rPr>
            </w:pPr>
            <w:r>
              <w:rPr>
                <w:rFonts w:ascii="Arial" w:cs="Arial" w:eastAsia="Arial" w:hAnsi="Arial"/>
                <w:sz w:val="11"/>
                <w:szCs w:val="11"/>
                <w:color w:val="auto"/>
              </w:rPr>
              <w:t>CGDL</w:t>
            </w:r>
          </w:p>
        </w:tc>
        <w:tc>
          <w:tcPr>
            <w:tcW w:w="1820" w:type="dxa"/>
            <w:vAlign w:val="bottom"/>
          </w:tcPr>
          <w:p>
            <w:pPr>
              <w:ind w:left="200"/>
              <w:spacing w:after="0"/>
              <w:rPr>
                <w:sz w:val="20"/>
                <w:szCs w:val="20"/>
                <w:color w:val="auto"/>
              </w:rPr>
            </w:pPr>
            <w:r>
              <w:rPr>
                <w:rFonts w:ascii="Arial" w:cs="Arial" w:eastAsia="Arial" w:hAnsi="Arial"/>
                <w:sz w:val="11"/>
                <w:szCs w:val="11"/>
                <w:color w:val="auto"/>
              </w:rPr>
              <w:t>LATE PAYMENT CHARGE</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8021360004</w:t>
            </w:r>
          </w:p>
        </w:tc>
        <w:tc>
          <w:tcPr>
            <w:tcW w:w="1080" w:type="dxa"/>
            <w:vAlign w:val="bottom"/>
          </w:tcPr>
          <w:p>
            <w:pPr>
              <w:ind w:left="100"/>
              <w:spacing w:after="0"/>
              <w:rPr>
                <w:sz w:val="20"/>
                <w:szCs w:val="20"/>
                <w:color w:val="auto"/>
              </w:rPr>
            </w:pPr>
            <w:r>
              <w:rPr>
                <w:rFonts w:ascii="Arial" w:cs="Arial" w:eastAsia="Arial" w:hAnsi="Arial"/>
                <w:sz w:val="11"/>
                <w:szCs w:val="11"/>
                <w:color w:val="auto"/>
              </w:rPr>
              <w:t>POWER</w:t>
            </w:r>
          </w:p>
        </w:tc>
        <w:tc>
          <w:tcPr>
            <w:tcW w:w="1440" w:type="dxa"/>
            <w:vAlign w:val="bottom"/>
          </w:tcPr>
          <w:p>
            <w:pPr>
              <w:ind w:left="100"/>
              <w:spacing w:after="0"/>
              <w:rPr>
                <w:sz w:val="20"/>
                <w:szCs w:val="20"/>
                <w:color w:val="auto"/>
              </w:rPr>
            </w:pPr>
            <w:r>
              <w:rPr>
                <w:rFonts w:ascii="Arial" w:cs="Arial" w:eastAsia="Arial" w:hAnsi="Arial"/>
                <w:sz w:val="11"/>
                <w:szCs w:val="11"/>
                <w:color w:val="auto"/>
              </w:rPr>
              <w:t>CCA</w:t>
            </w:r>
          </w:p>
        </w:tc>
        <w:tc>
          <w:tcPr>
            <w:tcW w:w="1820" w:type="dxa"/>
            <w:vAlign w:val="bottom"/>
          </w:tcPr>
          <w:p>
            <w:pPr>
              <w:ind w:left="200"/>
              <w:spacing w:after="0"/>
              <w:rPr>
                <w:sz w:val="20"/>
                <w:szCs w:val="20"/>
                <w:color w:val="auto"/>
              </w:rPr>
            </w:pPr>
            <w:r>
              <w:rPr>
                <w:rFonts w:ascii="Arial" w:cs="Arial" w:eastAsia="Arial" w:hAnsi="Arial"/>
                <w:sz w:val="11"/>
                <w:szCs w:val="11"/>
                <w:color w:val="auto"/>
              </w:rPr>
              <w:t>LATE PAYMENT CHARGE</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8021360010</w:t>
            </w:r>
          </w:p>
        </w:tc>
        <w:tc>
          <w:tcPr>
            <w:tcW w:w="1080" w:type="dxa"/>
            <w:vAlign w:val="bottom"/>
          </w:tcPr>
          <w:p>
            <w:pPr>
              <w:ind w:left="100"/>
              <w:spacing w:after="0"/>
              <w:rPr>
                <w:sz w:val="20"/>
                <w:szCs w:val="20"/>
                <w:color w:val="auto"/>
              </w:rPr>
            </w:pPr>
            <w:r>
              <w:rPr>
                <w:rFonts w:ascii="Arial" w:cs="Arial" w:eastAsia="Arial" w:hAnsi="Arial"/>
                <w:sz w:val="11"/>
                <w:szCs w:val="11"/>
                <w:color w:val="auto"/>
              </w:rPr>
              <w:t>POWER</w:t>
            </w:r>
          </w:p>
        </w:tc>
        <w:tc>
          <w:tcPr>
            <w:tcW w:w="1440" w:type="dxa"/>
            <w:vAlign w:val="bottom"/>
          </w:tcPr>
          <w:p>
            <w:pPr>
              <w:ind w:left="100"/>
              <w:spacing w:after="0"/>
              <w:rPr>
                <w:sz w:val="20"/>
                <w:szCs w:val="20"/>
                <w:color w:val="auto"/>
              </w:rPr>
            </w:pPr>
            <w:r>
              <w:rPr>
                <w:rFonts w:ascii="Arial" w:cs="Arial" w:eastAsia="Arial" w:hAnsi="Arial"/>
                <w:sz w:val="11"/>
                <w:szCs w:val="11"/>
                <w:color w:val="auto"/>
              </w:rPr>
              <w:t>MDL</w:t>
            </w:r>
          </w:p>
        </w:tc>
        <w:tc>
          <w:tcPr>
            <w:tcW w:w="1820" w:type="dxa"/>
            <w:vAlign w:val="bottom"/>
          </w:tcPr>
          <w:p>
            <w:pPr>
              <w:ind w:left="200"/>
              <w:spacing w:after="0"/>
              <w:rPr>
                <w:sz w:val="20"/>
                <w:szCs w:val="20"/>
                <w:color w:val="auto"/>
              </w:rPr>
            </w:pPr>
            <w:r>
              <w:rPr>
                <w:rFonts w:ascii="Arial" w:cs="Arial" w:eastAsia="Arial" w:hAnsi="Arial"/>
                <w:sz w:val="11"/>
                <w:szCs w:val="11"/>
                <w:color w:val="auto"/>
              </w:rPr>
              <w:t>LATE PAYMENT CHARGE</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8021360001</w:t>
            </w:r>
          </w:p>
        </w:tc>
        <w:tc>
          <w:tcPr>
            <w:tcW w:w="1080" w:type="dxa"/>
            <w:vAlign w:val="bottom"/>
          </w:tcPr>
          <w:p>
            <w:pPr>
              <w:ind w:left="100"/>
              <w:spacing w:after="0"/>
              <w:rPr>
                <w:sz w:val="20"/>
                <w:szCs w:val="20"/>
                <w:color w:val="auto"/>
              </w:rPr>
            </w:pPr>
            <w:r>
              <w:rPr>
                <w:rFonts w:ascii="Arial" w:cs="Arial" w:eastAsia="Arial" w:hAnsi="Arial"/>
                <w:sz w:val="11"/>
                <w:szCs w:val="11"/>
                <w:color w:val="auto"/>
              </w:rPr>
              <w:t>POWER</w:t>
            </w:r>
          </w:p>
        </w:tc>
        <w:tc>
          <w:tcPr>
            <w:tcW w:w="1440" w:type="dxa"/>
            <w:vAlign w:val="bottom"/>
          </w:tcPr>
          <w:p>
            <w:pPr>
              <w:ind w:left="100"/>
              <w:spacing w:after="0"/>
              <w:rPr>
                <w:sz w:val="20"/>
                <w:szCs w:val="20"/>
                <w:color w:val="auto"/>
              </w:rPr>
            </w:pPr>
            <w:r>
              <w:rPr>
                <w:rFonts w:ascii="Arial" w:cs="Arial" w:eastAsia="Arial" w:hAnsi="Arial"/>
                <w:sz w:val="11"/>
                <w:szCs w:val="11"/>
                <w:color w:val="auto"/>
              </w:rPr>
              <w:t>BUNDLED</w:t>
            </w:r>
          </w:p>
        </w:tc>
        <w:tc>
          <w:tcPr>
            <w:tcW w:w="1820" w:type="dxa"/>
            <w:vAlign w:val="bottom"/>
          </w:tcPr>
          <w:p>
            <w:pPr>
              <w:ind w:left="200"/>
              <w:spacing w:after="0"/>
              <w:rPr>
                <w:sz w:val="20"/>
                <w:szCs w:val="20"/>
                <w:color w:val="auto"/>
              </w:rPr>
            </w:pPr>
            <w:r>
              <w:rPr>
                <w:rFonts w:ascii="Arial" w:cs="Arial" w:eastAsia="Arial" w:hAnsi="Arial"/>
                <w:sz w:val="11"/>
                <w:szCs w:val="11"/>
                <w:color w:val="auto"/>
              </w:rPr>
              <w:t>CHARGE-OFF RECOVERY</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8021360002</w:t>
            </w:r>
          </w:p>
        </w:tc>
        <w:tc>
          <w:tcPr>
            <w:tcW w:w="1080" w:type="dxa"/>
            <w:vAlign w:val="bottom"/>
          </w:tcPr>
          <w:p>
            <w:pPr>
              <w:ind w:left="100"/>
              <w:spacing w:after="0"/>
              <w:rPr>
                <w:sz w:val="20"/>
                <w:szCs w:val="20"/>
                <w:color w:val="auto"/>
              </w:rPr>
            </w:pPr>
            <w:r>
              <w:rPr>
                <w:rFonts w:ascii="Arial" w:cs="Arial" w:eastAsia="Arial" w:hAnsi="Arial"/>
                <w:sz w:val="11"/>
                <w:szCs w:val="11"/>
                <w:color w:val="auto"/>
              </w:rPr>
              <w:t>POWER</w:t>
            </w:r>
          </w:p>
        </w:tc>
        <w:tc>
          <w:tcPr>
            <w:tcW w:w="1440" w:type="dxa"/>
            <w:vAlign w:val="bottom"/>
          </w:tcPr>
          <w:p>
            <w:pPr>
              <w:ind w:left="100"/>
              <w:spacing w:after="0"/>
              <w:rPr>
                <w:sz w:val="20"/>
                <w:szCs w:val="20"/>
                <w:color w:val="auto"/>
              </w:rPr>
            </w:pPr>
            <w:r>
              <w:rPr>
                <w:rFonts w:ascii="Arial" w:cs="Arial" w:eastAsia="Arial" w:hAnsi="Arial"/>
                <w:sz w:val="11"/>
                <w:szCs w:val="11"/>
                <w:color w:val="auto"/>
              </w:rPr>
              <w:t>DA</w:t>
            </w:r>
          </w:p>
        </w:tc>
        <w:tc>
          <w:tcPr>
            <w:tcW w:w="1820" w:type="dxa"/>
            <w:vAlign w:val="bottom"/>
          </w:tcPr>
          <w:p>
            <w:pPr>
              <w:ind w:left="200"/>
              <w:spacing w:after="0"/>
              <w:rPr>
                <w:sz w:val="20"/>
                <w:szCs w:val="20"/>
                <w:color w:val="auto"/>
              </w:rPr>
            </w:pPr>
            <w:r>
              <w:rPr>
                <w:rFonts w:ascii="Arial" w:cs="Arial" w:eastAsia="Arial" w:hAnsi="Arial"/>
                <w:sz w:val="11"/>
                <w:szCs w:val="11"/>
                <w:color w:val="auto"/>
              </w:rPr>
              <w:t>CHARGE-OFF RECOVERY</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8021360003</w:t>
            </w:r>
          </w:p>
        </w:tc>
        <w:tc>
          <w:tcPr>
            <w:tcW w:w="1080" w:type="dxa"/>
            <w:vAlign w:val="bottom"/>
          </w:tcPr>
          <w:p>
            <w:pPr>
              <w:ind w:left="100"/>
              <w:spacing w:after="0"/>
              <w:rPr>
                <w:sz w:val="20"/>
                <w:szCs w:val="20"/>
                <w:color w:val="auto"/>
              </w:rPr>
            </w:pPr>
            <w:r>
              <w:rPr>
                <w:rFonts w:ascii="Arial" w:cs="Arial" w:eastAsia="Arial" w:hAnsi="Arial"/>
                <w:sz w:val="11"/>
                <w:szCs w:val="11"/>
                <w:color w:val="auto"/>
              </w:rPr>
              <w:t>POWER</w:t>
            </w:r>
          </w:p>
        </w:tc>
        <w:tc>
          <w:tcPr>
            <w:tcW w:w="1440" w:type="dxa"/>
            <w:vAlign w:val="bottom"/>
          </w:tcPr>
          <w:p>
            <w:pPr>
              <w:ind w:left="100"/>
              <w:spacing w:after="0"/>
              <w:rPr>
                <w:sz w:val="20"/>
                <w:szCs w:val="20"/>
                <w:color w:val="auto"/>
              </w:rPr>
            </w:pPr>
            <w:r>
              <w:rPr>
                <w:rFonts w:ascii="Arial" w:cs="Arial" w:eastAsia="Arial" w:hAnsi="Arial"/>
                <w:sz w:val="11"/>
                <w:szCs w:val="11"/>
                <w:color w:val="auto"/>
              </w:rPr>
              <w:t>CGDL</w:t>
            </w:r>
          </w:p>
        </w:tc>
        <w:tc>
          <w:tcPr>
            <w:tcW w:w="1820" w:type="dxa"/>
            <w:vAlign w:val="bottom"/>
          </w:tcPr>
          <w:p>
            <w:pPr>
              <w:ind w:left="200"/>
              <w:spacing w:after="0"/>
              <w:rPr>
                <w:sz w:val="20"/>
                <w:szCs w:val="20"/>
                <w:color w:val="auto"/>
              </w:rPr>
            </w:pPr>
            <w:r>
              <w:rPr>
                <w:rFonts w:ascii="Arial" w:cs="Arial" w:eastAsia="Arial" w:hAnsi="Arial"/>
                <w:sz w:val="11"/>
                <w:szCs w:val="11"/>
                <w:color w:val="auto"/>
              </w:rPr>
              <w:t>CHARGE-OFF RECOVERY</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8021360004</w:t>
            </w:r>
          </w:p>
        </w:tc>
        <w:tc>
          <w:tcPr>
            <w:tcW w:w="1080" w:type="dxa"/>
            <w:vAlign w:val="bottom"/>
          </w:tcPr>
          <w:p>
            <w:pPr>
              <w:ind w:left="100"/>
              <w:spacing w:after="0"/>
              <w:rPr>
                <w:sz w:val="20"/>
                <w:szCs w:val="20"/>
                <w:color w:val="auto"/>
              </w:rPr>
            </w:pPr>
            <w:r>
              <w:rPr>
                <w:rFonts w:ascii="Arial" w:cs="Arial" w:eastAsia="Arial" w:hAnsi="Arial"/>
                <w:sz w:val="11"/>
                <w:szCs w:val="11"/>
                <w:color w:val="auto"/>
              </w:rPr>
              <w:t>POWER</w:t>
            </w:r>
          </w:p>
        </w:tc>
        <w:tc>
          <w:tcPr>
            <w:tcW w:w="1440" w:type="dxa"/>
            <w:vAlign w:val="bottom"/>
          </w:tcPr>
          <w:p>
            <w:pPr>
              <w:ind w:left="100"/>
              <w:spacing w:after="0"/>
              <w:rPr>
                <w:sz w:val="20"/>
                <w:szCs w:val="20"/>
                <w:color w:val="auto"/>
              </w:rPr>
            </w:pPr>
            <w:r>
              <w:rPr>
                <w:rFonts w:ascii="Arial" w:cs="Arial" w:eastAsia="Arial" w:hAnsi="Arial"/>
                <w:sz w:val="11"/>
                <w:szCs w:val="11"/>
                <w:color w:val="auto"/>
              </w:rPr>
              <w:t>CCA</w:t>
            </w:r>
          </w:p>
        </w:tc>
        <w:tc>
          <w:tcPr>
            <w:tcW w:w="1820" w:type="dxa"/>
            <w:vAlign w:val="bottom"/>
          </w:tcPr>
          <w:p>
            <w:pPr>
              <w:ind w:left="200"/>
              <w:spacing w:after="0"/>
              <w:rPr>
                <w:sz w:val="20"/>
                <w:szCs w:val="20"/>
                <w:color w:val="auto"/>
              </w:rPr>
            </w:pPr>
            <w:r>
              <w:rPr>
                <w:rFonts w:ascii="Arial" w:cs="Arial" w:eastAsia="Arial" w:hAnsi="Arial"/>
                <w:sz w:val="11"/>
                <w:szCs w:val="11"/>
                <w:color w:val="auto"/>
              </w:rPr>
              <w:t>CHARGE-OFF RECOVERY</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23"/>
        </w:trPr>
        <w:tc>
          <w:tcPr>
            <w:tcW w:w="1300" w:type="dxa"/>
            <w:vAlign w:val="bottom"/>
          </w:tcPr>
          <w:p>
            <w:pPr>
              <w:jc w:val="right"/>
              <w:ind w:right="45"/>
              <w:spacing w:after="0" w:line="123" w:lineRule="exact"/>
              <w:rPr>
                <w:sz w:val="20"/>
                <w:szCs w:val="20"/>
                <w:color w:val="auto"/>
              </w:rPr>
            </w:pPr>
            <w:r>
              <w:rPr>
                <w:rFonts w:ascii="Arial" w:cs="Arial" w:eastAsia="Arial" w:hAnsi="Arial"/>
                <w:sz w:val="11"/>
                <w:szCs w:val="11"/>
                <w:color w:val="auto"/>
              </w:rPr>
              <w:t>8021360010</w:t>
            </w:r>
          </w:p>
        </w:tc>
        <w:tc>
          <w:tcPr>
            <w:tcW w:w="1080" w:type="dxa"/>
            <w:vAlign w:val="bottom"/>
          </w:tcPr>
          <w:p>
            <w:pPr>
              <w:ind w:left="100"/>
              <w:spacing w:after="0" w:line="123" w:lineRule="exact"/>
              <w:rPr>
                <w:sz w:val="20"/>
                <w:szCs w:val="20"/>
                <w:color w:val="auto"/>
              </w:rPr>
            </w:pPr>
            <w:r>
              <w:rPr>
                <w:rFonts w:ascii="Arial" w:cs="Arial" w:eastAsia="Arial" w:hAnsi="Arial"/>
                <w:sz w:val="11"/>
                <w:szCs w:val="11"/>
                <w:color w:val="auto"/>
              </w:rPr>
              <w:t>POWER</w:t>
            </w:r>
          </w:p>
        </w:tc>
        <w:tc>
          <w:tcPr>
            <w:tcW w:w="1440" w:type="dxa"/>
            <w:vAlign w:val="bottom"/>
          </w:tcPr>
          <w:p>
            <w:pPr>
              <w:ind w:left="100"/>
              <w:spacing w:after="0" w:line="123" w:lineRule="exact"/>
              <w:rPr>
                <w:sz w:val="20"/>
                <w:szCs w:val="20"/>
                <w:color w:val="auto"/>
              </w:rPr>
            </w:pPr>
            <w:r>
              <w:rPr>
                <w:rFonts w:ascii="Arial" w:cs="Arial" w:eastAsia="Arial" w:hAnsi="Arial"/>
                <w:sz w:val="11"/>
                <w:szCs w:val="11"/>
                <w:color w:val="auto"/>
              </w:rPr>
              <w:t>MDL</w:t>
            </w:r>
          </w:p>
        </w:tc>
        <w:tc>
          <w:tcPr>
            <w:tcW w:w="1820" w:type="dxa"/>
            <w:vAlign w:val="bottom"/>
          </w:tcPr>
          <w:p>
            <w:pPr>
              <w:ind w:left="200"/>
              <w:spacing w:after="0" w:line="123" w:lineRule="exact"/>
              <w:rPr>
                <w:sz w:val="20"/>
                <w:szCs w:val="20"/>
                <w:color w:val="auto"/>
              </w:rPr>
            </w:pPr>
            <w:r>
              <w:rPr>
                <w:rFonts w:ascii="Arial" w:cs="Arial" w:eastAsia="Arial" w:hAnsi="Arial"/>
                <w:sz w:val="11"/>
                <w:szCs w:val="11"/>
                <w:color w:val="auto"/>
              </w:rPr>
              <w:t>CHARGE-OFF RECOVERY</w:t>
            </w:r>
          </w:p>
        </w:tc>
        <w:tc>
          <w:tcPr>
            <w:tcW w:w="1320" w:type="dxa"/>
            <w:vAlign w:val="bottom"/>
          </w:tcPr>
          <w:p>
            <w:pPr>
              <w:jc w:val="right"/>
              <w:ind w:right="84"/>
              <w:spacing w:after="0" w:line="123" w:lineRule="exact"/>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line="123" w:lineRule="exact"/>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line="123" w:lineRule="exact"/>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spacing w:after="0"/>
              <w:rPr>
                <w:sz w:val="20"/>
                <w:szCs w:val="20"/>
                <w:color w:val="auto"/>
              </w:rPr>
            </w:pPr>
            <w:r>
              <w:rPr>
                <w:rFonts w:ascii="Arial" w:cs="Arial" w:eastAsia="Arial" w:hAnsi="Arial"/>
                <w:sz w:val="11"/>
                <w:szCs w:val="11"/>
                <w:b w:val="1"/>
                <w:bCs w:val="1"/>
                <w:color w:val="auto"/>
              </w:rPr>
              <w:t>POWER CHARGE</w:t>
            </w: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00" w:type="dxa"/>
            <w:vAlign w:val="bottom"/>
          </w:tcPr>
          <w:p>
            <w:pPr>
              <w:spacing w:after="0"/>
              <w:rPr>
                <w:sz w:val="20"/>
                <w:szCs w:val="20"/>
                <w:color w:val="auto"/>
              </w:rPr>
            </w:pPr>
            <w:r>
              <w:rPr>
                <w:rFonts w:ascii="Arial" w:cs="Arial" w:eastAsia="Arial" w:hAnsi="Arial"/>
                <w:sz w:val="11"/>
                <w:szCs w:val="11"/>
                <w:b w:val="1"/>
                <w:bCs w:val="1"/>
                <w:color w:val="auto"/>
              </w:rPr>
              <w:t>REMITTANCE</w:t>
            </w: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320" w:type="dxa"/>
            <w:vAlign w:val="bottom"/>
            <w:vMerge w:val="restart"/>
          </w:tcPr>
          <w:p>
            <w:pPr>
              <w:jc w:val="right"/>
              <w:ind w:right="84"/>
              <w:spacing w:after="0"/>
              <w:rPr>
                <w:sz w:val="20"/>
                <w:szCs w:val="20"/>
                <w:color w:val="auto"/>
              </w:rPr>
            </w:pPr>
            <w:r>
              <w:rPr>
                <w:rFonts w:ascii="Arial" w:cs="Arial" w:eastAsia="Arial" w:hAnsi="Arial"/>
                <w:sz w:val="14"/>
                <w:szCs w:val="14"/>
                <w:color w:val="auto"/>
              </w:rPr>
              <w:t>$x,xxx,xxx.xx</w:t>
            </w:r>
          </w:p>
        </w:tc>
        <w:tc>
          <w:tcPr>
            <w:tcW w:w="1240" w:type="dxa"/>
            <w:vAlign w:val="bottom"/>
            <w:vMerge w:val="restart"/>
          </w:tcPr>
          <w:p>
            <w:pPr>
              <w:jc w:val="right"/>
              <w:ind w:right="124"/>
              <w:spacing w:after="0"/>
              <w:rPr>
                <w:sz w:val="20"/>
                <w:szCs w:val="20"/>
                <w:color w:val="auto"/>
              </w:rPr>
            </w:pPr>
            <w:r>
              <w:rPr>
                <w:rFonts w:ascii="Arial" w:cs="Arial" w:eastAsia="Arial" w:hAnsi="Arial"/>
                <w:sz w:val="14"/>
                <w:szCs w:val="14"/>
                <w:color w:val="auto"/>
              </w:rPr>
              <w:t>$x,xxx,xxx.xx</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$x,xxx,xxx.xx</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8059000000</w:t>
            </w:r>
          </w:p>
        </w:tc>
        <w:tc>
          <w:tcPr>
            <w:tcW w:w="1080" w:type="dxa"/>
            <w:vAlign w:val="bottom"/>
          </w:tcPr>
          <w:p>
            <w:pPr>
              <w:ind w:left="100"/>
              <w:spacing w:after="0"/>
              <w:rPr>
                <w:sz w:val="20"/>
                <w:szCs w:val="20"/>
                <w:color w:val="auto"/>
              </w:rPr>
            </w:pPr>
            <w:r>
              <w:rPr>
                <w:rFonts w:ascii="Arial" w:cs="Arial" w:eastAsia="Arial" w:hAnsi="Arial"/>
                <w:sz w:val="11"/>
                <w:szCs w:val="11"/>
                <w:color w:val="auto"/>
              </w:rPr>
              <w:t>BOND</w:t>
            </w:r>
          </w:p>
        </w:tc>
        <w:tc>
          <w:tcPr>
            <w:tcW w:w="1440" w:type="dxa"/>
            <w:vAlign w:val="bottom"/>
          </w:tcPr>
          <w:p>
            <w:pPr>
              <w:ind w:left="100"/>
              <w:spacing w:after="0"/>
              <w:rPr>
                <w:sz w:val="20"/>
                <w:szCs w:val="20"/>
                <w:color w:val="auto"/>
              </w:rPr>
            </w:pPr>
            <w:r>
              <w:rPr>
                <w:rFonts w:ascii="Arial" w:cs="Arial" w:eastAsia="Arial" w:hAnsi="Arial"/>
                <w:sz w:val="11"/>
                <w:szCs w:val="11"/>
                <w:color w:val="auto"/>
              </w:rPr>
              <w:t>BUNDLED</w:t>
            </w:r>
          </w:p>
        </w:tc>
        <w:tc>
          <w:tcPr>
            <w:tcW w:w="1820" w:type="dxa"/>
            <w:vAlign w:val="bottom"/>
          </w:tcPr>
          <w:p>
            <w:pPr>
              <w:ind w:left="200"/>
              <w:spacing w:after="0"/>
              <w:rPr>
                <w:sz w:val="20"/>
                <w:szCs w:val="20"/>
                <w:color w:val="auto"/>
              </w:rPr>
            </w:pPr>
            <w:r>
              <w:rPr>
                <w:rFonts w:ascii="Arial" w:cs="Arial" w:eastAsia="Arial" w:hAnsi="Arial"/>
                <w:sz w:val="11"/>
                <w:szCs w:val="11"/>
                <w:color w:val="auto"/>
              </w:rPr>
              <w:t>REMITTANCE</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8059000001</w:t>
            </w:r>
          </w:p>
        </w:tc>
        <w:tc>
          <w:tcPr>
            <w:tcW w:w="1080" w:type="dxa"/>
            <w:vAlign w:val="bottom"/>
          </w:tcPr>
          <w:p>
            <w:pPr>
              <w:ind w:left="100"/>
              <w:spacing w:after="0"/>
              <w:rPr>
                <w:sz w:val="20"/>
                <w:szCs w:val="20"/>
                <w:color w:val="auto"/>
              </w:rPr>
            </w:pPr>
            <w:r>
              <w:rPr>
                <w:rFonts w:ascii="Arial" w:cs="Arial" w:eastAsia="Arial" w:hAnsi="Arial"/>
                <w:sz w:val="11"/>
                <w:szCs w:val="11"/>
                <w:color w:val="auto"/>
              </w:rPr>
              <w:t>BOND</w:t>
            </w:r>
          </w:p>
        </w:tc>
        <w:tc>
          <w:tcPr>
            <w:tcW w:w="1440" w:type="dxa"/>
            <w:vAlign w:val="bottom"/>
          </w:tcPr>
          <w:p>
            <w:pPr>
              <w:ind w:left="100"/>
              <w:spacing w:after="0"/>
              <w:rPr>
                <w:sz w:val="20"/>
                <w:szCs w:val="20"/>
                <w:color w:val="auto"/>
              </w:rPr>
            </w:pPr>
            <w:r>
              <w:rPr>
                <w:rFonts w:ascii="Arial" w:cs="Arial" w:eastAsia="Arial" w:hAnsi="Arial"/>
                <w:sz w:val="11"/>
                <w:szCs w:val="11"/>
                <w:color w:val="auto"/>
              </w:rPr>
              <w:t>DA</w:t>
            </w:r>
          </w:p>
        </w:tc>
        <w:tc>
          <w:tcPr>
            <w:tcW w:w="1820" w:type="dxa"/>
            <w:vAlign w:val="bottom"/>
          </w:tcPr>
          <w:p>
            <w:pPr>
              <w:ind w:left="200"/>
              <w:spacing w:after="0"/>
              <w:rPr>
                <w:sz w:val="20"/>
                <w:szCs w:val="20"/>
                <w:color w:val="auto"/>
              </w:rPr>
            </w:pPr>
            <w:r>
              <w:rPr>
                <w:rFonts w:ascii="Arial" w:cs="Arial" w:eastAsia="Arial" w:hAnsi="Arial"/>
                <w:sz w:val="11"/>
                <w:szCs w:val="11"/>
                <w:color w:val="auto"/>
              </w:rPr>
              <w:t>REMITTANCE</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8059000003</w:t>
            </w:r>
          </w:p>
        </w:tc>
        <w:tc>
          <w:tcPr>
            <w:tcW w:w="1080" w:type="dxa"/>
            <w:vAlign w:val="bottom"/>
          </w:tcPr>
          <w:p>
            <w:pPr>
              <w:ind w:left="100"/>
              <w:spacing w:after="0"/>
              <w:rPr>
                <w:sz w:val="20"/>
                <w:szCs w:val="20"/>
                <w:color w:val="auto"/>
              </w:rPr>
            </w:pPr>
            <w:r>
              <w:rPr>
                <w:rFonts w:ascii="Arial" w:cs="Arial" w:eastAsia="Arial" w:hAnsi="Arial"/>
                <w:sz w:val="11"/>
                <w:szCs w:val="11"/>
                <w:color w:val="auto"/>
              </w:rPr>
              <w:t>BOND</w:t>
            </w:r>
          </w:p>
        </w:tc>
        <w:tc>
          <w:tcPr>
            <w:tcW w:w="1440" w:type="dxa"/>
            <w:vAlign w:val="bottom"/>
          </w:tcPr>
          <w:p>
            <w:pPr>
              <w:ind w:left="100"/>
              <w:spacing w:after="0"/>
              <w:rPr>
                <w:sz w:val="20"/>
                <w:szCs w:val="20"/>
                <w:color w:val="auto"/>
              </w:rPr>
            </w:pPr>
            <w:r>
              <w:rPr>
                <w:rFonts w:ascii="Arial" w:cs="Arial" w:eastAsia="Arial" w:hAnsi="Arial"/>
                <w:sz w:val="11"/>
                <w:szCs w:val="11"/>
                <w:color w:val="auto"/>
              </w:rPr>
              <w:t>CGDL</w:t>
            </w:r>
          </w:p>
        </w:tc>
        <w:tc>
          <w:tcPr>
            <w:tcW w:w="1820" w:type="dxa"/>
            <w:vAlign w:val="bottom"/>
          </w:tcPr>
          <w:p>
            <w:pPr>
              <w:ind w:left="200"/>
              <w:spacing w:after="0"/>
              <w:rPr>
                <w:sz w:val="20"/>
                <w:szCs w:val="20"/>
                <w:color w:val="auto"/>
              </w:rPr>
            </w:pPr>
            <w:r>
              <w:rPr>
                <w:rFonts w:ascii="Arial" w:cs="Arial" w:eastAsia="Arial" w:hAnsi="Arial"/>
                <w:sz w:val="11"/>
                <w:szCs w:val="11"/>
                <w:color w:val="auto"/>
              </w:rPr>
              <w:t>REMITTANCE</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8059000004</w:t>
            </w:r>
          </w:p>
        </w:tc>
        <w:tc>
          <w:tcPr>
            <w:tcW w:w="1080" w:type="dxa"/>
            <w:vAlign w:val="bottom"/>
          </w:tcPr>
          <w:p>
            <w:pPr>
              <w:ind w:left="100"/>
              <w:spacing w:after="0"/>
              <w:rPr>
                <w:sz w:val="20"/>
                <w:szCs w:val="20"/>
                <w:color w:val="auto"/>
              </w:rPr>
            </w:pPr>
            <w:r>
              <w:rPr>
                <w:rFonts w:ascii="Arial" w:cs="Arial" w:eastAsia="Arial" w:hAnsi="Arial"/>
                <w:sz w:val="11"/>
                <w:szCs w:val="11"/>
                <w:color w:val="auto"/>
              </w:rPr>
              <w:t>BOND</w:t>
            </w:r>
          </w:p>
        </w:tc>
        <w:tc>
          <w:tcPr>
            <w:tcW w:w="1440" w:type="dxa"/>
            <w:vAlign w:val="bottom"/>
          </w:tcPr>
          <w:p>
            <w:pPr>
              <w:ind w:left="100"/>
              <w:spacing w:after="0"/>
              <w:rPr>
                <w:sz w:val="20"/>
                <w:szCs w:val="20"/>
                <w:color w:val="auto"/>
              </w:rPr>
            </w:pPr>
            <w:r>
              <w:rPr>
                <w:rFonts w:ascii="Arial" w:cs="Arial" w:eastAsia="Arial" w:hAnsi="Arial"/>
                <w:sz w:val="11"/>
                <w:szCs w:val="11"/>
                <w:color w:val="auto"/>
              </w:rPr>
              <w:t>CCA</w:t>
            </w:r>
          </w:p>
        </w:tc>
        <w:tc>
          <w:tcPr>
            <w:tcW w:w="1820" w:type="dxa"/>
            <w:vAlign w:val="bottom"/>
          </w:tcPr>
          <w:p>
            <w:pPr>
              <w:ind w:left="200"/>
              <w:spacing w:after="0"/>
              <w:rPr>
                <w:sz w:val="20"/>
                <w:szCs w:val="20"/>
                <w:color w:val="auto"/>
              </w:rPr>
            </w:pPr>
            <w:r>
              <w:rPr>
                <w:rFonts w:ascii="Arial" w:cs="Arial" w:eastAsia="Arial" w:hAnsi="Arial"/>
                <w:sz w:val="11"/>
                <w:szCs w:val="11"/>
                <w:color w:val="auto"/>
              </w:rPr>
              <w:t>REMITTANCE</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8059000005</w:t>
            </w:r>
          </w:p>
        </w:tc>
        <w:tc>
          <w:tcPr>
            <w:tcW w:w="1080" w:type="dxa"/>
            <w:vAlign w:val="bottom"/>
          </w:tcPr>
          <w:p>
            <w:pPr>
              <w:ind w:left="100"/>
              <w:spacing w:after="0"/>
              <w:rPr>
                <w:sz w:val="20"/>
                <w:szCs w:val="20"/>
                <w:color w:val="auto"/>
              </w:rPr>
            </w:pPr>
            <w:r>
              <w:rPr>
                <w:rFonts w:ascii="Arial" w:cs="Arial" w:eastAsia="Arial" w:hAnsi="Arial"/>
                <w:sz w:val="11"/>
                <w:szCs w:val="11"/>
                <w:color w:val="auto"/>
              </w:rPr>
              <w:t>BOND</w:t>
            </w:r>
          </w:p>
        </w:tc>
        <w:tc>
          <w:tcPr>
            <w:tcW w:w="1440" w:type="dxa"/>
            <w:vAlign w:val="bottom"/>
          </w:tcPr>
          <w:p>
            <w:pPr>
              <w:ind w:left="100"/>
              <w:spacing w:after="0"/>
              <w:rPr>
                <w:sz w:val="20"/>
                <w:szCs w:val="20"/>
                <w:color w:val="auto"/>
              </w:rPr>
            </w:pPr>
            <w:r>
              <w:rPr>
                <w:rFonts w:ascii="Arial" w:cs="Arial" w:eastAsia="Arial" w:hAnsi="Arial"/>
                <w:sz w:val="11"/>
                <w:szCs w:val="11"/>
                <w:color w:val="auto"/>
              </w:rPr>
              <w:t>MDL</w:t>
            </w:r>
          </w:p>
        </w:tc>
        <w:tc>
          <w:tcPr>
            <w:tcW w:w="1820" w:type="dxa"/>
            <w:vAlign w:val="bottom"/>
          </w:tcPr>
          <w:p>
            <w:pPr>
              <w:ind w:left="200"/>
              <w:spacing w:after="0"/>
              <w:rPr>
                <w:sz w:val="20"/>
                <w:szCs w:val="20"/>
                <w:color w:val="auto"/>
              </w:rPr>
            </w:pPr>
            <w:r>
              <w:rPr>
                <w:rFonts w:ascii="Arial" w:cs="Arial" w:eastAsia="Arial" w:hAnsi="Arial"/>
                <w:sz w:val="11"/>
                <w:szCs w:val="11"/>
                <w:color w:val="auto"/>
              </w:rPr>
              <w:t>REMITTANCE</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8059000000</w:t>
            </w:r>
          </w:p>
        </w:tc>
        <w:tc>
          <w:tcPr>
            <w:tcW w:w="1080" w:type="dxa"/>
            <w:vAlign w:val="bottom"/>
          </w:tcPr>
          <w:p>
            <w:pPr>
              <w:ind w:left="100"/>
              <w:spacing w:after="0"/>
              <w:rPr>
                <w:sz w:val="20"/>
                <w:szCs w:val="20"/>
                <w:color w:val="auto"/>
              </w:rPr>
            </w:pPr>
            <w:r>
              <w:rPr>
                <w:rFonts w:ascii="Arial" w:cs="Arial" w:eastAsia="Arial" w:hAnsi="Arial"/>
                <w:sz w:val="11"/>
                <w:szCs w:val="11"/>
                <w:color w:val="auto"/>
              </w:rPr>
              <w:t>BOND</w:t>
            </w:r>
          </w:p>
        </w:tc>
        <w:tc>
          <w:tcPr>
            <w:tcW w:w="1440" w:type="dxa"/>
            <w:vAlign w:val="bottom"/>
          </w:tcPr>
          <w:p>
            <w:pPr>
              <w:ind w:left="100"/>
              <w:spacing w:after="0"/>
              <w:rPr>
                <w:sz w:val="20"/>
                <w:szCs w:val="20"/>
                <w:color w:val="auto"/>
              </w:rPr>
            </w:pPr>
            <w:r>
              <w:rPr>
                <w:rFonts w:ascii="Arial" w:cs="Arial" w:eastAsia="Arial" w:hAnsi="Arial"/>
                <w:sz w:val="11"/>
                <w:szCs w:val="11"/>
                <w:color w:val="auto"/>
              </w:rPr>
              <w:t>BUNDLED</w:t>
            </w:r>
          </w:p>
        </w:tc>
        <w:tc>
          <w:tcPr>
            <w:tcW w:w="1820" w:type="dxa"/>
            <w:vAlign w:val="bottom"/>
          </w:tcPr>
          <w:p>
            <w:pPr>
              <w:ind w:left="200"/>
              <w:spacing w:after="0"/>
              <w:rPr>
                <w:sz w:val="20"/>
                <w:szCs w:val="20"/>
                <w:color w:val="auto"/>
              </w:rPr>
            </w:pPr>
            <w:r>
              <w:rPr>
                <w:rFonts w:ascii="Arial" w:cs="Arial" w:eastAsia="Arial" w:hAnsi="Arial"/>
                <w:sz w:val="11"/>
                <w:szCs w:val="11"/>
                <w:color w:val="auto"/>
              </w:rPr>
              <w:t>LATE PAYMENT CHARGE</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8059000001</w:t>
            </w:r>
          </w:p>
        </w:tc>
        <w:tc>
          <w:tcPr>
            <w:tcW w:w="1080" w:type="dxa"/>
            <w:vAlign w:val="bottom"/>
          </w:tcPr>
          <w:p>
            <w:pPr>
              <w:ind w:left="100"/>
              <w:spacing w:after="0"/>
              <w:rPr>
                <w:sz w:val="20"/>
                <w:szCs w:val="20"/>
                <w:color w:val="auto"/>
              </w:rPr>
            </w:pPr>
            <w:r>
              <w:rPr>
                <w:rFonts w:ascii="Arial" w:cs="Arial" w:eastAsia="Arial" w:hAnsi="Arial"/>
                <w:sz w:val="11"/>
                <w:szCs w:val="11"/>
                <w:color w:val="auto"/>
              </w:rPr>
              <w:t>BOND</w:t>
            </w:r>
          </w:p>
        </w:tc>
        <w:tc>
          <w:tcPr>
            <w:tcW w:w="1440" w:type="dxa"/>
            <w:vAlign w:val="bottom"/>
          </w:tcPr>
          <w:p>
            <w:pPr>
              <w:ind w:left="100"/>
              <w:spacing w:after="0"/>
              <w:rPr>
                <w:sz w:val="20"/>
                <w:szCs w:val="20"/>
                <w:color w:val="auto"/>
              </w:rPr>
            </w:pPr>
            <w:r>
              <w:rPr>
                <w:rFonts w:ascii="Arial" w:cs="Arial" w:eastAsia="Arial" w:hAnsi="Arial"/>
                <w:sz w:val="11"/>
                <w:szCs w:val="11"/>
                <w:color w:val="auto"/>
              </w:rPr>
              <w:t>DA</w:t>
            </w:r>
          </w:p>
        </w:tc>
        <w:tc>
          <w:tcPr>
            <w:tcW w:w="1820" w:type="dxa"/>
            <w:vAlign w:val="bottom"/>
          </w:tcPr>
          <w:p>
            <w:pPr>
              <w:ind w:left="200"/>
              <w:spacing w:after="0"/>
              <w:rPr>
                <w:sz w:val="20"/>
                <w:szCs w:val="20"/>
                <w:color w:val="auto"/>
              </w:rPr>
            </w:pPr>
            <w:r>
              <w:rPr>
                <w:rFonts w:ascii="Arial" w:cs="Arial" w:eastAsia="Arial" w:hAnsi="Arial"/>
                <w:sz w:val="11"/>
                <w:szCs w:val="11"/>
                <w:color w:val="auto"/>
              </w:rPr>
              <w:t>LATE PAYMENT CHARGE</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8059000003</w:t>
            </w:r>
          </w:p>
        </w:tc>
        <w:tc>
          <w:tcPr>
            <w:tcW w:w="1080" w:type="dxa"/>
            <w:vAlign w:val="bottom"/>
          </w:tcPr>
          <w:p>
            <w:pPr>
              <w:ind w:left="100"/>
              <w:spacing w:after="0"/>
              <w:rPr>
                <w:sz w:val="20"/>
                <w:szCs w:val="20"/>
                <w:color w:val="auto"/>
              </w:rPr>
            </w:pPr>
            <w:r>
              <w:rPr>
                <w:rFonts w:ascii="Arial" w:cs="Arial" w:eastAsia="Arial" w:hAnsi="Arial"/>
                <w:sz w:val="11"/>
                <w:szCs w:val="11"/>
                <w:color w:val="auto"/>
              </w:rPr>
              <w:t>BOND</w:t>
            </w:r>
          </w:p>
        </w:tc>
        <w:tc>
          <w:tcPr>
            <w:tcW w:w="1440" w:type="dxa"/>
            <w:vAlign w:val="bottom"/>
          </w:tcPr>
          <w:p>
            <w:pPr>
              <w:ind w:left="100"/>
              <w:spacing w:after="0"/>
              <w:rPr>
                <w:sz w:val="20"/>
                <w:szCs w:val="20"/>
                <w:color w:val="auto"/>
              </w:rPr>
            </w:pPr>
            <w:r>
              <w:rPr>
                <w:rFonts w:ascii="Arial" w:cs="Arial" w:eastAsia="Arial" w:hAnsi="Arial"/>
                <w:sz w:val="11"/>
                <w:szCs w:val="11"/>
                <w:color w:val="auto"/>
              </w:rPr>
              <w:t>CGDL</w:t>
            </w:r>
          </w:p>
        </w:tc>
        <w:tc>
          <w:tcPr>
            <w:tcW w:w="1820" w:type="dxa"/>
            <w:vAlign w:val="bottom"/>
          </w:tcPr>
          <w:p>
            <w:pPr>
              <w:ind w:left="200"/>
              <w:spacing w:after="0"/>
              <w:rPr>
                <w:sz w:val="20"/>
                <w:szCs w:val="20"/>
                <w:color w:val="auto"/>
              </w:rPr>
            </w:pPr>
            <w:r>
              <w:rPr>
                <w:rFonts w:ascii="Arial" w:cs="Arial" w:eastAsia="Arial" w:hAnsi="Arial"/>
                <w:sz w:val="11"/>
                <w:szCs w:val="11"/>
                <w:color w:val="auto"/>
              </w:rPr>
              <w:t>LATE PAYMENT CHARGE</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8059000004</w:t>
            </w:r>
          </w:p>
        </w:tc>
        <w:tc>
          <w:tcPr>
            <w:tcW w:w="1080" w:type="dxa"/>
            <w:vAlign w:val="bottom"/>
          </w:tcPr>
          <w:p>
            <w:pPr>
              <w:ind w:left="100"/>
              <w:spacing w:after="0"/>
              <w:rPr>
                <w:sz w:val="20"/>
                <w:szCs w:val="20"/>
                <w:color w:val="auto"/>
              </w:rPr>
            </w:pPr>
            <w:r>
              <w:rPr>
                <w:rFonts w:ascii="Arial" w:cs="Arial" w:eastAsia="Arial" w:hAnsi="Arial"/>
                <w:sz w:val="11"/>
                <w:szCs w:val="11"/>
                <w:color w:val="auto"/>
              </w:rPr>
              <w:t>BOND</w:t>
            </w:r>
          </w:p>
        </w:tc>
        <w:tc>
          <w:tcPr>
            <w:tcW w:w="1440" w:type="dxa"/>
            <w:vAlign w:val="bottom"/>
          </w:tcPr>
          <w:p>
            <w:pPr>
              <w:ind w:left="100"/>
              <w:spacing w:after="0"/>
              <w:rPr>
                <w:sz w:val="20"/>
                <w:szCs w:val="20"/>
                <w:color w:val="auto"/>
              </w:rPr>
            </w:pPr>
            <w:r>
              <w:rPr>
                <w:rFonts w:ascii="Arial" w:cs="Arial" w:eastAsia="Arial" w:hAnsi="Arial"/>
                <w:sz w:val="11"/>
                <w:szCs w:val="11"/>
                <w:color w:val="auto"/>
              </w:rPr>
              <w:t>CCA</w:t>
            </w:r>
          </w:p>
        </w:tc>
        <w:tc>
          <w:tcPr>
            <w:tcW w:w="1820" w:type="dxa"/>
            <w:vAlign w:val="bottom"/>
          </w:tcPr>
          <w:p>
            <w:pPr>
              <w:ind w:left="200"/>
              <w:spacing w:after="0"/>
              <w:rPr>
                <w:sz w:val="20"/>
                <w:szCs w:val="20"/>
                <w:color w:val="auto"/>
              </w:rPr>
            </w:pPr>
            <w:r>
              <w:rPr>
                <w:rFonts w:ascii="Arial" w:cs="Arial" w:eastAsia="Arial" w:hAnsi="Arial"/>
                <w:sz w:val="11"/>
                <w:szCs w:val="11"/>
                <w:color w:val="auto"/>
              </w:rPr>
              <w:t>LATE PAYMENT CHARGE</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8059000005</w:t>
            </w:r>
          </w:p>
        </w:tc>
        <w:tc>
          <w:tcPr>
            <w:tcW w:w="1080" w:type="dxa"/>
            <w:vAlign w:val="bottom"/>
          </w:tcPr>
          <w:p>
            <w:pPr>
              <w:ind w:left="100"/>
              <w:spacing w:after="0"/>
              <w:rPr>
                <w:sz w:val="20"/>
                <w:szCs w:val="20"/>
                <w:color w:val="auto"/>
              </w:rPr>
            </w:pPr>
            <w:r>
              <w:rPr>
                <w:rFonts w:ascii="Arial" w:cs="Arial" w:eastAsia="Arial" w:hAnsi="Arial"/>
                <w:sz w:val="11"/>
                <w:szCs w:val="11"/>
                <w:color w:val="auto"/>
              </w:rPr>
              <w:t>BOND</w:t>
            </w:r>
          </w:p>
        </w:tc>
        <w:tc>
          <w:tcPr>
            <w:tcW w:w="1440" w:type="dxa"/>
            <w:vAlign w:val="bottom"/>
          </w:tcPr>
          <w:p>
            <w:pPr>
              <w:ind w:left="100"/>
              <w:spacing w:after="0"/>
              <w:rPr>
                <w:sz w:val="20"/>
                <w:szCs w:val="20"/>
                <w:color w:val="auto"/>
              </w:rPr>
            </w:pPr>
            <w:r>
              <w:rPr>
                <w:rFonts w:ascii="Arial" w:cs="Arial" w:eastAsia="Arial" w:hAnsi="Arial"/>
                <w:sz w:val="11"/>
                <w:szCs w:val="11"/>
                <w:color w:val="auto"/>
              </w:rPr>
              <w:t>MDL</w:t>
            </w:r>
          </w:p>
        </w:tc>
        <w:tc>
          <w:tcPr>
            <w:tcW w:w="1820" w:type="dxa"/>
            <w:vAlign w:val="bottom"/>
          </w:tcPr>
          <w:p>
            <w:pPr>
              <w:ind w:left="200"/>
              <w:spacing w:after="0"/>
              <w:rPr>
                <w:sz w:val="20"/>
                <w:szCs w:val="20"/>
                <w:color w:val="auto"/>
              </w:rPr>
            </w:pPr>
            <w:r>
              <w:rPr>
                <w:rFonts w:ascii="Arial" w:cs="Arial" w:eastAsia="Arial" w:hAnsi="Arial"/>
                <w:sz w:val="11"/>
                <w:szCs w:val="11"/>
                <w:color w:val="auto"/>
              </w:rPr>
              <w:t>LATE PAYMENT CHARGE</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8059000000</w:t>
            </w:r>
          </w:p>
        </w:tc>
        <w:tc>
          <w:tcPr>
            <w:tcW w:w="1080" w:type="dxa"/>
            <w:vAlign w:val="bottom"/>
          </w:tcPr>
          <w:p>
            <w:pPr>
              <w:ind w:left="100"/>
              <w:spacing w:after="0"/>
              <w:rPr>
                <w:sz w:val="20"/>
                <w:szCs w:val="20"/>
                <w:color w:val="auto"/>
              </w:rPr>
            </w:pPr>
            <w:r>
              <w:rPr>
                <w:rFonts w:ascii="Arial" w:cs="Arial" w:eastAsia="Arial" w:hAnsi="Arial"/>
                <w:sz w:val="11"/>
                <w:szCs w:val="11"/>
                <w:color w:val="auto"/>
              </w:rPr>
              <w:t>BOND</w:t>
            </w:r>
          </w:p>
        </w:tc>
        <w:tc>
          <w:tcPr>
            <w:tcW w:w="1440" w:type="dxa"/>
            <w:vAlign w:val="bottom"/>
          </w:tcPr>
          <w:p>
            <w:pPr>
              <w:ind w:left="100"/>
              <w:spacing w:after="0"/>
              <w:rPr>
                <w:sz w:val="20"/>
                <w:szCs w:val="20"/>
                <w:color w:val="auto"/>
              </w:rPr>
            </w:pPr>
            <w:r>
              <w:rPr>
                <w:rFonts w:ascii="Arial" w:cs="Arial" w:eastAsia="Arial" w:hAnsi="Arial"/>
                <w:sz w:val="11"/>
                <w:szCs w:val="11"/>
                <w:color w:val="auto"/>
              </w:rPr>
              <w:t>BUNDLED</w:t>
            </w:r>
          </w:p>
        </w:tc>
        <w:tc>
          <w:tcPr>
            <w:tcW w:w="1820" w:type="dxa"/>
            <w:vAlign w:val="bottom"/>
          </w:tcPr>
          <w:p>
            <w:pPr>
              <w:ind w:left="200"/>
              <w:spacing w:after="0"/>
              <w:rPr>
                <w:sz w:val="20"/>
                <w:szCs w:val="20"/>
                <w:color w:val="auto"/>
              </w:rPr>
            </w:pPr>
            <w:r>
              <w:rPr>
                <w:rFonts w:ascii="Arial" w:cs="Arial" w:eastAsia="Arial" w:hAnsi="Arial"/>
                <w:sz w:val="11"/>
                <w:szCs w:val="11"/>
                <w:color w:val="auto"/>
              </w:rPr>
              <w:t>CHARGE-OFF RECOVERY</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8059000001</w:t>
            </w:r>
          </w:p>
        </w:tc>
        <w:tc>
          <w:tcPr>
            <w:tcW w:w="1080" w:type="dxa"/>
            <w:vAlign w:val="bottom"/>
          </w:tcPr>
          <w:p>
            <w:pPr>
              <w:ind w:left="100"/>
              <w:spacing w:after="0"/>
              <w:rPr>
                <w:sz w:val="20"/>
                <w:szCs w:val="20"/>
                <w:color w:val="auto"/>
              </w:rPr>
            </w:pPr>
            <w:r>
              <w:rPr>
                <w:rFonts w:ascii="Arial" w:cs="Arial" w:eastAsia="Arial" w:hAnsi="Arial"/>
                <w:sz w:val="11"/>
                <w:szCs w:val="11"/>
                <w:color w:val="auto"/>
              </w:rPr>
              <w:t>BOND</w:t>
            </w:r>
          </w:p>
        </w:tc>
        <w:tc>
          <w:tcPr>
            <w:tcW w:w="1440" w:type="dxa"/>
            <w:vAlign w:val="bottom"/>
          </w:tcPr>
          <w:p>
            <w:pPr>
              <w:ind w:left="100"/>
              <w:spacing w:after="0"/>
              <w:rPr>
                <w:sz w:val="20"/>
                <w:szCs w:val="20"/>
                <w:color w:val="auto"/>
              </w:rPr>
            </w:pPr>
            <w:r>
              <w:rPr>
                <w:rFonts w:ascii="Arial" w:cs="Arial" w:eastAsia="Arial" w:hAnsi="Arial"/>
                <w:sz w:val="11"/>
                <w:szCs w:val="11"/>
                <w:color w:val="auto"/>
              </w:rPr>
              <w:t>DA</w:t>
            </w:r>
          </w:p>
        </w:tc>
        <w:tc>
          <w:tcPr>
            <w:tcW w:w="1820" w:type="dxa"/>
            <w:vAlign w:val="bottom"/>
          </w:tcPr>
          <w:p>
            <w:pPr>
              <w:ind w:left="200"/>
              <w:spacing w:after="0"/>
              <w:rPr>
                <w:sz w:val="20"/>
                <w:szCs w:val="20"/>
                <w:color w:val="auto"/>
              </w:rPr>
            </w:pPr>
            <w:r>
              <w:rPr>
                <w:rFonts w:ascii="Arial" w:cs="Arial" w:eastAsia="Arial" w:hAnsi="Arial"/>
                <w:sz w:val="11"/>
                <w:szCs w:val="11"/>
                <w:color w:val="auto"/>
              </w:rPr>
              <w:t>CHARGE-OFF RECOVERY</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8059000003</w:t>
            </w:r>
          </w:p>
        </w:tc>
        <w:tc>
          <w:tcPr>
            <w:tcW w:w="1080" w:type="dxa"/>
            <w:vAlign w:val="bottom"/>
          </w:tcPr>
          <w:p>
            <w:pPr>
              <w:ind w:left="100"/>
              <w:spacing w:after="0"/>
              <w:rPr>
                <w:sz w:val="20"/>
                <w:szCs w:val="20"/>
                <w:color w:val="auto"/>
              </w:rPr>
            </w:pPr>
            <w:r>
              <w:rPr>
                <w:rFonts w:ascii="Arial" w:cs="Arial" w:eastAsia="Arial" w:hAnsi="Arial"/>
                <w:sz w:val="11"/>
                <w:szCs w:val="11"/>
                <w:color w:val="auto"/>
              </w:rPr>
              <w:t>BOND</w:t>
            </w:r>
          </w:p>
        </w:tc>
        <w:tc>
          <w:tcPr>
            <w:tcW w:w="1440" w:type="dxa"/>
            <w:vAlign w:val="bottom"/>
          </w:tcPr>
          <w:p>
            <w:pPr>
              <w:ind w:left="100"/>
              <w:spacing w:after="0"/>
              <w:rPr>
                <w:sz w:val="20"/>
                <w:szCs w:val="20"/>
                <w:color w:val="auto"/>
              </w:rPr>
            </w:pPr>
            <w:r>
              <w:rPr>
                <w:rFonts w:ascii="Arial" w:cs="Arial" w:eastAsia="Arial" w:hAnsi="Arial"/>
                <w:sz w:val="11"/>
                <w:szCs w:val="11"/>
                <w:color w:val="auto"/>
              </w:rPr>
              <w:t>CGDL</w:t>
            </w:r>
          </w:p>
        </w:tc>
        <w:tc>
          <w:tcPr>
            <w:tcW w:w="1820" w:type="dxa"/>
            <w:vAlign w:val="bottom"/>
          </w:tcPr>
          <w:p>
            <w:pPr>
              <w:ind w:left="200"/>
              <w:spacing w:after="0"/>
              <w:rPr>
                <w:sz w:val="20"/>
                <w:szCs w:val="20"/>
                <w:color w:val="auto"/>
              </w:rPr>
            </w:pPr>
            <w:r>
              <w:rPr>
                <w:rFonts w:ascii="Arial" w:cs="Arial" w:eastAsia="Arial" w:hAnsi="Arial"/>
                <w:sz w:val="11"/>
                <w:szCs w:val="11"/>
                <w:color w:val="auto"/>
              </w:rPr>
              <w:t>CHARGE-OFF RECOVERY</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jc w:val="right"/>
              <w:ind w:right="45"/>
              <w:spacing w:after="0"/>
              <w:rPr>
                <w:sz w:val="20"/>
                <w:szCs w:val="20"/>
                <w:color w:val="auto"/>
              </w:rPr>
            </w:pPr>
            <w:r>
              <w:rPr>
                <w:rFonts w:ascii="Arial" w:cs="Arial" w:eastAsia="Arial" w:hAnsi="Arial"/>
                <w:sz w:val="11"/>
                <w:szCs w:val="11"/>
                <w:color w:val="auto"/>
              </w:rPr>
              <w:t>8059000004</w:t>
            </w:r>
          </w:p>
        </w:tc>
        <w:tc>
          <w:tcPr>
            <w:tcW w:w="1080" w:type="dxa"/>
            <w:vAlign w:val="bottom"/>
          </w:tcPr>
          <w:p>
            <w:pPr>
              <w:ind w:left="100"/>
              <w:spacing w:after="0"/>
              <w:rPr>
                <w:sz w:val="20"/>
                <w:szCs w:val="20"/>
                <w:color w:val="auto"/>
              </w:rPr>
            </w:pPr>
            <w:r>
              <w:rPr>
                <w:rFonts w:ascii="Arial" w:cs="Arial" w:eastAsia="Arial" w:hAnsi="Arial"/>
                <w:sz w:val="11"/>
                <w:szCs w:val="11"/>
                <w:color w:val="auto"/>
              </w:rPr>
              <w:t>BOND</w:t>
            </w:r>
          </w:p>
        </w:tc>
        <w:tc>
          <w:tcPr>
            <w:tcW w:w="1440" w:type="dxa"/>
            <w:vAlign w:val="bottom"/>
          </w:tcPr>
          <w:p>
            <w:pPr>
              <w:ind w:left="100"/>
              <w:spacing w:after="0"/>
              <w:rPr>
                <w:sz w:val="20"/>
                <w:szCs w:val="20"/>
                <w:color w:val="auto"/>
              </w:rPr>
            </w:pPr>
            <w:r>
              <w:rPr>
                <w:rFonts w:ascii="Arial" w:cs="Arial" w:eastAsia="Arial" w:hAnsi="Arial"/>
                <w:sz w:val="11"/>
                <w:szCs w:val="11"/>
                <w:color w:val="auto"/>
              </w:rPr>
              <w:t>CCA</w:t>
            </w:r>
          </w:p>
        </w:tc>
        <w:tc>
          <w:tcPr>
            <w:tcW w:w="1820" w:type="dxa"/>
            <w:vAlign w:val="bottom"/>
          </w:tcPr>
          <w:p>
            <w:pPr>
              <w:ind w:left="200"/>
              <w:spacing w:after="0"/>
              <w:rPr>
                <w:sz w:val="20"/>
                <w:szCs w:val="20"/>
                <w:color w:val="auto"/>
              </w:rPr>
            </w:pPr>
            <w:r>
              <w:rPr>
                <w:rFonts w:ascii="Arial" w:cs="Arial" w:eastAsia="Arial" w:hAnsi="Arial"/>
                <w:sz w:val="11"/>
                <w:szCs w:val="11"/>
                <w:color w:val="auto"/>
              </w:rPr>
              <w:t>CHARGE-OFF RECOVERY</w:t>
            </w:r>
          </w:p>
        </w:tc>
        <w:tc>
          <w:tcPr>
            <w:tcW w:w="1320" w:type="dxa"/>
            <w:vAlign w:val="bottom"/>
          </w:tcPr>
          <w:p>
            <w:pPr>
              <w:jc w:val="right"/>
              <w:ind w:right="84"/>
              <w:spacing w:after="0"/>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23"/>
        </w:trPr>
        <w:tc>
          <w:tcPr>
            <w:tcW w:w="1300" w:type="dxa"/>
            <w:vAlign w:val="bottom"/>
          </w:tcPr>
          <w:p>
            <w:pPr>
              <w:jc w:val="right"/>
              <w:ind w:right="45"/>
              <w:spacing w:after="0" w:line="123" w:lineRule="exact"/>
              <w:rPr>
                <w:sz w:val="20"/>
                <w:szCs w:val="20"/>
                <w:color w:val="auto"/>
              </w:rPr>
            </w:pPr>
            <w:r>
              <w:rPr>
                <w:rFonts w:ascii="Arial" w:cs="Arial" w:eastAsia="Arial" w:hAnsi="Arial"/>
                <w:sz w:val="11"/>
                <w:szCs w:val="11"/>
                <w:color w:val="auto"/>
              </w:rPr>
              <w:t>8059000005</w:t>
            </w:r>
          </w:p>
        </w:tc>
        <w:tc>
          <w:tcPr>
            <w:tcW w:w="1080" w:type="dxa"/>
            <w:vAlign w:val="bottom"/>
          </w:tcPr>
          <w:p>
            <w:pPr>
              <w:ind w:left="100"/>
              <w:spacing w:after="0" w:line="123" w:lineRule="exact"/>
              <w:rPr>
                <w:sz w:val="20"/>
                <w:szCs w:val="20"/>
                <w:color w:val="auto"/>
              </w:rPr>
            </w:pPr>
            <w:r>
              <w:rPr>
                <w:rFonts w:ascii="Arial" w:cs="Arial" w:eastAsia="Arial" w:hAnsi="Arial"/>
                <w:sz w:val="11"/>
                <w:szCs w:val="11"/>
                <w:color w:val="auto"/>
              </w:rPr>
              <w:t>BOND</w:t>
            </w:r>
          </w:p>
        </w:tc>
        <w:tc>
          <w:tcPr>
            <w:tcW w:w="1440" w:type="dxa"/>
            <w:vAlign w:val="bottom"/>
          </w:tcPr>
          <w:p>
            <w:pPr>
              <w:ind w:left="100"/>
              <w:spacing w:after="0" w:line="123" w:lineRule="exact"/>
              <w:rPr>
                <w:sz w:val="20"/>
                <w:szCs w:val="20"/>
                <w:color w:val="auto"/>
              </w:rPr>
            </w:pPr>
            <w:r>
              <w:rPr>
                <w:rFonts w:ascii="Arial" w:cs="Arial" w:eastAsia="Arial" w:hAnsi="Arial"/>
                <w:sz w:val="11"/>
                <w:szCs w:val="11"/>
                <w:color w:val="auto"/>
              </w:rPr>
              <w:t>MDL</w:t>
            </w:r>
          </w:p>
        </w:tc>
        <w:tc>
          <w:tcPr>
            <w:tcW w:w="1820" w:type="dxa"/>
            <w:vAlign w:val="bottom"/>
          </w:tcPr>
          <w:p>
            <w:pPr>
              <w:ind w:left="200"/>
              <w:spacing w:after="0" w:line="123" w:lineRule="exact"/>
              <w:rPr>
                <w:sz w:val="20"/>
                <w:szCs w:val="20"/>
                <w:color w:val="auto"/>
              </w:rPr>
            </w:pPr>
            <w:r>
              <w:rPr>
                <w:rFonts w:ascii="Arial" w:cs="Arial" w:eastAsia="Arial" w:hAnsi="Arial"/>
                <w:sz w:val="11"/>
                <w:szCs w:val="11"/>
                <w:color w:val="auto"/>
              </w:rPr>
              <w:t>CHARGE-OFF RECOVERY</w:t>
            </w:r>
          </w:p>
        </w:tc>
        <w:tc>
          <w:tcPr>
            <w:tcW w:w="1320" w:type="dxa"/>
            <w:vAlign w:val="bottom"/>
          </w:tcPr>
          <w:p>
            <w:pPr>
              <w:jc w:val="right"/>
              <w:ind w:right="84"/>
              <w:spacing w:after="0" w:line="123" w:lineRule="exact"/>
              <w:rPr>
                <w:sz w:val="20"/>
                <w:szCs w:val="20"/>
                <w:color w:val="auto"/>
              </w:rPr>
            </w:pPr>
            <w:r>
              <w:rPr>
                <w:rFonts w:ascii="Arial" w:cs="Arial" w:eastAsia="Arial" w:hAnsi="Arial"/>
                <w:sz w:val="11"/>
                <w:szCs w:val="11"/>
                <w:color w:val="auto"/>
              </w:rPr>
              <w:t>$xxx,xxx.xx</w:t>
            </w:r>
          </w:p>
        </w:tc>
        <w:tc>
          <w:tcPr>
            <w:tcW w:w="1240" w:type="dxa"/>
            <w:vAlign w:val="bottom"/>
          </w:tcPr>
          <w:p>
            <w:pPr>
              <w:jc w:val="right"/>
              <w:ind w:right="124"/>
              <w:spacing w:after="0" w:line="123" w:lineRule="exact"/>
              <w:rPr>
                <w:sz w:val="20"/>
                <w:szCs w:val="20"/>
                <w:color w:val="auto"/>
              </w:rPr>
            </w:pPr>
            <w:r>
              <w:rPr>
                <w:rFonts w:ascii="Arial" w:cs="Arial" w:eastAsia="Arial" w:hAnsi="Arial"/>
                <w:sz w:val="11"/>
                <w:szCs w:val="11"/>
                <w:color w:val="auto"/>
              </w:rPr>
              <w:t>$xxx,xxx.xx</w:t>
            </w:r>
          </w:p>
        </w:tc>
        <w:tc>
          <w:tcPr>
            <w:tcW w:w="1000" w:type="dxa"/>
            <w:vAlign w:val="bottom"/>
          </w:tcPr>
          <w:p>
            <w:pPr>
              <w:jc w:val="right"/>
              <w:spacing w:after="0" w:line="123" w:lineRule="exact"/>
              <w:rPr>
                <w:sz w:val="20"/>
                <w:szCs w:val="20"/>
                <w:color w:val="auto"/>
              </w:rPr>
            </w:pPr>
            <w:r>
              <w:rPr>
                <w:rFonts w:ascii="Arial" w:cs="Arial" w:eastAsia="Arial" w:hAnsi="Arial"/>
                <w:sz w:val="11"/>
                <w:szCs w:val="11"/>
                <w:color w:val="auto"/>
              </w:rPr>
              <w:t>$xxx,xxx.xx</w:t>
            </w:r>
          </w:p>
        </w:tc>
        <w:tc>
          <w:tcPr>
            <w:tcW w:w="0" w:type="dxa"/>
            <w:vAlign w:val="bottom"/>
          </w:tcPr>
          <w:p>
            <w:pPr>
              <w:spacing w:after="0"/>
              <w:rPr>
                <w:sz w:val="1"/>
                <w:szCs w:val="1"/>
                <w:color w:val="auto"/>
              </w:rPr>
            </w:pPr>
          </w:p>
        </w:tc>
      </w:tr>
      <w:tr>
        <w:trPr>
          <w:trHeight w:val="134"/>
        </w:trPr>
        <w:tc>
          <w:tcPr>
            <w:tcW w:w="1300" w:type="dxa"/>
            <w:vAlign w:val="bottom"/>
          </w:tcPr>
          <w:p>
            <w:pPr>
              <w:spacing w:after="0"/>
              <w:rPr>
                <w:sz w:val="20"/>
                <w:szCs w:val="20"/>
                <w:color w:val="auto"/>
              </w:rPr>
            </w:pPr>
            <w:r>
              <w:rPr>
                <w:rFonts w:ascii="Arial" w:cs="Arial" w:eastAsia="Arial" w:hAnsi="Arial"/>
                <w:sz w:val="11"/>
                <w:szCs w:val="11"/>
                <w:b w:val="1"/>
                <w:bCs w:val="1"/>
                <w:color w:val="auto"/>
              </w:rPr>
              <w:t>BOND CHARGE</w:t>
            </w: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00" w:type="dxa"/>
            <w:vAlign w:val="bottom"/>
          </w:tcPr>
          <w:p>
            <w:pPr>
              <w:spacing w:after="0"/>
              <w:rPr>
                <w:sz w:val="20"/>
                <w:szCs w:val="20"/>
                <w:color w:val="auto"/>
              </w:rPr>
            </w:pPr>
            <w:r>
              <w:rPr>
                <w:rFonts w:ascii="Arial" w:cs="Arial" w:eastAsia="Arial" w:hAnsi="Arial"/>
                <w:sz w:val="11"/>
                <w:szCs w:val="11"/>
                <w:b w:val="1"/>
                <w:bCs w:val="1"/>
                <w:color w:val="auto"/>
              </w:rPr>
              <w:t>REMITTANCE</w:t>
            </w: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320" w:type="dxa"/>
            <w:vAlign w:val="bottom"/>
            <w:vMerge w:val="restart"/>
          </w:tcPr>
          <w:p>
            <w:pPr>
              <w:jc w:val="right"/>
              <w:ind w:right="84"/>
              <w:spacing w:after="0"/>
              <w:rPr>
                <w:sz w:val="20"/>
                <w:szCs w:val="20"/>
                <w:color w:val="auto"/>
              </w:rPr>
            </w:pPr>
            <w:r>
              <w:rPr>
                <w:rFonts w:ascii="Arial" w:cs="Arial" w:eastAsia="Arial" w:hAnsi="Arial"/>
                <w:sz w:val="14"/>
                <w:szCs w:val="14"/>
                <w:color w:val="auto"/>
              </w:rPr>
              <w:t>$x,xxx,xxx.xx</w:t>
            </w:r>
          </w:p>
        </w:tc>
        <w:tc>
          <w:tcPr>
            <w:tcW w:w="1240" w:type="dxa"/>
            <w:vAlign w:val="bottom"/>
            <w:vMerge w:val="restart"/>
          </w:tcPr>
          <w:p>
            <w:pPr>
              <w:jc w:val="right"/>
              <w:ind w:right="124"/>
              <w:spacing w:after="0"/>
              <w:rPr>
                <w:sz w:val="20"/>
                <w:szCs w:val="20"/>
                <w:color w:val="auto"/>
              </w:rPr>
            </w:pPr>
            <w:r>
              <w:rPr>
                <w:rFonts w:ascii="Arial" w:cs="Arial" w:eastAsia="Arial" w:hAnsi="Arial"/>
                <w:sz w:val="14"/>
                <w:szCs w:val="14"/>
                <w:color w:val="auto"/>
              </w:rPr>
              <w:t>$x,xxx,xxx.xx</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$x,xxx,xxx.xx</w:t>
            </w:r>
          </w:p>
        </w:tc>
        <w:tc>
          <w:tcPr>
            <w:tcW w:w="0" w:type="dxa"/>
            <w:vAlign w:val="bottom"/>
          </w:tcPr>
          <w:p>
            <w:pPr>
              <w:spacing w:after="0"/>
              <w:rPr>
                <w:sz w:val="1"/>
                <w:szCs w:val="1"/>
                <w:color w:val="auto"/>
              </w:rPr>
            </w:pPr>
          </w:p>
        </w:tc>
      </w:tr>
      <w:tr>
        <w:trPr>
          <w:trHeight w:val="154"/>
        </w:trPr>
        <w:tc>
          <w:tcPr>
            <w:tcW w:w="13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300" w:type="dxa"/>
            <w:vAlign w:val="bottom"/>
          </w:tcPr>
          <w:p>
            <w:pPr>
              <w:jc w:val="center"/>
              <w:ind w:right="45"/>
              <w:spacing w:after="0"/>
              <w:rPr>
                <w:sz w:val="20"/>
                <w:szCs w:val="20"/>
                <w:color w:val="auto"/>
              </w:rPr>
            </w:pPr>
            <w:r>
              <w:rPr>
                <w:rFonts w:ascii="Arial" w:cs="Arial" w:eastAsia="Arial" w:hAnsi="Arial"/>
                <w:sz w:val="11"/>
                <w:szCs w:val="11"/>
                <w:b w:val="1"/>
                <w:bCs w:val="1"/>
                <w:color w:val="auto"/>
                <w:w w:val="99"/>
              </w:rPr>
              <w:t>GRAND TOTAL</w:t>
            </w:r>
          </w:p>
        </w:tc>
        <w:tc>
          <w:tcPr>
            <w:tcW w:w="1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20" w:type="dxa"/>
            <w:vAlign w:val="bottom"/>
          </w:tcPr>
          <w:p>
            <w:pPr>
              <w:jc w:val="right"/>
              <w:ind w:right="84"/>
              <w:spacing w:after="0"/>
              <w:rPr>
                <w:sz w:val="20"/>
                <w:szCs w:val="20"/>
                <w:color w:val="auto"/>
              </w:rPr>
            </w:pPr>
            <w:r>
              <w:rPr>
                <w:rFonts w:ascii="Arial" w:cs="Arial" w:eastAsia="Arial" w:hAnsi="Arial"/>
                <w:sz w:val="14"/>
                <w:szCs w:val="14"/>
                <w:color w:val="auto"/>
              </w:rPr>
              <w:t>$x,xxx,xxx.xx</w:t>
            </w:r>
          </w:p>
        </w:tc>
        <w:tc>
          <w:tcPr>
            <w:tcW w:w="1240" w:type="dxa"/>
            <w:vAlign w:val="bottom"/>
          </w:tcPr>
          <w:p>
            <w:pPr>
              <w:jc w:val="right"/>
              <w:ind w:right="124"/>
              <w:spacing w:after="0"/>
              <w:rPr>
                <w:sz w:val="20"/>
                <w:szCs w:val="20"/>
                <w:color w:val="auto"/>
              </w:rPr>
            </w:pPr>
            <w:r>
              <w:rPr>
                <w:rFonts w:ascii="Arial" w:cs="Arial" w:eastAsia="Arial" w:hAnsi="Arial"/>
                <w:sz w:val="14"/>
                <w:szCs w:val="14"/>
                <w:color w:val="auto"/>
              </w:rPr>
              <w:t>$x,xxx,xxx.xx</w:t>
            </w:r>
          </w:p>
        </w:tc>
        <w:tc>
          <w:tcPr>
            <w:tcW w:w="1000" w:type="dxa"/>
            <w:vAlign w:val="bottom"/>
          </w:tcPr>
          <w:p>
            <w:pPr>
              <w:jc w:val="right"/>
              <w:spacing w:after="0"/>
              <w:rPr>
                <w:sz w:val="20"/>
                <w:szCs w:val="20"/>
                <w:color w:val="auto"/>
              </w:rPr>
            </w:pPr>
            <w:r>
              <w:rPr>
                <w:rFonts w:ascii="Arial" w:cs="Arial" w:eastAsia="Arial" w:hAnsi="Arial"/>
                <w:sz w:val="14"/>
                <w:szCs w:val="14"/>
                <w:color w:val="auto"/>
              </w:rPr>
              <w:t>$x,xxx,xxx.xx</w:t>
            </w: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500" w:hanging="497"/>
        <w:spacing w:after="0"/>
        <w:tabs>
          <w:tab w:leader="none" w:pos="500"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Monthly Billing Report</w:t>
      </w:r>
    </w:p>
    <w:p>
      <w:pPr>
        <w:spacing w:after="0" w:line="173"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w:t>
      </w:r>
      <w:r>
        <w:rPr>
          <w:sz w:val="20"/>
          <w:szCs w:val="20"/>
          <w:color w:val="auto"/>
        </w:rPr>
        <w:tab/>
      </w:r>
      <w:r>
        <w:rPr>
          <w:rFonts w:ascii="Arial" w:cs="Arial" w:eastAsia="Arial" w:hAnsi="Arial"/>
          <w:sz w:val="14"/>
          <w:szCs w:val="14"/>
          <w:b w:val="1"/>
          <w:bCs w:val="1"/>
          <w:color w:val="auto"/>
        </w:rPr>
        <w:t xml:space="preserve">Naming Convention - </w:t>
      </w:r>
      <w:r>
        <w:rPr>
          <w:rFonts w:ascii="Arial" w:cs="Arial" w:eastAsia="Arial" w:hAnsi="Arial"/>
          <w:sz w:val="14"/>
          <w:szCs w:val="14"/>
          <w:color w:val="auto"/>
        </w:rPr>
        <w:t>The transmittal of this report should use the following naming convention.</w:t>
      </w:r>
    </w:p>
    <w:p>
      <w:pPr>
        <w:spacing w:after="0" w:line="170" w:lineRule="exact"/>
        <w:rPr>
          <w:sz w:val="20"/>
          <w:szCs w:val="20"/>
          <w:color w:val="auto"/>
        </w:rPr>
      </w:pPr>
    </w:p>
    <w:p>
      <w:pPr>
        <w:ind w:left="1000" w:right="5000" w:hanging="501"/>
        <w:spacing w:after="0" w:line="478" w:lineRule="auto"/>
        <w:tabs>
          <w:tab w:leader="none" w:pos="75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The format of the filename: </w:t>
      </w:r>
      <w:r>
        <w:rPr>
          <w:rFonts w:ascii="Arial" w:cs="Arial" w:eastAsia="Arial" w:hAnsi="Arial"/>
          <w:sz w:val="14"/>
          <w:szCs w:val="14"/>
          <w:color w:val="auto"/>
        </w:rPr>
        <w:t>&lt;utility-name&gt; - Monthly</w:t>
      </w:r>
      <w:r>
        <w:rPr>
          <w:rFonts w:ascii="Arial" w:cs="Arial" w:eastAsia="Arial" w:hAnsi="Arial"/>
          <w:sz w:val="16"/>
          <w:szCs w:val="16"/>
          <w:color w:val="auto"/>
        </w:rPr>
        <w:t xml:space="preserve"> Billing Report yyyymmv#.xls </w:t>
      </w:r>
      <w:r>
        <w:rPr>
          <w:rFonts w:ascii="Arial" w:cs="Arial" w:eastAsia="Arial" w:hAnsi="Arial"/>
          <w:sz w:val="16"/>
          <w:szCs w:val="16"/>
          <w:i w:val="1"/>
          <w:iCs w:val="1"/>
          <w:color w:val="auto"/>
        </w:rPr>
        <w:t>Example: SDG&amp;E – Monthly Billing Report 200909v1.xls</w:t>
      </w:r>
    </w:p>
    <w:p>
      <w:pPr>
        <w:ind w:left="740" w:hanging="241"/>
        <w:spacing w:after="0"/>
        <w:tabs>
          <w:tab w:leader="none" w:pos="74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The subject line of e-mail: </w:t>
      </w:r>
      <w:r>
        <w:rPr>
          <w:rFonts w:ascii="Arial" w:cs="Arial" w:eastAsia="Arial" w:hAnsi="Arial"/>
          <w:sz w:val="15"/>
          <w:szCs w:val="15"/>
          <w:color w:val="auto"/>
        </w:rPr>
        <w:t>&lt;utility-name&gt; -</w:t>
      </w:r>
      <w:r>
        <w:rPr>
          <w:rFonts w:ascii="Arial" w:cs="Arial" w:eastAsia="Arial" w:hAnsi="Arial"/>
          <w:sz w:val="17"/>
          <w:szCs w:val="17"/>
          <w:color w:val="auto"/>
        </w:rPr>
        <w:t xml:space="preserve"> Monthly Billing Report for yyyymm</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7"/>
          <w:szCs w:val="17"/>
          <w:i w:val="1"/>
          <w:iCs w:val="1"/>
          <w:color w:val="auto"/>
        </w:rPr>
        <w:t>Example: SDG&amp;E – Monthly Billing Report for 200909</w:t>
      </w:r>
    </w:p>
    <w:p>
      <w:pPr>
        <w:spacing w:after="0" w:line="173" w:lineRule="exact"/>
        <w:rPr>
          <w:sz w:val="20"/>
          <w:szCs w:val="20"/>
          <w:color w:val="auto"/>
        </w:rPr>
      </w:pPr>
    </w:p>
    <w:p>
      <w:pPr>
        <w:jc w:val="both"/>
        <w:ind w:left="1000"/>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ii) Required Information and Timeline -</w:t>
      </w:r>
      <w:r>
        <w:rPr>
          <w:rFonts w:ascii="Arial" w:cs="Arial" w:eastAsia="Arial" w:hAnsi="Arial"/>
          <w:sz w:val="16"/>
          <w:szCs w:val="16"/>
          <w:color w:val="auto"/>
        </w:rPr>
        <w:t xml:space="preserve"> The Monthly Billing Report submitted to DWR by the seventh Utility Business Day of a delivery month. SDG&amp;E shall report the data columns specified in the following table for each Fund Type of DWR Charges on each applicable Customer Type with daily quantities in the Monthly Billing Report. This table is followed by a screen shot of a sample report in Excel.</w:t>
      </w:r>
    </w:p>
    <w:p>
      <w:pPr>
        <w:spacing w:after="0" w:line="160" w:lineRule="exact"/>
        <w:rPr>
          <w:sz w:val="20"/>
          <w:szCs w:val="20"/>
          <w:color w:val="auto"/>
        </w:rPr>
      </w:pPr>
    </w:p>
    <w:tbl>
      <w:tblPr>
        <w:tblLayout w:type="fixed"/>
        <w:tblInd w:w="2310" w:type="dxa"/>
        <w:tblCellMar>
          <w:top w:w="0" w:type="dxa"/>
          <w:left w:w="0" w:type="dxa"/>
          <w:bottom w:w="0" w:type="dxa"/>
          <w:right w:w="0" w:type="dxa"/>
        </w:tblCellMar>
      </w:tblPr>
      <w:tr>
        <w:trPr>
          <w:trHeight w:val="196"/>
        </w:trPr>
        <w:tc>
          <w:tcPr>
            <w:tcW w:w="940" w:type="dxa"/>
            <w:vAlign w:val="bottom"/>
            <w:tcBorders>
              <w:top w:val="single" w:sz="8" w:color="auto"/>
              <w:left w:val="single" w:sz="8" w:color="auto"/>
              <w:bottom w:val="single" w:sz="8" w:color="auto"/>
              <w:right w:val="single" w:sz="8" w:color="auto"/>
            </w:tcBorders>
            <w:shd w:val="clear" w:color="auto" w:fill="C0C0C0"/>
          </w:tcPr>
          <w:p>
            <w:pPr>
              <w:ind w:left="180"/>
              <w:spacing w:after="0"/>
              <w:rPr>
                <w:sz w:val="20"/>
                <w:szCs w:val="20"/>
                <w:color w:val="auto"/>
              </w:rPr>
            </w:pPr>
            <w:r>
              <w:rPr>
                <w:rFonts w:ascii="Arial" w:cs="Arial" w:eastAsia="Arial" w:hAnsi="Arial"/>
                <w:sz w:val="14"/>
                <w:szCs w:val="14"/>
                <w:b w:val="1"/>
                <w:bCs w:val="1"/>
                <w:color w:val="auto"/>
              </w:rPr>
              <w:t>Column #</w:t>
            </w:r>
          </w:p>
        </w:tc>
        <w:tc>
          <w:tcPr>
            <w:tcW w:w="2300" w:type="dxa"/>
            <w:vAlign w:val="bottom"/>
            <w:tcBorders>
              <w:top w:val="single" w:sz="8" w:color="auto"/>
              <w:bottom w:val="single" w:sz="8" w:color="auto"/>
              <w:right w:val="single" w:sz="8" w:color="auto"/>
            </w:tcBorders>
            <w:shd w:val="clear" w:color="auto" w:fill="C0C0C0"/>
          </w:tcPr>
          <w:p>
            <w:pPr>
              <w:ind w:left="900"/>
              <w:spacing w:after="0"/>
              <w:rPr>
                <w:sz w:val="20"/>
                <w:szCs w:val="20"/>
                <w:color w:val="auto"/>
              </w:rPr>
            </w:pPr>
            <w:r>
              <w:rPr>
                <w:rFonts w:ascii="Arial" w:cs="Arial" w:eastAsia="Arial" w:hAnsi="Arial"/>
                <w:sz w:val="14"/>
                <w:szCs w:val="14"/>
                <w:b w:val="1"/>
                <w:bCs w:val="1"/>
                <w:color w:val="auto"/>
              </w:rPr>
              <w:t>Column</w:t>
            </w:r>
          </w:p>
        </w:tc>
        <w:tc>
          <w:tcPr>
            <w:tcW w:w="3640" w:type="dxa"/>
            <w:vAlign w:val="bottom"/>
            <w:tcBorders>
              <w:top w:val="single" w:sz="8" w:color="auto"/>
              <w:bottom w:val="single" w:sz="8" w:color="auto"/>
              <w:right w:val="single" w:sz="8" w:color="auto"/>
            </w:tcBorders>
            <w:shd w:val="clear" w:color="auto" w:fill="C0C0C0"/>
          </w:tcPr>
          <w:p>
            <w:pPr>
              <w:ind w:left="1460"/>
              <w:spacing w:after="0"/>
              <w:rPr>
                <w:sz w:val="20"/>
                <w:szCs w:val="20"/>
                <w:color w:val="auto"/>
              </w:rPr>
            </w:pPr>
            <w:r>
              <w:rPr>
                <w:rFonts w:ascii="Arial" w:cs="Arial" w:eastAsia="Arial" w:hAnsi="Arial"/>
                <w:sz w:val="14"/>
                <w:szCs w:val="14"/>
                <w:b w:val="1"/>
                <w:bCs w:val="1"/>
                <w:color w:val="auto"/>
              </w:rPr>
              <w:t>Description</w:t>
            </w:r>
          </w:p>
        </w:tc>
      </w:tr>
      <w:tr>
        <w:trPr>
          <w:trHeight w:val="141"/>
        </w:trPr>
        <w:tc>
          <w:tcPr>
            <w:tcW w:w="940" w:type="dxa"/>
            <w:vAlign w:val="bottom"/>
            <w:tcBorders>
              <w:bottom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rPr>
              <w:t>1</w:t>
            </w:r>
          </w:p>
        </w:tc>
        <w:tc>
          <w:tcPr>
            <w:tcW w:w="230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4"/>
                <w:szCs w:val="14"/>
                <w:color w:val="auto"/>
              </w:rPr>
              <w:t>Date</w:t>
            </w:r>
          </w:p>
        </w:tc>
        <w:tc>
          <w:tcPr>
            <w:tcW w:w="364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4"/>
                <w:szCs w:val="14"/>
                <w:color w:val="auto"/>
              </w:rPr>
              <w:t>Utility Business Day (MM/DD/YY)</w:t>
            </w:r>
          </w:p>
        </w:tc>
      </w:tr>
      <w:tr>
        <w:trPr>
          <w:trHeight w:val="145"/>
        </w:trPr>
        <w:tc>
          <w:tcPr>
            <w:tcW w:w="9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rPr>
              <w:t>2</w:t>
            </w:r>
          </w:p>
        </w:tc>
        <w:tc>
          <w:tcPr>
            <w:tcW w:w="230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Total Bundled Billed kWh</w:t>
            </w:r>
          </w:p>
        </w:tc>
        <w:tc>
          <w:tcPr>
            <w:tcW w:w="364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Sum of all individual Bundled Customer electric</w:t>
            </w:r>
          </w:p>
        </w:tc>
      </w:tr>
      <w:tr>
        <w:trPr>
          <w:trHeight w:val="175"/>
        </w:trPr>
        <w:tc>
          <w:tcPr>
            <w:tcW w:w="94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consumptions in kilowatt-hours billed in a month</w:t>
            </w:r>
          </w:p>
        </w:tc>
      </w:tr>
      <w:tr>
        <w:trPr>
          <w:trHeight w:val="146"/>
        </w:trPr>
        <w:tc>
          <w:tcPr>
            <w:tcW w:w="9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color w:val="auto"/>
              </w:rPr>
              <w:t>3</w:t>
            </w:r>
          </w:p>
        </w:tc>
        <w:tc>
          <w:tcPr>
            <w:tcW w:w="23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Bundled Power Billed kWh</w:t>
            </w:r>
          </w:p>
        </w:tc>
        <w:tc>
          <w:tcPr>
            <w:tcW w:w="36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6"/>
              </w:rPr>
              <w:t>Sum of all Individual Bundled Power Charge Billed kWhs in</w:t>
            </w:r>
          </w:p>
        </w:tc>
      </w:tr>
      <w:tr>
        <w:trPr>
          <w:trHeight w:val="175"/>
        </w:trPr>
        <w:tc>
          <w:tcPr>
            <w:tcW w:w="94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 month</w:t>
            </w:r>
          </w:p>
        </w:tc>
      </w:tr>
      <w:tr>
        <w:trPr>
          <w:trHeight w:val="146"/>
        </w:trPr>
        <w:tc>
          <w:tcPr>
            <w:tcW w:w="9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color w:val="auto"/>
              </w:rPr>
              <w:t>4</w:t>
            </w:r>
          </w:p>
        </w:tc>
        <w:tc>
          <w:tcPr>
            <w:tcW w:w="23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Bundled Power Billed Amount ($)</w:t>
            </w:r>
          </w:p>
        </w:tc>
        <w:tc>
          <w:tcPr>
            <w:tcW w:w="36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9"/>
              </w:rPr>
              <w:t>Sum of all Individual Bundled Power Charge Billed Dollar</w:t>
            </w:r>
          </w:p>
        </w:tc>
      </w:tr>
      <w:tr>
        <w:trPr>
          <w:trHeight w:val="175"/>
        </w:trPr>
        <w:tc>
          <w:tcPr>
            <w:tcW w:w="94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Amounts in a month</w:t>
            </w:r>
          </w:p>
        </w:tc>
      </w:tr>
      <w:tr>
        <w:trPr>
          <w:trHeight w:val="146"/>
        </w:trPr>
        <w:tc>
          <w:tcPr>
            <w:tcW w:w="9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color w:val="auto"/>
              </w:rPr>
              <w:t>5</w:t>
            </w:r>
          </w:p>
        </w:tc>
        <w:tc>
          <w:tcPr>
            <w:tcW w:w="23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Bundled Bond Billed kWh</w:t>
            </w:r>
          </w:p>
        </w:tc>
        <w:tc>
          <w:tcPr>
            <w:tcW w:w="36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5"/>
              </w:rPr>
              <w:t>Sum of all Individual Bundled Bond Charge Billed kWhs in a</w:t>
            </w:r>
          </w:p>
        </w:tc>
      </w:tr>
      <w:tr>
        <w:trPr>
          <w:trHeight w:val="175"/>
        </w:trPr>
        <w:tc>
          <w:tcPr>
            <w:tcW w:w="94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month</w:t>
            </w:r>
          </w:p>
        </w:tc>
      </w:tr>
      <w:tr>
        <w:trPr>
          <w:trHeight w:val="146"/>
        </w:trPr>
        <w:tc>
          <w:tcPr>
            <w:tcW w:w="9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color w:val="auto"/>
              </w:rPr>
              <w:t>6</w:t>
            </w:r>
          </w:p>
        </w:tc>
        <w:tc>
          <w:tcPr>
            <w:tcW w:w="23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Bundled Bond Billed Amount ($)</w:t>
            </w:r>
          </w:p>
        </w:tc>
        <w:tc>
          <w:tcPr>
            <w:tcW w:w="36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Sum of all Individual Bundled Bond Charge Billed Dollar</w:t>
            </w:r>
          </w:p>
        </w:tc>
      </w:tr>
      <w:tr>
        <w:trPr>
          <w:trHeight w:val="175"/>
        </w:trPr>
        <w:tc>
          <w:tcPr>
            <w:tcW w:w="94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Amounts</w:t>
            </w:r>
          </w:p>
        </w:tc>
      </w:tr>
      <w:tr>
        <w:trPr>
          <w:trHeight w:val="146"/>
        </w:trPr>
        <w:tc>
          <w:tcPr>
            <w:tcW w:w="9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color w:val="auto"/>
              </w:rPr>
              <w:t>7</w:t>
            </w:r>
          </w:p>
        </w:tc>
        <w:tc>
          <w:tcPr>
            <w:tcW w:w="23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Total DA Billed kWh</w:t>
            </w:r>
          </w:p>
        </w:tc>
        <w:tc>
          <w:tcPr>
            <w:tcW w:w="36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6"/>
              </w:rPr>
              <w:t>Sum of all individual DA Customer electric consumptions in</w:t>
            </w:r>
          </w:p>
        </w:tc>
      </w:tr>
      <w:tr>
        <w:trPr>
          <w:trHeight w:val="175"/>
        </w:trPr>
        <w:tc>
          <w:tcPr>
            <w:tcW w:w="94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kilowatt-hours billed in a month</w:t>
            </w:r>
          </w:p>
        </w:tc>
      </w:tr>
      <w:tr>
        <w:trPr>
          <w:trHeight w:val="146"/>
        </w:trPr>
        <w:tc>
          <w:tcPr>
            <w:tcW w:w="9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color w:val="auto"/>
              </w:rPr>
              <w:t>8</w:t>
            </w:r>
          </w:p>
        </w:tc>
        <w:tc>
          <w:tcPr>
            <w:tcW w:w="23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DA Power Billed kWh</w:t>
            </w:r>
          </w:p>
        </w:tc>
        <w:tc>
          <w:tcPr>
            <w:tcW w:w="36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Sum of all Individual DA Power Charge Billed kWhs in a</w:t>
            </w:r>
          </w:p>
        </w:tc>
      </w:tr>
      <w:tr>
        <w:trPr>
          <w:trHeight w:val="175"/>
        </w:trPr>
        <w:tc>
          <w:tcPr>
            <w:tcW w:w="94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month</w:t>
            </w:r>
          </w:p>
        </w:tc>
      </w:tr>
      <w:tr>
        <w:trPr>
          <w:trHeight w:val="146"/>
        </w:trPr>
        <w:tc>
          <w:tcPr>
            <w:tcW w:w="9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color w:val="auto"/>
              </w:rPr>
              <w:t>9</w:t>
            </w:r>
          </w:p>
        </w:tc>
        <w:tc>
          <w:tcPr>
            <w:tcW w:w="23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DA Power Billed Amount ($)</w:t>
            </w:r>
          </w:p>
        </w:tc>
        <w:tc>
          <w:tcPr>
            <w:tcW w:w="36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Sum of all Individual DA Power Charge Billed Dollar</w:t>
            </w:r>
          </w:p>
        </w:tc>
      </w:tr>
      <w:tr>
        <w:trPr>
          <w:trHeight w:val="175"/>
        </w:trPr>
        <w:tc>
          <w:tcPr>
            <w:tcW w:w="94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Amounts in a month</w:t>
            </w:r>
          </w:p>
        </w:tc>
      </w:tr>
      <w:tr>
        <w:trPr>
          <w:trHeight w:val="146"/>
        </w:trPr>
        <w:tc>
          <w:tcPr>
            <w:tcW w:w="9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color w:val="auto"/>
                <w:w w:val="89"/>
              </w:rPr>
              <w:t>10</w:t>
            </w:r>
          </w:p>
        </w:tc>
        <w:tc>
          <w:tcPr>
            <w:tcW w:w="23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DA Bond Billed kWh</w:t>
            </w:r>
          </w:p>
        </w:tc>
        <w:tc>
          <w:tcPr>
            <w:tcW w:w="36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Sum of all Individual DA Bond Charge Billed kWhs in a</w:t>
            </w:r>
          </w:p>
        </w:tc>
      </w:tr>
      <w:tr>
        <w:trPr>
          <w:trHeight w:val="175"/>
        </w:trPr>
        <w:tc>
          <w:tcPr>
            <w:tcW w:w="94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month</w:t>
            </w:r>
          </w:p>
        </w:tc>
      </w:tr>
      <w:tr>
        <w:trPr>
          <w:trHeight w:val="146"/>
        </w:trPr>
        <w:tc>
          <w:tcPr>
            <w:tcW w:w="9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color w:val="auto"/>
                <w:w w:val="76"/>
              </w:rPr>
              <w:t>11</w:t>
            </w:r>
          </w:p>
        </w:tc>
        <w:tc>
          <w:tcPr>
            <w:tcW w:w="23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DA Bond Billed Amount</w:t>
            </w:r>
          </w:p>
        </w:tc>
        <w:tc>
          <w:tcPr>
            <w:tcW w:w="36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Sum of all Individual DA Bond Charge Billed Dollar</w:t>
            </w:r>
          </w:p>
        </w:tc>
      </w:tr>
      <w:tr>
        <w:trPr>
          <w:trHeight w:val="175"/>
        </w:trPr>
        <w:tc>
          <w:tcPr>
            <w:tcW w:w="94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Amounts in a month</w:t>
            </w:r>
          </w:p>
        </w:tc>
      </w:tr>
      <w:tr>
        <w:trPr>
          <w:trHeight w:val="146"/>
        </w:trPr>
        <w:tc>
          <w:tcPr>
            <w:tcW w:w="9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color w:val="auto"/>
                <w:w w:val="89"/>
              </w:rPr>
              <w:t>12</w:t>
            </w:r>
          </w:p>
        </w:tc>
        <w:tc>
          <w:tcPr>
            <w:tcW w:w="23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Total CGDL Billed kWh</w:t>
            </w:r>
          </w:p>
        </w:tc>
        <w:tc>
          <w:tcPr>
            <w:tcW w:w="36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Sum of all individual CGDL electric consumptions in</w:t>
            </w:r>
          </w:p>
        </w:tc>
      </w:tr>
      <w:tr>
        <w:trPr>
          <w:trHeight w:val="175"/>
        </w:trPr>
        <w:tc>
          <w:tcPr>
            <w:tcW w:w="94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kilowatt-hours billed in a month</w:t>
            </w:r>
          </w:p>
        </w:tc>
      </w:tr>
      <w:tr>
        <w:trPr>
          <w:trHeight w:val="146"/>
        </w:trPr>
        <w:tc>
          <w:tcPr>
            <w:tcW w:w="9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color w:val="auto"/>
                <w:w w:val="89"/>
              </w:rPr>
              <w:t>13</w:t>
            </w:r>
          </w:p>
        </w:tc>
        <w:tc>
          <w:tcPr>
            <w:tcW w:w="23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CGDL Power Billed kWh</w:t>
            </w:r>
          </w:p>
        </w:tc>
        <w:tc>
          <w:tcPr>
            <w:tcW w:w="36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6"/>
              </w:rPr>
              <w:t>Sum of all Individual CGDL Power Charge Billed kWhs in a</w:t>
            </w:r>
          </w:p>
        </w:tc>
      </w:tr>
      <w:tr>
        <w:trPr>
          <w:trHeight w:val="175"/>
        </w:trPr>
        <w:tc>
          <w:tcPr>
            <w:tcW w:w="94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month</w:t>
            </w:r>
          </w:p>
        </w:tc>
      </w:tr>
      <w:tr>
        <w:trPr>
          <w:trHeight w:val="146"/>
        </w:trPr>
        <w:tc>
          <w:tcPr>
            <w:tcW w:w="9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color w:val="auto"/>
                <w:w w:val="89"/>
              </w:rPr>
              <w:t>14</w:t>
            </w:r>
          </w:p>
        </w:tc>
        <w:tc>
          <w:tcPr>
            <w:tcW w:w="23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CGDL Power Billed Amount ($)</w:t>
            </w:r>
          </w:p>
        </w:tc>
        <w:tc>
          <w:tcPr>
            <w:tcW w:w="36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Sum of all Individual CGDL Power Charge Billed Dollar</w:t>
            </w:r>
          </w:p>
        </w:tc>
      </w:tr>
      <w:tr>
        <w:trPr>
          <w:trHeight w:val="175"/>
        </w:trPr>
        <w:tc>
          <w:tcPr>
            <w:tcW w:w="94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Amounts in a month</w:t>
            </w:r>
          </w:p>
        </w:tc>
      </w:tr>
      <w:tr>
        <w:trPr>
          <w:trHeight w:val="146"/>
        </w:trPr>
        <w:tc>
          <w:tcPr>
            <w:tcW w:w="9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color w:val="auto"/>
                <w:w w:val="89"/>
              </w:rPr>
              <w:t>15</w:t>
            </w:r>
          </w:p>
        </w:tc>
        <w:tc>
          <w:tcPr>
            <w:tcW w:w="23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CGDL Bond Billed kWh</w:t>
            </w:r>
          </w:p>
        </w:tc>
        <w:tc>
          <w:tcPr>
            <w:tcW w:w="36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8"/>
              </w:rPr>
              <w:t>Sum of all Individual CGDL Bond Charge Billed kWhs in a</w:t>
            </w:r>
          </w:p>
        </w:tc>
      </w:tr>
      <w:tr>
        <w:trPr>
          <w:trHeight w:val="175"/>
        </w:trPr>
        <w:tc>
          <w:tcPr>
            <w:tcW w:w="94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month</w:t>
            </w:r>
          </w:p>
        </w:tc>
      </w:tr>
      <w:tr>
        <w:trPr>
          <w:trHeight w:val="146"/>
        </w:trPr>
        <w:tc>
          <w:tcPr>
            <w:tcW w:w="9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color w:val="auto"/>
                <w:w w:val="89"/>
              </w:rPr>
              <w:t>16</w:t>
            </w:r>
          </w:p>
        </w:tc>
        <w:tc>
          <w:tcPr>
            <w:tcW w:w="23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CGDL Bond Billed Amount</w:t>
            </w:r>
          </w:p>
        </w:tc>
        <w:tc>
          <w:tcPr>
            <w:tcW w:w="36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Sum of all Individual CGDL Bond Charge Billed Dollar</w:t>
            </w:r>
          </w:p>
        </w:tc>
      </w:tr>
      <w:tr>
        <w:trPr>
          <w:trHeight w:val="175"/>
        </w:trPr>
        <w:tc>
          <w:tcPr>
            <w:tcW w:w="94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Amounts in a month</w:t>
            </w:r>
          </w:p>
        </w:tc>
      </w:tr>
      <w:tr>
        <w:trPr>
          <w:trHeight w:val="146"/>
        </w:trPr>
        <w:tc>
          <w:tcPr>
            <w:tcW w:w="9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color w:val="auto"/>
                <w:w w:val="89"/>
              </w:rPr>
              <w:t>17</w:t>
            </w:r>
          </w:p>
        </w:tc>
        <w:tc>
          <w:tcPr>
            <w:tcW w:w="23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Total MDL Billed kWh</w:t>
            </w:r>
          </w:p>
        </w:tc>
        <w:tc>
          <w:tcPr>
            <w:tcW w:w="36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6"/>
              </w:rPr>
              <w:t>Sum of all individual MDL electric consumptions in kilowatt-</w:t>
            </w:r>
          </w:p>
        </w:tc>
      </w:tr>
      <w:tr>
        <w:trPr>
          <w:trHeight w:val="175"/>
        </w:trPr>
        <w:tc>
          <w:tcPr>
            <w:tcW w:w="94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hours billed in a month</w:t>
            </w:r>
          </w:p>
        </w:tc>
      </w:tr>
      <w:tr>
        <w:trPr>
          <w:trHeight w:val="146"/>
        </w:trPr>
        <w:tc>
          <w:tcPr>
            <w:tcW w:w="9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color w:val="auto"/>
                <w:w w:val="89"/>
              </w:rPr>
              <w:t>18</w:t>
            </w:r>
          </w:p>
        </w:tc>
        <w:tc>
          <w:tcPr>
            <w:tcW w:w="23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MDL Power Billed kWh</w:t>
            </w:r>
          </w:p>
        </w:tc>
        <w:tc>
          <w:tcPr>
            <w:tcW w:w="36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8"/>
              </w:rPr>
              <w:t>Sum of all Individual MDL Power Charge Billed kWhs in a</w:t>
            </w:r>
          </w:p>
        </w:tc>
      </w:tr>
      <w:tr>
        <w:trPr>
          <w:trHeight w:val="175"/>
        </w:trPr>
        <w:tc>
          <w:tcPr>
            <w:tcW w:w="94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month</w:t>
            </w:r>
          </w:p>
        </w:tc>
      </w:tr>
      <w:tr>
        <w:trPr>
          <w:trHeight w:val="146"/>
        </w:trPr>
        <w:tc>
          <w:tcPr>
            <w:tcW w:w="9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color w:val="auto"/>
                <w:w w:val="89"/>
              </w:rPr>
              <w:t>19</w:t>
            </w:r>
          </w:p>
        </w:tc>
        <w:tc>
          <w:tcPr>
            <w:tcW w:w="23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MDL Power Billed Amount ($)</w:t>
            </w:r>
          </w:p>
        </w:tc>
        <w:tc>
          <w:tcPr>
            <w:tcW w:w="36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Sum of all Individual MDL Power Charge Billed Dollar</w:t>
            </w:r>
          </w:p>
        </w:tc>
      </w:tr>
      <w:tr>
        <w:trPr>
          <w:trHeight w:val="175"/>
        </w:trPr>
        <w:tc>
          <w:tcPr>
            <w:tcW w:w="94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Amounts in a month</w:t>
            </w:r>
          </w:p>
        </w:tc>
      </w:tr>
      <w:tr>
        <w:trPr>
          <w:trHeight w:val="96"/>
        </w:trPr>
        <w:tc>
          <w:tcPr>
            <w:tcW w:w="940" w:type="dxa"/>
            <w:vAlign w:val="bottom"/>
            <w:tcBorders>
              <w:right w:val="single" w:sz="8" w:color="auto"/>
            </w:tcBorders>
          </w:tcPr>
          <w:p>
            <w:pPr>
              <w:spacing w:after="0"/>
              <w:rPr>
                <w:sz w:val="8"/>
                <w:szCs w:val="8"/>
                <w:color w:val="auto"/>
              </w:rPr>
            </w:pPr>
          </w:p>
        </w:tc>
        <w:tc>
          <w:tcPr>
            <w:tcW w:w="2300" w:type="dxa"/>
            <w:vAlign w:val="bottom"/>
            <w:tcBorders>
              <w:right w:val="single" w:sz="8" w:color="auto"/>
            </w:tcBorders>
          </w:tcPr>
          <w:p>
            <w:pPr>
              <w:spacing w:after="0"/>
              <w:rPr>
                <w:sz w:val="8"/>
                <w:szCs w:val="8"/>
                <w:color w:val="auto"/>
              </w:rPr>
            </w:pPr>
          </w:p>
        </w:tc>
        <w:tc>
          <w:tcPr>
            <w:tcW w:w="3640" w:type="dxa"/>
            <w:vAlign w:val="bottom"/>
            <w:tcBorders>
              <w:right w:val="single" w:sz="8" w:color="auto"/>
            </w:tcBorders>
          </w:tcPr>
          <w:p>
            <w:pPr>
              <w:spacing w:after="0"/>
              <w:rPr>
                <w:sz w:val="8"/>
                <w:szCs w:val="8"/>
                <w:color w:val="auto"/>
              </w:rPr>
            </w:pPr>
          </w:p>
        </w:tc>
      </w:tr>
    </w:tbl>
    <w:p>
      <w:pPr>
        <w:sectPr>
          <w:pgSz w:w="11900" w:h="16900" w:orient="portrait"/>
          <w:cols w:equalWidth="0" w:num="1">
            <w:col w:w="11200"/>
          </w:cols>
          <w:pgMar w:left="220" w:top="708" w:right="479" w:bottom="0" w:gutter="0" w:footer="0" w:header="0"/>
        </w:sectPr>
      </w:pPr>
    </w:p>
    <w:bookmarkStart w:id="140" w:name="page141"/>
    <w:bookmarkEnd w:id="140"/>
    <w:p>
      <w:pPr>
        <w:spacing w:after="0" w:line="62" w:lineRule="exact"/>
        <w:rPr>
          <w:sz w:val="20"/>
          <w:szCs w:val="20"/>
          <w:color w:val="auto"/>
        </w:rPr>
      </w:pPr>
    </w:p>
    <w:tbl>
      <w:tblPr>
        <w:tblLayout w:type="fixed"/>
        <w:tblInd w:w="2307" w:type="dxa"/>
        <w:tblCellMar>
          <w:top w:w="0" w:type="dxa"/>
          <w:left w:w="0" w:type="dxa"/>
          <w:bottom w:w="0" w:type="dxa"/>
          <w:right w:w="0" w:type="dxa"/>
        </w:tblCellMar>
      </w:tblPr>
      <w:tr>
        <w:trPr>
          <w:trHeight w:val="161"/>
        </w:trPr>
        <w:tc>
          <w:tcPr>
            <w:tcW w:w="940" w:type="dxa"/>
            <w:vAlign w:val="bottom"/>
            <w:tcBorders>
              <w:left w:val="single" w:sz="8" w:color="auto"/>
              <w:right w:val="single" w:sz="8" w:color="auto"/>
            </w:tcBorders>
          </w:tcPr>
          <w:p>
            <w:pPr>
              <w:jc w:val="right"/>
              <w:ind w:right="331"/>
              <w:spacing w:after="0"/>
              <w:rPr>
                <w:sz w:val="20"/>
                <w:szCs w:val="20"/>
                <w:color w:val="auto"/>
              </w:rPr>
            </w:pPr>
            <w:r>
              <w:rPr>
                <w:rFonts w:ascii="Arial" w:cs="Arial" w:eastAsia="Arial" w:hAnsi="Arial"/>
                <w:sz w:val="14"/>
                <w:szCs w:val="14"/>
                <w:color w:val="auto"/>
              </w:rPr>
              <w:t>20</w:t>
            </w:r>
          </w:p>
        </w:tc>
        <w:tc>
          <w:tcPr>
            <w:tcW w:w="23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MDL Bond Billed kWh</w:t>
            </w:r>
          </w:p>
        </w:tc>
        <w:tc>
          <w:tcPr>
            <w:tcW w:w="36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Sum of all Individual MDL Bond Charge Billed kWhs in a</w:t>
            </w: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month</w:t>
            </w:r>
          </w:p>
        </w:tc>
      </w:tr>
      <w:tr>
        <w:trPr>
          <w:trHeight w:val="146"/>
        </w:trPr>
        <w:tc>
          <w:tcPr>
            <w:tcW w:w="940" w:type="dxa"/>
            <w:vAlign w:val="bottom"/>
            <w:tcBorders>
              <w:left w:val="single" w:sz="8" w:color="auto"/>
              <w:right w:val="single" w:sz="8" w:color="auto"/>
            </w:tcBorders>
          </w:tcPr>
          <w:p>
            <w:pPr>
              <w:jc w:val="right"/>
              <w:ind w:right="331"/>
              <w:spacing w:after="0" w:line="146" w:lineRule="exact"/>
              <w:rPr>
                <w:sz w:val="20"/>
                <w:szCs w:val="20"/>
                <w:color w:val="auto"/>
              </w:rPr>
            </w:pPr>
            <w:r>
              <w:rPr>
                <w:rFonts w:ascii="Arial" w:cs="Arial" w:eastAsia="Arial" w:hAnsi="Arial"/>
                <w:sz w:val="14"/>
                <w:szCs w:val="14"/>
                <w:color w:val="auto"/>
              </w:rPr>
              <w:t>21</w:t>
            </w:r>
          </w:p>
        </w:tc>
        <w:tc>
          <w:tcPr>
            <w:tcW w:w="23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MDL Bond Billed Amount</w:t>
            </w:r>
          </w:p>
        </w:tc>
        <w:tc>
          <w:tcPr>
            <w:tcW w:w="36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Sum of all Individual MDL Bond Charge Billed Dollar</w:t>
            </w: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Amounts in a month</w:t>
            </w:r>
          </w:p>
        </w:tc>
      </w:tr>
      <w:tr>
        <w:trPr>
          <w:trHeight w:val="146"/>
        </w:trPr>
        <w:tc>
          <w:tcPr>
            <w:tcW w:w="940" w:type="dxa"/>
            <w:vAlign w:val="bottom"/>
            <w:tcBorders>
              <w:left w:val="single" w:sz="8" w:color="auto"/>
              <w:right w:val="single" w:sz="8" w:color="auto"/>
            </w:tcBorders>
          </w:tcPr>
          <w:p>
            <w:pPr>
              <w:jc w:val="right"/>
              <w:ind w:right="331"/>
              <w:spacing w:after="0" w:line="146" w:lineRule="exact"/>
              <w:rPr>
                <w:sz w:val="20"/>
                <w:szCs w:val="20"/>
                <w:color w:val="auto"/>
              </w:rPr>
            </w:pPr>
            <w:r>
              <w:rPr>
                <w:rFonts w:ascii="Arial" w:cs="Arial" w:eastAsia="Arial" w:hAnsi="Arial"/>
                <w:sz w:val="14"/>
                <w:szCs w:val="14"/>
                <w:color w:val="auto"/>
              </w:rPr>
              <w:t>22</w:t>
            </w:r>
          </w:p>
        </w:tc>
        <w:tc>
          <w:tcPr>
            <w:tcW w:w="23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Total CCA Billed kWh</w:t>
            </w:r>
          </w:p>
        </w:tc>
        <w:tc>
          <w:tcPr>
            <w:tcW w:w="36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6"/>
              </w:rPr>
              <w:t>Sum of all individual CCA electric consumptions in kilowatt-</w:t>
            </w: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hours billed in a month</w:t>
            </w:r>
          </w:p>
        </w:tc>
      </w:tr>
      <w:tr>
        <w:trPr>
          <w:trHeight w:val="146"/>
        </w:trPr>
        <w:tc>
          <w:tcPr>
            <w:tcW w:w="940" w:type="dxa"/>
            <w:vAlign w:val="bottom"/>
            <w:tcBorders>
              <w:left w:val="single" w:sz="8" w:color="auto"/>
              <w:right w:val="single" w:sz="8" w:color="auto"/>
            </w:tcBorders>
          </w:tcPr>
          <w:p>
            <w:pPr>
              <w:jc w:val="right"/>
              <w:ind w:right="331"/>
              <w:spacing w:after="0" w:line="146" w:lineRule="exact"/>
              <w:rPr>
                <w:sz w:val="20"/>
                <w:szCs w:val="20"/>
                <w:color w:val="auto"/>
              </w:rPr>
            </w:pPr>
            <w:r>
              <w:rPr>
                <w:rFonts w:ascii="Arial" w:cs="Arial" w:eastAsia="Arial" w:hAnsi="Arial"/>
                <w:sz w:val="14"/>
                <w:szCs w:val="14"/>
                <w:color w:val="auto"/>
              </w:rPr>
              <w:t>23</w:t>
            </w:r>
          </w:p>
        </w:tc>
        <w:tc>
          <w:tcPr>
            <w:tcW w:w="23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CCA Power Billed kWh</w:t>
            </w:r>
          </w:p>
        </w:tc>
        <w:tc>
          <w:tcPr>
            <w:tcW w:w="36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8"/>
              </w:rPr>
              <w:t>Sum of all Individual CCA Power Charge Billed kWhs in a</w:t>
            </w: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month</w:t>
            </w:r>
          </w:p>
        </w:tc>
      </w:tr>
      <w:tr>
        <w:trPr>
          <w:trHeight w:val="146"/>
        </w:trPr>
        <w:tc>
          <w:tcPr>
            <w:tcW w:w="940" w:type="dxa"/>
            <w:vAlign w:val="bottom"/>
            <w:tcBorders>
              <w:left w:val="single" w:sz="8" w:color="auto"/>
              <w:right w:val="single" w:sz="8" w:color="auto"/>
            </w:tcBorders>
          </w:tcPr>
          <w:p>
            <w:pPr>
              <w:jc w:val="right"/>
              <w:ind w:right="331"/>
              <w:spacing w:after="0" w:line="146" w:lineRule="exact"/>
              <w:rPr>
                <w:sz w:val="20"/>
                <w:szCs w:val="20"/>
                <w:color w:val="auto"/>
              </w:rPr>
            </w:pPr>
            <w:r>
              <w:rPr>
                <w:rFonts w:ascii="Arial" w:cs="Arial" w:eastAsia="Arial" w:hAnsi="Arial"/>
                <w:sz w:val="14"/>
                <w:szCs w:val="14"/>
                <w:color w:val="auto"/>
              </w:rPr>
              <w:t>24</w:t>
            </w:r>
          </w:p>
        </w:tc>
        <w:tc>
          <w:tcPr>
            <w:tcW w:w="23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CCA Power Billed Amount ($)</w:t>
            </w:r>
          </w:p>
        </w:tc>
        <w:tc>
          <w:tcPr>
            <w:tcW w:w="36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Sum of all Individual CCA Power Charge Billed Dollar</w:t>
            </w: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Amounts in a month</w:t>
            </w:r>
          </w:p>
        </w:tc>
      </w:tr>
      <w:tr>
        <w:trPr>
          <w:trHeight w:val="146"/>
        </w:trPr>
        <w:tc>
          <w:tcPr>
            <w:tcW w:w="940" w:type="dxa"/>
            <w:vAlign w:val="bottom"/>
            <w:tcBorders>
              <w:left w:val="single" w:sz="8" w:color="auto"/>
              <w:right w:val="single" w:sz="8" w:color="auto"/>
            </w:tcBorders>
          </w:tcPr>
          <w:p>
            <w:pPr>
              <w:jc w:val="right"/>
              <w:ind w:right="331"/>
              <w:spacing w:after="0" w:line="146" w:lineRule="exact"/>
              <w:rPr>
                <w:sz w:val="20"/>
                <w:szCs w:val="20"/>
                <w:color w:val="auto"/>
              </w:rPr>
            </w:pPr>
            <w:r>
              <w:rPr>
                <w:rFonts w:ascii="Arial" w:cs="Arial" w:eastAsia="Arial" w:hAnsi="Arial"/>
                <w:sz w:val="14"/>
                <w:szCs w:val="14"/>
                <w:color w:val="auto"/>
              </w:rPr>
              <w:t>25</w:t>
            </w:r>
          </w:p>
        </w:tc>
        <w:tc>
          <w:tcPr>
            <w:tcW w:w="23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CCA Bond Billed kWh</w:t>
            </w:r>
          </w:p>
        </w:tc>
        <w:tc>
          <w:tcPr>
            <w:tcW w:w="36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Sum of all Individual CCA Bond Charge Billed kWhs in a</w:t>
            </w: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month</w:t>
            </w:r>
          </w:p>
        </w:tc>
      </w:tr>
      <w:tr>
        <w:trPr>
          <w:trHeight w:val="146"/>
        </w:trPr>
        <w:tc>
          <w:tcPr>
            <w:tcW w:w="940" w:type="dxa"/>
            <w:vAlign w:val="bottom"/>
            <w:tcBorders>
              <w:left w:val="single" w:sz="8" w:color="auto"/>
              <w:right w:val="single" w:sz="8" w:color="auto"/>
            </w:tcBorders>
          </w:tcPr>
          <w:p>
            <w:pPr>
              <w:jc w:val="right"/>
              <w:ind w:right="331"/>
              <w:spacing w:after="0" w:line="146" w:lineRule="exact"/>
              <w:rPr>
                <w:sz w:val="20"/>
                <w:szCs w:val="20"/>
                <w:color w:val="auto"/>
              </w:rPr>
            </w:pPr>
            <w:r>
              <w:rPr>
                <w:rFonts w:ascii="Arial" w:cs="Arial" w:eastAsia="Arial" w:hAnsi="Arial"/>
                <w:sz w:val="14"/>
                <w:szCs w:val="14"/>
                <w:color w:val="auto"/>
              </w:rPr>
              <w:t>26</w:t>
            </w:r>
          </w:p>
        </w:tc>
        <w:tc>
          <w:tcPr>
            <w:tcW w:w="230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CCA Bond Billed Amount</w:t>
            </w:r>
          </w:p>
        </w:tc>
        <w:tc>
          <w:tcPr>
            <w:tcW w:w="364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Sum of all Individual CCA Bond Charge Billed Dollar</w:t>
            </w: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c>
          <w:tcPr>
            <w:tcW w:w="3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Amounts in a month</w:t>
            </w:r>
          </w:p>
        </w:tc>
      </w:tr>
    </w:tbl>
    <w:p>
      <w:pPr>
        <w:spacing w:after="0" w:line="335" w:lineRule="exact"/>
        <w:rPr>
          <w:sz w:val="20"/>
          <w:szCs w:val="20"/>
          <w:color w:val="auto"/>
        </w:rPr>
      </w:pPr>
    </w:p>
    <w:p>
      <w:pPr>
        <w:ind w:left="997"/>
        <w:spacing w:after="0"/>
        <w:rPr>
          <w:sz w:val="20"/>
          <w:szCs w:val="20"/>
          <w:color w:val="auto"/>
        </w:rPr>
      </w:pPr>
      <w:r>
        <w:rPr>
          <w:rFonts w:ascii="Arial" w:cs="Arial" w:eastAsia="Arial" w:hAnsi="Arial"/>
          <w:sz w:val="17"/>
          <w:szCs w:val="17"/>
          <w:i w:val="1"/>
          <w:iCs w:val="1"/>
          <w:color w:val="auto"/>
        </w:rPr>
        <w:t>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4515485" cy="8401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515485" cy="8401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1461770</wp:posOffset>
            </wp:positionV>
            <wp:extent cx="3780790" cy="905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780790" cy="9055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2603500</wp:posOffset>
            </wp:positionV>
            <wp:extent cx="1890395" cy="899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90395" cy="89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97" w:hanging="497"/>
        <w:spacing w:after="0"/>
        <w:tabs>
          <w:tab w:leader="none" w:pos="497"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Monthly Late Payment Charge Report</w:t>
      </w:r>
    </w:p>
    <w:p>
      <w:pPr>
        <w:spacing w:after="0" w:line="145" w:lineRule="exact"/>
        <w:rPr>
          <w:rFonts w:ascii="Arial" w:cs="Arial" w:eastAsia="Arial" w:hAnsi="Arial"/>
          <w:sz w:val="17"/>
          <w:szCs w:val="17"/>
          <w:color w:val="auto"/>
        </w:rPr>
      </w:pPr>
    </w:p>
    <w:p>
      <w:pPr>
        <w:ind w:left="497" w:right="3980" w:hanging="1"/>
        <w:spacing w:after="0" w:line="554" w:lineRule="auto"/>
        <w:tabs>
          <w:tab w:leader="none" w:pos="994" w:val="left"/>
        </w:tabs>
        <w:numPr>
          <w:ilvl w:val="1"/>
          <w:numId w:val="190"/>
        </w:numPr>
        <w:rPr>
          <w:rFonts w:ascii="Arial" w:cs="Arial" w:eastAsia="Arial" w:hAnsi="Arial"/>
          <w:sz w:val="14"/>
          <w:szCs w:val="14"/>
          <w:color w:val="auto"/>
        </w:rPr>
      </w:pPr>
      <w:r>
        <w:rPr>
          <w:rFonts w:ascii="Arial" w:cs="Arial" w:eastAsia="Arial" w:hAnsi="Arial"/>
          <w:sz w:val="14"/>
          <w:szCs w:val="14"/>
          <w:color w:val="auto"/>
        </w:rPr>
        <w:t xml:space="preserve">Naming Convention - The transmittal of this report should use the following naming convention. · The format of the filename: </w:t>
      </w:r>
      <w:r>
        <w:rPr>
          <w:rFonts w:ascii="Arial" w:cs="Arial" w:eastAsia="Arial" w:hAnsi="Arial"/>
          <w:sz w:val="13"/>
          <w:szCs w:val="13"/>
          <w:color w:val="auto"/>
        </w:rPr>
        <w:t>&lt;utility-name&gt; - Monthly</w:t>
      </w:r>
      <w:r>
        <w:rPr>
          <w:rFonts w:ascii="Arial" w:cs="Arial" w:eastAsia="Arial" w:hAnsi="Arial"/>
          <w:sz w:val="14"/>
          <w:szCs w:val="14"/>
          <w:color w:val="auto"/>
        </w:rPr>
        <w:t xml:space="preserve"> Late Payment Charge Report yyyymmvx.xls</w:t>
      </w:r>
    </w:p>
    <w:p>
      <w:pPr>
        <w:spacing w:after="0" w:line="1" w:lineRule="exact"/>
        <w:rPr>
          <w:sz w:val="20"/>
          <w:szCs w:val="20"/>
          <w:color w:val="auto"/>
        </w:rPr>
      </w:pPr>
    </w:p>
    <w:p>
      <w:pPr>
        <w:ind w:left="997"/>
        <w:spacing w:after="0"/>
        <w:rPr>
          <w:sz w:val="20"/>
          <w:szCs w:val="20"/>
          <w:color w:val="auto"/>
        </w:rPr>
      </w:pPr>
      <w:r>
        <w:rPr>
          <w:rFonts w:ascii="Arial" w:cs="Arial" w:eastAsia="Arial" w:hAnsi="Arial"/>
          <w:sz w:val="17"/>
          <w:szCs w:val="17"/>
          <w:i w:val="1"/>
          <w:iCs w:val="1"/>
          <w:color w:val="auto"/>
        </w:rPr>
        <w:t>Example: SDG&amp;E – Monthly Late Payment Charge Report 200909v1.xls</w:t>
      </w:r>
    </w:p>
    <w:p>
      <w:pPr>
        <w:spacing w:after="0" w:line="166" w:lineRule="exact"/>
        <w:rPr>
          <w:sz w:val="20"/>
          <w:szCs w:val="20"/>
          <w:color w:val="auto"/>
        </w:rPr>
      </w:pPr>
    </w:p>
    <w:p>
      <w:pPr>
        <w:ind w:left="997" w:right="4360" w:hanging="501"/>
        <w:spacing w:after="0" w:line="456" w:lineRule="auto"/>
        <w:tabs>
          <w:tab w:leader="none" w:pos="749"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The subject line of e-mail: </w:t>
      </w:r>
      <w:r>
        <w:rPr>
          <w:rFonts w:ascii="Arial" w:cs="Arial" w:eastAsia="Arial" w:hAnsi="Arial"/>
          <w:sz w:val="15"/>
          <w:szCs w:val="15"/>
          <w:color w:val="auto"/>
        </w:rPr>
        <w:t>&lt;utility-name&gt; -</w:t>
      </w:r>
      <w:r>
        <w:rPr>
          <w:rFonts w:ascii="Arial" w:cs="Arial" w:eastAsia="Arial" w:hAnsi="Arial"/>
          <w:sz w:val="17"/>
          <w:szCs w:val="17"/>
          <w:color w:val="auto"/>
        </w:rPr>
        <w:t xml:space="preserve"> Monthly Late Payment Charge Report for yyyymm </w:t>
      </w:r>
      <w:r>
        <w:rPr>
          <w:rFonts w:ascii="Arial" w:cs="Arial" w:eastAsia="Arial" w:hAnsi="Arial"/>
          <w:sz w:val="17"/>
          <w:szCs w:val="17"/>
          <w:i w:val="1"/>
          <w:iCs w:val="1"/>
          <w:color w:val="auto"/>
        </w:rPr>
        <w:t>Example: SDG&amp;E – Monthly Late Payment Charge Report for 200909</w:t>
      </w:r>
    </w:p>
    <w:p>
      <w:pPr>
        <w:spacing w:after="0" w:line="7" w:lineRule="exact"/>
        <w:rPr>
          <w:sz w:val="20"/>
          <w:szCs w:val="20"/>
          <w:color w:val="auto"/>
        </w:rPr>
      </w:pPr>
    </w:p>
    <w:p>
      <w:pPr>
        <w:ind w:left="997" w:hanging="501"/>
        <w:spacing w:after="0" w:line="192" w:lineRule="auto"/>
        <w:tabs>
          <w:tab w:leader="none" w:pos="997" w:val="left"/>
        </w:tabs>
        <w:numPr>
          <w:ilvl w:val="0"/>
          <w:numId w:val="192"/>
        </w:numPr>
        <w:rPr>
          <w:rFonts w:ascii="Arial" w:cs="Arial" w:eastAsia="Arial" w:hAnsi="Arial"/>
          <w:sz w:val="33"/>
          <w:szCs w:val="33"/>
          <w:color w:val="auto"/>
          <w:vertAlign w:val="superscript"/>
        </w:rPr>
      </w:pPr>
      <w:r>
        <w:rPr>
          <w:rFonts w:ascii="Arial" w:cs="Arial" w:eastAsia="Arial" w:hAnsi="Arial"/>
          <w:sz w:val="17"/>
          <w:szCs w:val="17"/>
          <w:color w:val="auto"/>
        </w:rPr>
        <w:t xml:space="preserve">Required Information and Timeline </w:t>
      </w:r>
      <w:r>
        <w:rPr>
          <w:rFonts w:ascii="Arial" w:cs="Arial" w:eastAsia="Arial" w:hAnsi="Arial"/>
          <w:sz w:val="17"/>
          <w:szCs w:val="17"/>
          <w:b w:val="1"/>
          <w:bCs w:val="1"/>
          <w:color w:val="auto"/>
        </w:rPr>
        <w:t>-</w:t>
      </w:r>
      <w:r>
        <w:rPr>
          <w:rFonts w:ascii="Arial" w:cs="Arial" w:eastAsia="Arial" w:hAnsi="Arial"/>
          <w:sz w:val="17"/>
          <w:szCs w:val="17"/>
          <w:color w:val="auto"/>
        </w:rPr>
        <w:t xml:space="preserve"> The Monthly Late Payment Charge Report will be provided to DWR on the 7</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Utility Business Day after the end of a month of the term. The table below lists the data columns that will be required for the Monthly Late Payment Charge Report and explains the formulas to be used for the calculated values in certain data columns.</w:t>
      </w:r>
    </w:p>
    <w:p>
      <w:pPr>
        <w:spacing w:after="0" w:line="176" w:lineRule="exact"/>
        <w:rPr>
          <w:sz w:val="20"/>
          <w:szCs w:val="20"/>
          <w:color w:val="auto"/>
        </w:rPr>
      </w:pPr>
    </w:p>
    <w:tbl>
      <w:tblPr>
        <w:tblLayout w:type="fixed"/>
        <w:tblInd w:w="2287" w:type="dxa"/>
        <w:tblCellMar>
          <w:top w:w="0" w:type="dxa"/>
          <w:left w:w="0" w:type="dxa"/>
          <w:bottom w:w="0" w:type="dxa"/>
          <w:right w:w="0" w:type="dxa"/>
        </w:tblCellMar>
      </w:tblPr>
      <w:tr>
        <w:trPr>
          <w:trHeight w:val="196"/>
        </w:trPr>
        <w:tc>
          <w:tcPr>
            <w:tcW w:w="940" w:type="dxa"/>
            <w:vAlign w:val="bottom"/>
            <w:tcBorders>
              <w:top w:val="single" w:sz="8" w:color="auto"/>
              <w:left w:val="single" w:sz="8" w:color="auto"/>
              <w:bottom w:val="single" w:sz="8" w:color="auto"/>
              <w:right w:val="single" w:sz="8" w:color="auto"/>
            </w:tcBorders>
            <w:shd w:val="clear" w:color="auto" w:fill="C0C0C0"/>
          </w:tcPr>
          <w:p>
            <w:pPr>
              <w:ind w:left="160"/>
              <w:spacing w:after="0"/>
              <w:rPr>
                <w:sz w:val="20"/>
                <w:szCs w:val="20"/>
                <w:color w:val="auto"/>
              </w:rPr>
            </w:pPr>
            <w:r>
              <w:rPr>
                <w:rFonts w:ascii="Arial" w:cs="Arial" w:eastAsia="Arial" w:hAnsi="Arial"/>
                <w:sz w:val="14"/>
                <w:szCs w:val="14"/>
                <w:b w:val="1"/>
                <w:bCs w:val="1"/>
                <w:color w:val="auto"/>
              </w:rPr>
              <w:t>Column #</w:t>
            </w:r>
          </w:p>
        </w:tc>
        <w:tc>
          <w:tcPr>
            <w:tcW w:w="2160" w:type="dxa"/>
            <w:vAlign w:val="bottom"/>
            <w:tcBorders>
              <w:top w:val="single" w:sz="8" w:color="auto"/>
              <w:bottom w:val="single" w:sz="8" w:color="auto"/>
              <w:right w:val="single" w:sz="8" w:color="auto"/>
            </w:tcBorders>
            <w:shd w:val="clear" w:color="auto" w:fill="C0C0C0"/>
          </w:tcPr>
          <w:p>
            <w:pPr>
              <w:ind w:left="680"/>
              <w:spacing w:after="0"/>
              <w:rPr>
                <w:sz w:val="20"/>
                <w:szCs w:val="20"/>
                <w:color w:val="auto"/>
              </w:rPr>
            </w:pPr>
            <w:r>
              <w:rPr>
                <w:rFonts w:ascii="Arial" w:cs="Arial" w:eastAsia="Arial" w:hAnsi="Arial"/>
                <w:sz w:val="14"/>
                <w:szCs w:val="14"/>
                <w:b w:val="1"/>
                <w:bCs w:val="1"/>
                <w:color w:val="auto"/>
              </w:rPr>
              <w:t>Column Title</w:t>
            </w:r>
          </w:p>
        </w:tc>
        <w:tc>
          <w:tcPr>
            <w:tcW w:w="3840" w:type="dxa"/>
            <w:vAlign w:val="bottom"/>
            <w:tcBorders>
              <w:top w:val="single" w:sz="8" w:color="auto"/>
              <w:bottom w:val="single" w:sz="8" w:color="auto"/>
              <w:right w:val="single" w:sz="8" w:color="auto"/>
            </w:tcBorders>
            <w:shd w:val="clear" w:color="auto" w:fill="C0C0C0"/>
          </w:tcPr>
          <w:p>
            <w:pPr>
              <w:ind w:left="1560"/>
              <w:spacing w:after="0"/>
              <w:rPr>
                <w:sz w:val="20"/>
                <w:szCs w:val="20"/>
                <w:color w:val="auto"/>
              </w:rPr>
            </w:pPr>
            <w:r>
              <w:rPr>
                <w:rFonts w:ascii="Arial" w:cs="Arial" w:eastAsia="Arial" w:hAnsi="Arial"/>
                <w:sz w:val="14"/>
                <w:szCs w:val="14"/>
                <w:b w:val="1"/>
                <w:bCs w:val="1"/>
                <w:color w:val="auto"/>
              </w:rPr>
              <w:t>Description</w:t>
            </w:r>
          </w:p>
        </w:tc>
      </w:tr>
      <w:tr>
        <w:trPr>
          <w:trHeight w:val="141"/>
        </w:trPr>
        <w:tc>
          <w:tcPr>
            <w:tcW w:w="940" w:type="dxa"/>
            <w:vAlign w:val="bottom"/>
            <w:tcBorders>
              <w:bottom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rPr>
              <w:t>1</w:t>
            </w:r>
          </w:p>
        </w:tc>
        <w:tc>
          <w:tcPr>
            <w:tcW w:w="216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4"/>
                <w:szCs w:val="14"/>
                <w:color w:val="auto"/>
              </w:rPr>
              <w:t>Business Month</w:t>
            </w:r>
          </w:p>
        </w:tc>
        <w:tc>
          <w:tcPr>
            <w:tcW w:w="3840" w:type="dxa"/>
            <w:vAlign w:val="bottom"/>
            <w:tcBorders>
              <w:bottom w:val="single" w:sz="8" w:color="auto"/>
              <w:right w:val="single" w:sz="8" w:color="auto"/>
            </w:tcBorders>
          </w:tcPr>
          <w:p>
            <w:pPr>
              <w:ind w:left="100"/>
              <w:spacing w:after="0" w:line="141" w:lineRule="exact"/>
              <w:rPr>
                <w:sz w:val="20"/>
                <w:szCs w:val="20"/>
                <w:color w:val="auto"/>
              </w:rPr>
            </w:pPr>
            <w:r>
              <w:rPr>
                <w:rFonts w:ascii="Arial" w:cs="Arial" w:eastAsia="Arial" w:hAnsi="Arial"/>
                <w:sz w:val="14"/>
                <w:szCs w:val="14"/>
                <w:color w:val="auto"/>
              </w:rPr>
              <w:t>The SDG&amp;E Business Month</w:t>
            </w:r>
          </w:p>
        </w:tc>
      </w:tr>
      <w:tr>
        <w:trPr>
          <w:trHeight w:val="156"/>
        </w:trPr>
        <w:tc>
          <w:tcPr>
            <w:tcW w:w="9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2</w:t>
            </w:r>
          </w:p>
        </w:tc>
        <w:tc>
          <w:tcPr>
            <w:tcW w:w="216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LPC Bill</w:t>
            </w:r>
          </w:p>
        </w:tc>
        <w:tc>
          <w:tcPr>
            <w:tcW w:w="3840" w:type="dxa"/>
            <w:vAlign w:val="bottom"/>
            <w:tcBorders>
              <w:bottom w:val="single" w:sz="8" w:color="auto"/>
              <w:right w:val="single" w:sz="8" w:color="auto"/>
            </w:tcBorders>
          </w:tcPr>
          <w:p>
            <w:pPr>
              <w:ind w:left="100"/>
              <w:spacing w:after="0" w:line="156" w:lineRule="exact"/>
              <w:rPr>
                <w:sz w:val="20"/>
                <w:szCs w:val="20"/>
                <w:color w:val="auto"/>
              </w:rPr>
            </w:pPr>
            <w:r>
              <w:rPr>
                <w:rFonts w:ascii="Arial" w:cs="Arial" w:eastAsia="Arial" w:hAnsi="Arial"/>
                <w:sz w:val="14"/>
                <w:szCs w:val="14"/>
                <w:color w:val="auto"/>
              </w:rPr>
              <w:t>Total LPC billed in the Business Month</w:t>
            </w:r>
          </w:p>
        </w:tc>
      </w:tr>
      <w:tr>
        <w:trPr>
          <w:trHeight w:val="156"/>
        </w:trPr>
        <w:tc>
          <w:tcPr>
            <w:tcW w:w="9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3</w:t>
            </w:r>
          </w:p>
        </w:tc>
        <w:tc>
          <w:tcPr>
            <w:tcW w:w="216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DWR Commodity Bill</w:t>
            </w:r>
          </w:p>
        </w:tc>
        <w:tc>
          <w:tcPr>
            <w:tcW w:w="3840" w:type="dxa"/>
            <w:vAlign w:val="bottom"/>
            <w:tcBorders>
              <w:bottom w:val="single" w:sz="8" w:color="auto"/>
              <w:right w:val="single" w:sz="8" w:color="auto"/>
            </w:tcBorders>
          </w:tcPr>
          <w:p>
            <w:pPr>
              <w:ind w:left="100"/>
              <w:spacing w:after="0" w:line="156" w:lineRule="exact"/>
              <w:rPr>
                <w:sz w:val="20"/>
                <w:szCs w:val="20"/>
                <w:color w:val="auto"/>
              </w:rPr>
            </w:pPr>
            <w:r>
              <w:rPr>
                <w:rFonts w:ascii="Arial" w:cs="Arial" w:eastAsia="Arial" w:hAnsi="Arial"/>
                <w:sz w:val="14"/>
                <w:szCs w:val="14"/>
                <w:color w:val="auto"/>
              </w:rPr>
              <w:t>DWR Bundled Power Charge Billed in the Business Month</w:t>
            </w:r>
          </w:p>
        </w:tc>
      </w:tr>
      <w:tr>
        <w:trPr>
          <w:trHeight w:val="145"/>
        </w:trPr>
        <w:tc>
          <w:tcPr>
            <w:tcW w:w="9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rPr>
              <w:t>4</w:t>
            </w:r>
          </w:p>
        </w:tc>
        <w:tc>
          <w:tcPr>
            <w:tcW w:w="216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DWR Bond Charge Bill</w:t>
            </w:r>
          </w:p>
        </w:tc>
        <w:tc>
          <w:tcPr>
            <w:tcW w:w="38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w w:val="95"/>
              </w:rPr>
              <w:t>DWR Bond Charge billed to all applicable Customer Types the</w:t>
            </w:r>
          </w:p>
        </w:tc>
      </w:tr>
      <w:tr>
        <w:trPr>
          <w:trHeight w:val="175"/>
        </w:trPr>
        <w:tc>
          <w:tcPr>
            <w:tcW w:w="940" w:type="dxa"/>
            <w:vAlign w:val="bottom"/>
            <w:tcBorders>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spacing w:after="0"/>
              <w:rPr>
                <w:sz w:val="15"/>
                <w:szCs w:val="15"/>
                <w:color w:val="auto"/>
              </w:rPr>
            </w:pPr>
          </w:p>
        </w:tc>
        <w:tc>
          <w:tcPr>
            <w:tcW w:w="3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Business Month</w:t>
            </w:r>
          </w:p>
        </w:tc>
      </w:tr>
      <w:tr>
        <w:trPr>
          <w:trHeight w:val="146"/>
        </w:trPr>
        <w:tc>
          <w:tcPr>
            <w:tcW w:w="9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color w:val="auto"/>
              </w:rPr>
              <w:t>5</w:t>
            </w:r>
          </w:p>
        </w:tc>
        <w:tc>
          <w:tcPr>
            <w:tcW w:w="216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DWR CRS Power Charge Bill</w:t>
            </w:r>
          </w:p>
        </w:tc>
        <w:tc>
          <w:tcPr>
            <w:tcW w:w="38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The Power Charge component of Customer Responsibility</w:t>
            </w:r>
          </w:p>
        </w:tc>
      </w:tr>
      <w:tr>
        <w:trPr>
          <w:trHeight w:val="165"/>
        </w:trPr>
        <w:tc>
          <w:tcPr>
            <w:tcW w:w="940" w:type="dxa"/>
            <w:vAlign w:val="bottom"/>
            <w:tcBorders>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Surcharge billed to all applicable Customer Types in the</w:t>
            </w:r>
          </w:p>
        </w:tc>
      </w:tr>
      <w:tr>
        <w:trPr>
          <w:trHeight w:val="175"/>
        </w:trPr>
        <w:tc>
          <w:tcPr>
            <w:tcW w:w="940" w:type="dxa"/>
            <w:vAlign w:val="bottom"/>
            <w:tcBorders>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spacing w:after="0"/>
              <w:rPr>
                <w:sz w:val="15"/>
                <w:szCs w:val="15"/>
                <w:color w:val="auto"/>
              </w:rPr>
            </w:pPr>
          </w:p>
        </w:tc>
        <w:tc>
          <w:tcPr>
            <w:tcW w:w="3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Business Month</w:t>
            </w:r>
          </w:p>
        </w:tc>
      </w:tr>
      <w:tr>
        <w:trPr>
          <w:trHeight w:val="146"/>
        </w:trPr>
        <w:tc>
          <w:tcPr>
            <w:tcW w:w="9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color w:val="auto"/>
              </w:rPr>
              <w:t>6</w:t>
            </w:r>
          </w:p>
        </w:tc>
        <w:tc>
          <w:tcPr>
            <w:tcW w:w="216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Total DWR Bill</w:t>
            </w:r>
          </w:p>
        </w:tc>
        <w:tc>
          <w:tcPr>
            <w:tcW w:w="38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w w:val="92"/>
              </w:rPr>
              <w:t>Total amount of DWR Charge bills (Sum of values in Columns 3,</w:t>
            </w:r>
          </w:p>
        </w:tc>
      </w:tr>
      <w:tr>
        <w:trPr>
          <w:trHeight w:val="175"/>
        </w:trPr>
        <w:tc>
          <w:tcPr>
            <w:tcW w:w="940" w:type="dxa"/>
            <w:vAlign w:val="bottom"/>
            <w:tcBorders>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spacing w:after="0"/>
              <w:rPr>
                <w:sz w:val="15"/>
                <w:szCs w:val="15"/>
                <w:color w:val="auto"/>
              </w:rPr>
            </w:pPr>
          </w:p>
        </w:tc>
        <w:tc>
          <w:tcPr>
            <w:tcW w:w="3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4 and 5 in the Business Month)</w:t>
            </w:r>
          </w:p>
        </w:tc>
      </w:tr>
      <w:tr>
        <w:trPr>
          <w:trHeight w:val="156"/>
        </w:trPr>
        <w:tc>
          <w:tcPr>
            <w:tcW w:w="94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rPr>
              <w:t>7</w:t>
            </w:r>
          </w:p>
        </w:tc>
        <w:tc>
          <w:tcPr>
            <w:tcW w:w="2160" w:type="dxa"/>
            <w:vAlign w:val="bottom"/>
            <w:tcBorders>
              <w:bottom w:val="single" w:sz="8" w:color="auto"/>
              <w:right w:val="single" w:sz="8" w:color="auto"/>
            </w:tcBorders>
          </w:tcPr>
          <w:p>
            <w:pPr>
              <w:ind w:left="80"/>
              <w:spacing w:after="0" w:line="157" w:lineRule="exact"/>
              <w:rPr>
                <w:sz w:val="20"/>
                <w:szCs w:val="20"/>
                <w:color w:val="auto"/>
              </w:rPr>
            </w:pPr>
            <w:r>
              <w:rPr>
                <w:rFonts w:ascii="Arial" w:cs="Arial" w:eastAsia="Arial" w:hAnsi="Arial"/>
                <w:sz w:val="14"/>
                <w:szCs w:val="14"/>
                <w:color w:val="auto"/>
              </w:rPr>
              <w:t>Utility Bill</w:t>
            </w:r>
          </w:p>
        </w:tc>
        <w:tc>
          <w:tcPr>
            <w:tcW w:w="3840" w:type="dxa"/>
            <w:vAlign w:val="bottom"/>
            <w:tcBorders>
              <w:bottom w:val="single" w:sz="8" w:color="auto"/>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SDG&amp;E revenue billed in the Business Month</w:t>
            </w:r>
          </w:p>
        </w:tc>
      </w:tr>
      <w:tr>
        <w:trPr>
          <w:trHeight w:val="145"/>
        </w:trPr>
        <w:tc>
          <w:tcPr>
            <w:tcW w:w="9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rPr>
              <w:t>8</w:t>
            </w:r>
          </w:p>
        </w:tc>
        <w:tc>
          <w:tcPr>
            <w:tcW w:w="2160" w:type="dxa"/>
            <w:vAlign w:val="bottom"/>
            <w:tcBorders>
              <w:right w:val="single" w:sz="8" w:color="auto"/>
            </w:tcBorders>
          </w:tcPr>
          <w:p>
            <w:pPr>
              <w:ind w:left="80"/>
              <w:spacing w:after="0" w:line="145" w:lineRule="exact"/>
              <w:rPr>
                <w:sz w:val="20"/>
                <w:szCs w:val="20"/>
                <w:color w:val="auto"/>
              </w:rPr>
            </w:pPr>
            <w:r>
              <w:rPr>
                <w:rFonts w:ascii="Arial" w:cs="Arial" w:eastAsia="Arial" w:hAnsi="Arial"/>
                <w:sz w:val="14"/>
                <w:szCs w:val="14"/>
                <w:color w:val="auto"/>
              </w:rPr>
              <w:t>DWR LPC Share %</w:t>
            </w:r>
          </w:p>
        </w:tc>
        <w:tc>
          <w:tcPr>
            <w:tcW w:w="38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4"/>
                <w:szCs w:val="14"/>
                <w:color w:val="auto"/>
                <w:w w:val="98"/>
              </w:rPr>
              <w:t>DWR’s share of LPC billed in the Business Month (Column 6</w:t>
            </w:r>
          </w:p>
        </w:tc>
      </w:tr>
      <w:tr>
        <w:trPr>
          <w:trHeight w:val="165"/>
        </w:trPr>
        <w:tc>
          <w:tcPr>
            <w:tcW w:w="940" w:type="dxa"/>
            <w:vAlign w:val="bottom"/>
            <w:tcBorders>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9"/>
              </w:rPr>
              <w:t>value in the preceding Business Month divided by Column 7</w:t>
            </w:r>
          </w:p>
        </w:tc>
      </w:tr>
      <w:tr>
        <w:trPr>
          <w:trHeight w:val="175"/>
        </w:trPr>
        <w:tc>
          <w:tcPr>
            <w:tcW w:w="940" w:type="dxa"/>
            <w:vAlign w:val="bottom"/>
            <w:tcBorders>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spacing w:after="0"/>
              <w:rPr>
                <w:sz w:val="15"/>
                <w:szCs w:val="15"/>
                <w:color w:val="auto"/>
              </w:rPr>
            </w:pPr>
          </w:p>
        </w:tc>
        <w:tc>
          <w:tcPr>
            <w:tcW w:w="3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value in the preceding Business Month)</w:t>
            </w:r>
          </w:p>
        </w:tc>
      </w:tr>
      <w:tr>
        <w:trPr>
          <w:trHeight w:val="146"/>
        </w:trPr>
        <w:tc>
          <w:tcPr>
            <w:tcW w:w="9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color w:val="auto"/>
              </w:rPr>
              <w:t>9</w:t>
            </w:r>
          </w:p>
        </w:tc>
        <w:tc>
          <w:tcPr>
            <w:tcW w:w="216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Gross DWR LPC Collection</w:t>
            </w:r>
          </w:p>
        </w:tc>
        <w:tc>
          <w:tcPr>
            <w:tcW w:w="38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The DWR’s Share of LPC collected in the Business Month</w:t>
            </w:r>
          </w:p>
        </w:tc>
      </w:tr>
      <w:tr>
        <w:trPr>
          <w:trHeight w:val="165"/>
        </w:trPr>
        <w:tc>
          <w:tcPr>
            <w:tcW w:w="940" w:type="dxa"/>
            <w:vAlign w:val="bottom"/>
            <w:tcBorders>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4"/>
              </w:rPr>
              <w:t>(Column 8 value in the preceding Business Month multiplied by</w:t>
            </w:r>
          </w:p>
        </w:tc>
      </w:tr>
      <w:tr>
        <w:trPr>
          <w:trHeight w:val="175"/>
        </w:trPr>
        <w:tc>
          <w:tcPr>
            <w:tcW w:w="940" w:type="dxa"/>
            <w:vAlign w:val="bottom"/>
            <w:tcBorders>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spacing w:after="0"/>
              <w:rPr>
                <w:sz w:val="15"/>
                <w:szCs w:val="15"/>
                <w:color w:val="auto"/>
              </w:rPr>
            </w:pPr>
          </w:p>
        </w:tc>
        <w:tc>
          <w:tcPr>
            <w:tcW w:w="3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Column 2 value in the preceding Business Month)</w:t>
            </w:r>
          </w:p>
        </w:tc>
      </w:tr>
      <w:tr>
        <w:trPr>
          <w:trHeight w:val="146"/>
        </w:trPr>
        <w:tc>
          <w:tcPr>
            <w:tcW w:w="9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color w:val="auto"/>
                <w:w w:val="89"/>
              </w:rPr>
              <w:t>10</w:t>
            </w:r>
          </w:p>
        </w:tc>
        <w:tc>
          <w:tcPr>
            <w:tcW w:w="216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C&amp;I Charge-Off %</w:t>
            </w:r>
          </w:p>
        </w:tc>
        <w:tc>
          <w:tcPr>
            <w:tcW w:w="38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Percentage of the bad debt charge-off for amounts billed to</w:t>
            </w:r>
          </w:p>
        </w:tc>
      </w:tr>
      <w:tr>
        <w:trPr>
          <w:trHeight w:val="175"/>
        </w:trPr>
        <w:tc>
          <w:tcPr>
            <w:tcW w:w="940" w:type="dxa"/>
            <w:vAlign w:val="bottom"/>
            <w:tcBorders>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spacing w:after="0"/>
              <w:rPr>
                <w:sz w:val="15"/>
                <w:szCs w:val="15"/>
                <w:color w:val="auto"/>
              </w:rPr>
            </w:pPr>
          </w:p>
        </w:tc>
        <w:tc>
          <w:tcPr>
            <w:tcW w:w="3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commercial and industrial customers in the Business Month</w:t>
            </w:r>
          </w:p>
        </w:tc>
      </w:tr>
      <w:tr>
        <w:trPr>
          <w:trHeight w:val="146"/>
        </w:trPr>
        <w:tc>
          <w:tcPr>
            <w:tcW w:w="9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color w:val="auto"/>
                <w:w w:val="76"/>
              </w:rPr>
              <w:t>11</w:t>
            </w:r>
          </w:p>
        </w:tc>
        <w:tc>
          <w:tcPr>
            <w:tcW w:w="216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DWR LPC Charge-Off</w:t>
            </w:r>
          </w:p>
        </w:tc>
        <w:tc>
          <w:tcPr>
            <w:tcW w:w="38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w w:val="94"/>
              </w:rPr>
              <w:t>DWR’s share of late payment charge bad debt (Column 9 value</w:t>
            </w:r>
          </w:p>
        </w:tc>
      </w:tr>
      <w:tr>
        <w:trPr>
          <w:trHeight w:val="165"/>
        </w:trPr>
        <w:tc>
          <w:tcPr>
            <w:tcW w:w="940" w:type="dxa"/>
            <w:vAlign w:val="bottom"/>
            <w:tcBorders>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384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in the Business Month multiplied by Column 10 value in the</w:t>
            </w:r>
          </w:p>
        </w:tc>
      </w:tr>
      <w:tr>
        <w:trPr>
          <w:trHeight w:val="175"/>
        </w:trPr>
        <w:tc>
          <w:tcPr>
            <w:tcW w:w="940" w:type="dxa"/>
            <w:vAlign w:val="bottom"/>
            <w:tcBorders>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spacing w:after="0"/>
              <w:rPr>
                <w:sz w:val="15"/>
                <w:szCs w:val="15"/>
                <w:color w:val="auto"/>
              </w:rPr>
            </w:pPr>
          </w:p>
        </w:tc>
        <w:tc>
          <w:tcPr>
            <w:tcW w:w="3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same Business Month)</w:t>
            </w:r>
          </w:p>
        </w:tc>
      </w:tr>
      <w:tr>
        <w:trPr>
          <w:trHeight w:val="146"/>
        </w:trPr>
        <w:tc>
          <w:tcPr>
            <w:tcW w:w="9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color w:val="auto"/>
                <w:w w:val="89"/>
              </w:rPr>
              <w:t>12</w:t>
            </w:r>
          </w:p>
        </w:tc>
        <w:tc>
          <w:tcPr>
            <w:tcW w:w="216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DWR LPC Collection Cost</w:t>
            </w:r>
          </w:p>
        </w:tc>
        <w:tc>
          <w:tcPr>
            <w:tcW w:w="38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w w:val="94"/>
              </w:rPr>
              <w:t>DWR’s share of collection agency commission for collecting the</w:t>
            </w:r>
          </w:p>
        </w:tc>
      </w:tr>
      <w:tr>
        <w:trPr>
          <w:trHeight w:val="175"/>
        </w:trPr>
        <w:tc>
          <w:tcPr>
            <w:tcW w:w="940" w:type="dxa"/>
            <w:vAlign w:val="bottom"/>
            <w:tcBorders>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spacing w:after="0"/>
              <w:rPr>
                <w:sz w:val="15"/>
                <w:szCs w:val="15"/>
                <w:color w:val="auto"/>
              </w:rPr>
            </w:pPr>
          </w:p>
        </w:tc>
        <w:tc>
          <w:tcPr>
            <w:tcW w:w="3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late payment charge in the Business Month</w:t>
            </w:r>
          </w:p>
        </w:tc>
      </w:tr>
      <w:tr>
        <w:trPr>
          <w:trHeight w:val="146"/>
        </w:trPr>
        <w:tc>
          <w:tcPr>
            <w:tcW w:w="9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color w:val="auto"/>
                <w:w w:val="89"/>
              </w:rPr>
              <w:t>13</w:t>
            </w:r>
          </w:p>
        </w:tc>
        <w:tc>
          <w:tcPr>
            <w:tcW w:w="216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Net DWR LPC Collection</w:t>
            </w:r>
          </w:p>
        </w:tc>
        <w:tc>
          <w:tcPr>
            <w:tcW w:w="38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Net DWR LPC collection in the Business Month (Column 9</w:t>
            </w:r>
          </w:p>
        </w:tc>
      </w:tr>
      <w:tr>
        <w:trPr>
          <w:trHeight w:val="175"/>
        </w:trPr>
        <w:tc>
          <w:tcPr>
            <w:tcW w:w="94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5"/>
              </w:rPr>
              <w:t>value in the Business Month less Column 12 value in the same</w:t>
            </w:r>
          </w:p>
        </w:tc>
      </w:tr>
      <w:tr>
        <w:trPr>
          <w:trHeight w:val="148"/>
        </w:trPr>
        <w:tc>
          <w:tcPr>
            <w:tcW w:w="94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3840" w:type="dxa"/>
            <w:vAlign w:val="bottom"/>
            <w:tcBorders>
              <w:right w:val="single" w:sz="8" w:color="auto"/>
            </w:tcBorders>
          </w:tcPr>
          <w:p>
            <w:pPr>
              <w:spacing w:after="0"/>
              <w:rPr>
                <w:sz w:val="12"/>
                <w:szCs w:val="12"/>
                <w:color w:val="auto"/>
              </w:rPr>
            </w:pPr>
          </w:p>
        </w:tc>
      </w:tr>
    </w:tbl>
    <w:p>
      <w:pPr>
        <w:sectPr>
          <w:pgSz w:w="11900" w:h="16900" w:orient="portrait"/>
          <w:cols w:equalWidth="0" w:num="1">
            <w:col w:w="11377"/>
          </w:cols>
          <w:pgMar w:left="223" w:top="133" w:right="299" w:bottom="0" w:gutter="0" w:footer="0" w:header="0"/>
        </w:sectPr>
      </w:pPr>
    </w:p>
    <w:bookmarkStart w:id="141" w:name="page142"/>
    <w:bookmarkEnd w:id="141"/>
    <w:p>
      <w:pPr>
        <w:spacing w:after="0" w:line="62" w:lineRule="exact"/>
        <w:rPr>
          <w:sz w:val="20"/>
          <w:szCs w:val="20"/>
          <w:color w:val="auto"/>
        </w:rPr>
      </w:pPr>
    </w:p>
    <w:tbl>
      <w:tblPr>
        <w:tblLayout w:type="fixed"/>
        <w:tblInd w:w="2287" w:type="dxa"/>
        <w:tblCellMar>
          <w:top w:w="0" w:type="dxa"/>
          <w:left w:w="0" w:type="dxa"/>
          <w:bottom w:w="0" w:type="dxa"/>
          <w:right w:w="0" w:type="dxa"/>
        </w:tblCellMar>
      </w:tblPr>
      <w:tr>
        <w:trPr>
          <w:trHeight w:val="161"/>
        </w:trPr>
        <w:tc>
          <w:tcPr>
            <w:tcW w:w="94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3"/>
              </w:rPr>
              <w:t>Business Month and less Column 11 value six Business Months</w:t>
            </w: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spacing w:after="0"/>
              <w:rPr>
                <w:sz w:val="15"/>
                <w:szCs w:val="15"/>
                <w:color w:val="auto"/>
              </w:rPr>
            </w:pPr>
          </w:p>
        </w:tc>
        <w:tc>
          <w:tcPr>
            <w:tcW w:w="3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ago)</w:t>
            </w:r>
          </w:p>
        </w:tc>
      </w:tr>
      <w:tr>
        <w:trPr>
          <w:trHeight w:val="146"/>
        </w:trPr>
        <w:tc>
          <w:tcPr>
            <w:tcW w:w="940" w:type="dxa"/>
            <w:vAlign w:val="bottom"/>
            <w:tcBorders>
              <w:left w:val="single" w:sz="8" w:color="auto"/>
              <w:right w:val="single" w:sz="8" w:color="auto"/>
            </w:tcBorders>
          </w:tcPr>
          <w:p>
            <w:pPr>
              <w:jc w:val="right"/>
              <w:ind w:right="351"/>
              <w:spacing w:after="0" w:line="146" w:lineRule="exact"/>
              <w:rPr>
                <w:sz w:val="20"/>
                <w:szCs w:val="20"/>
                <w:color w:val="auto"/>
              </w:rPr>
            </w:pPr>
            <w:r>
              <w:rPr>
                <w:rFonts w:ascii="Arial" w:cs="Arial" w:eastAsia="Arial" w:hAnsi="Arial"/>
                <w:sz w:val="14"/>
                <w:szCs w:val="14"/>
                <w:color w:val="auto"/>
              </w:rPr>
              <w:t>14</w:t>
            </w:r>
          </w:p>
        </w:tc>
        <w:tc>
          <w:tcPr>
            <w:tcW w:w="216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DWR LPC Collection –</w:t>
            </w:r>
          </w:p>
        </w:tc>
        <w:tc>
          <w:tcPr>
            <w:tcW w:w="38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w w:val="99"/>
              </w:rPr>
              <w:t>Net DWR LPC collection in the Business Month attributed to</w:t>
            </w:r>
          </w:p>
        </w:tc>
      </w:tr>
      <w:tr>
        <w:trPr>
          <w:trHeight w:val="165"/>
        </w:trPr>
        <w:tc>
          <w:tcPr>
            <w:tcW w:w="94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Commodity</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3"/>
              </w:rPr>
              <w:t>Power Charge billed to Bundled Customers (Column 13 value in</w:t>
            </w:r>
          </w:p>
        </w:tc>
      </w:tr>
      <w:tr>
        <w:trPr>
          <w:trHeight w:val="165"/>
        </w:trPr>
        <w:tc>
          <w:tcPr>
            <w:tcW w:w="94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the Business Month multiplied by the ratio of the Column 3</w:t>
            </w:r>
          </w:p>
        </w:tc>
      </w:tr>
      <w:tr>
        <w:trPr>
          <w:trHeight w:val="165"/>
        </w:trPr>
        <w:tc>
          <w:tcPr>
            <w:tcW w:w="94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value two Business Months ago to the Column 6 value two</w:t>
            </w: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spacing w:after="0"/>
              <w:rPr>
                <w:sz w:val="15"/>
                <w:szCs w:val="15"/>
                <w:color w:val="auto"/>
              </w:rPr>
            </w:pPr>
          </w:p>
        </w:tc>
        <w:tc>
          <w:tcPr>
            <w:tcW w:w="3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Business Months ago)</w:t>
            </w:r>
          </w:p>
        </w:tc>
      </w:tr>
      <w:tr>
        <w:trPr>
          <w:trHeight w:val="146"/>
        </w:trPr>
        <w:tc>
          <w:tcPr>
            <w:tcW w:w="940" w:type="dxa"/>
            <w:vAlign w:val="bottom"/>
            <w:tcBorders>
              <w:left w:val="single" w:sz="8" w:color="auto"/>
              <w:right w:val="single" w:sz="8" w:color="auto"/>
            </w:tcBorders>
          </w:tcPr>
          <w:p>
            <w:pPr>
              <w:jc w:val="right"/>
              <w:ind w:right="351"/>
              <w:spacing w:after="0" w:line="146" w:lineRule="exact"/>
              <w:rPr>
                <w:sz w:val="20"/>
                <w:szCs w:val="20"/>
                <w:color w:val="auto"/>
              </w:rPr>
            </w:pPr>
            <w:r>
              <w:rPr>
                <w:rFonts w:ascii="Arial" w:cs="Arial" w:eastAsia="Arial" w:hAnsi="Arial"/>
                <w:sz w:val="14"/>
                <w:szCs w:val="14"/>
                <w:color w:val="auto"/>
              </w:rPr>
              <w:t>15</w:t>
            </w:r>
          </w:p>
        </w:tc>
        <w:tc>
          <w:tcPr>
            <w:tcW w:w="216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DWR LPC Collection – Bond</w:t>
            </w:r>
          </w:p>
        </w:tc>
        <w:tc>
          <w:tcPr>
            <w:tcW w:w="38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w w:val="99"/>
              </w:rPr>
              <w:t>Net DWR LPC collection in the Business Month attributed to</w:t>
            </w:r>
          </w:p>
        </w:tc>
      </w:tr>
      <w:tr>
        <w:trPr>
          <w:trHeight w:val="165"/>
        </w:trPr>
        <w:tc>
          <w:tcPr>
            <w:tcW w:w="94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Bond Charge billed to all Customer Types (Column 13</w:t>
            </w:r>
          </w:p>
        </w:tc>
      </w:tr>
      <w:tr>
        <w:trPr>
          <w:trHeight w:val="165"/>
        </w:trPr>
        <w:tc>
          <w:tcPr>
            <w:tcW w:w="94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multiplied by the ratio of the Column 4 value two Business</w:t>
            </w: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spacing w:after="0"/>
              <w:rPr>
                <w:sz w:val="15"/>
                <w:szCs w:val="15"/>
                <w:color w:val="auto"/>
              </w:rPr>
            </w:pPr>
          </w:p>
        </w:tc>
        <w:tc>
          <w:tcPr>
            <w:tcW w:w="3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w w:val="97"/>
              </w:rPr>
              <w:t>Months ago to the Column 6 value two Business Months ago)</w:t>
            </w:r>
          </w:p>
        </w:tc>
      </w:tr>
      <w:tr>
        <w:trPr>
          <w:trHeight w:val="146"/>
        </w:trPr>
        <w:tc>
          <w:tcPr>
            <w:tcW w:w="940" w:type="dxa"/>
            <w:vAlign w:val="bottom"/>
            <w:tcBorders>
              <w:left w:val="single" w:sz="8" w:color="auto"/>
              <w:right w:val="single" w:sz="8" w:color="auto"/>
            </w:tcBorders>
          </w:tcPr>
          <w:p>
            <w:pPr>
              <w:jc w:val="right"/>
              <w:ind w:right="351"/>
              <w:spacing w:after="0" w:line="146" w:lineRule="exact"/>
              <w:rPr>
                <w:sz w:val="20"/>
                <w:szCs w:val="20"/>
                <w:color w:val="auto"/>
              </w:rPr>
            </w:pPr>
            <w:r>
              <w:rPr>
                <w:rFonts w:ascii="Arial" w:cs="Arial" w:eastAsia="Arial" w:hAnsi="Arial"/>
                <w:sz w:val="14"/>
                <w:szCs w:val="14"/>
                <w:color w:val="auto"/>
              </w:rPr>
              <w:t>16</w:t>
            </w:r>
          </w:p>
        </w:tc>
        <w:tc>
          <w:tcPr>
            <w:tcW w:w="216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CWR LPC Collection – CRS</w:t>
            </w:r>
          </w:p>
        </w:tc>
        <w:tc>
          <w:tcPr>
            <w:tcW w:w="384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w w:val="93"/>
              </w:rPr>
              <w:t>Net DWR LPC collection in the Business Month attributed to the</w:t>
            </w:r>
          </w:p>
        </w:tc>
      </w:tr>
      <w:tr>
        <w:trPr>
          <w:trHeight w:val="165"/>
        </w:trPr>
        <w:tc>
          <w:tcPr>
            <w:tcW w:w="94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Power</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4"/>
              </w:rPr>
              <w:t>Power Charge component of the Cost Responsibility Surcharge</w:t>
            </w:r>
          </w:p>
        </w:tc>
      </w:tr>
      <w:tr>
        <w:trPr>
          <w:trHeight w:val="165"/>
        </w:trPr>
        <w:tc>
          <w:tcPr>
            <w:tcW w:w="94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6"/>
              </w:rPr>
              <w:t>billed to all Customer Types (Column 13 multiplied by the ratio</w:t>
            </w:r>
          </w:p>
        </w:tc>
      </w:tr>
      <w:tr>
        <w:trPr>
          <w:trHeight w:val="165"/>
        </w:trPr>
        <w:tc>
          <w:tcPr>
            <w:tcW w:w="94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1"/>
              </w:rPr>
              <w:t>of the Column 5 value two Business Months ago to the Column 6</w:t>
            </w: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spacing w:after="0"/>
              <w:rPr>
                <w:sz w:val="15"/>
                <w:szCs w:val="15"/>
                <w:color w:val="auto"/>
              </w:rPr>
            </w:pPr>
          </w:p>
        </w:tc>
        <w:tc>
          <w:tcPr>
            <w:tcW w:w="3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value two Business Months ago)</w:t>
            </w:r>
          </w:p>
        </w:tc>
      </w:tr>
    </w:tbl>
    <w:p>
      <w:pPr>
        <w:spacing w:after="0" w:line="169" w:lineRule="exact"/>
        <w:rPr>
          <w:sz w:val="20"/>
          <w:szCs w:val="20"/>
          <w:color w:val="auto"/>
        </w:rPr>
      </w:pPr>
    </w:p>
    <w:p>
      <w:pPr>
        <w:ind w:left="997"/>
        <w:spacing w:after="0"/>
        <w:rPr>
          <w:sz w:val="20"/>
          <w:szCs w:val="20"/>
          <w:color w:val="auto"/>
        </w:rPr>
      </w:pPr>
      <w:r>
        <w:rPr>
          <w:rFonts w:ascii="Arial" w:cs="Arial" w:eastAsia="Arial" w:hAnsi="Arial"/>
          <w:sz w:val="17"/>
          <w:szCs w:val="17"/>
          <w:i w:val="1"/>
          <w:iCs w:val="1"/>
          <w:color w:val="auto"/>
        </w:rPr>
        <w:t>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7325995" cy="59137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25995" cy="5913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97" w:hanging="497"/>
        <w:spacing w:after="0"/>
        <w:tabs>
          <w:tab w:leader="none" w:pos="497"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Monthly DWR Charge-Off and Recovery Report</w:t>
      </w:r>
    </w:p>
    <w:p>
      <w:pPr>
        <w:spacing w:after="0" w:line="173" w:lineRule="exact"/>
        <w:rPr>
          <w:sz w:val="20"/>
          <w:szCs w:val="20"/>
          <w:color w:val="auto"/>
        </w:rPr>
      </w:pPr>
    </w:p>
    <w:p>
      <w:pPr>
        <w:ind w:left="997" w:hanging="501"/>
        <w:spacing w:after="0"/>
        <w:tabs>
          <w:tab w:leader="none" w:pos="997" w:val="left"/>
        </w:tabs>
        <w:numPr>
          <w:ilvl w:val="0"/>
          <w:numId w:val="1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Naming Convention - </w:t>
      </w:r>
      <w:r>
        <w:rPr>
          <w:rFonts w:ascii="Arial" w:cs="Arial" w:eastAsia="Arial" w:hAnsi="Arial"/>
          <w:sz w:val="17"/>
          <w:szCs w:val="17"/>
          <w:color w:val="auto"/>
        </w:rPr>
        <w:t>The transmittal of this report should use the following naming convention.</w:t>
      </w:r>
    </w:p>
    <w:p>
      <w:pPr>
        <w:spacing w:after="0" w:line="170" w:lineRule="exact"/>
        <w:rPr>
          <w:sz w:val="20"/>
          <w:szCs w:val="20"/>
          <w:color w:val="auto"/>
        </w:rPr>
      </w:pPr>
    </w:p>
    <w:p>
      <w:pPr>
        <w:ind w:left="997" w:right="3500" w:hanging="501"/>
        <w:spacing w:after="0" w:line="485" w:lineRule="auto"/>
        <w:tabs>
          <w:tab w:leader="none" w:pos="749"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xml:space="preserve">The format of the filename: </w:t>
      </w:r>
      <w:r>
        <w:rPr>
          <w:rFonts w:ascii="Arial" w:cs="Arial" w:eastAsia="Arial" w:hAnsi="Arial"/>
          <w:sz w:val="14"/>
          <w:szCs w:val="14"/>
          <w:color w:val="auto"/>
        </w:rPr>
        <w:t>&lt;utility-name&gt; - Monthly</w:t>
      </w:r>
      <w:r>
        <w:rPr>
          <w:rFonts w:ascii="Arial" w:cs="Arial" w:eastAsia="Arial" w:hAnsi="Arial"/>
          <w:sz w:val="16"/>
          <w:szCs w:val="16"/>
          <w:color w:val="auto"/>
        </w:rPr>
        <w:t xml:space="preserve"> DWR Charge-Off and Recovery Report yyyymmvx.xls </w:t>
      </w:r>
      <w:r>
        <w:rPr>
          <w:rFonts w:ascii="Arial" w:cs="Arial" w:eastAsia="Arial" w:hAnsi="Arial"/>
          <w:sz w:val="16"/>
          <w:szCs w:val="16"/>
          <w:i w:val="1"/>
          <w:iCs w:val="1"/>
          <w:color w:val="auto"/>
        </w:rPr>
        <w:t>Example: SDG&amp;E – Monthly DWR Charge-Off and Recovery Report 200909v1.xls</w:t>
      </w:r>
    </w:p>
    <w:p>
      <w:pPr>
        <w:ind w:left="997" w:right="3660" w:hanging="501"/>
        <w:spacing w:after="0" w:line="454" w:lineRule="auto"/>
        <w:tabs>
          <w:tab w:leader="none" w:pos="749"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The subject line of e-mail: </w:t>
      </w:r>
      <w:r>
        <w:rPr>
          <w:rFonts w:ascii="Arial" w:cs="Arial" w:eastAsia="Arial" w:hAnsi="Arial"/>
          <w:sz w:val="15"/>
          <w:szCs w:val="15"/>
          <w:color w:val="auto"/>
        </w:rPr>
        <w:t>&lt;utility-name&gt; -</w:t>
      </w:r>
      <w:r>
        <w:rPr>
          <w:rFonts w:ascii="Arial" w:cs="Arial" w:eastAsia="Arial" w:hAnsi="Arial"/>
          <w:sz w:val="17"/>
          <w:szCs w:val="17"/>
          <w:color w:val="auto"/>
        </w:rPr>
        <w:t xml:space="preserve"> Monthly DWR Charge-Off and Recovery Report for yyyymm </w:t>
      </w:r>
      <w:r>
        <w:rPr>
          <w:rFonts w:ascii="Arial" w:cs="Arial" w:eastAsia="Arial" w:hAnsi="Arial"/>
          <w:sz w:val="17"/>
          <w:szCs w:val="17"/>
          <w:i w:val="1"/>
          <w:iCs w:val="1"/>
          <w:color w:val="auto"/>
        </w:rPr>
        <w:t>Example: SDG&amp;E – Monthly DWR Charge-Off and Recovery Report for 200909</w:t>
      </w:r>
    </w:p>
    <w:tbl>
      <w:tblPr>
        <w:tblLayout w:type="fixed"/>
        <w:tblInd w:w="497" w:type="dxa"/>
        <w:tblCellMar>
          <w:top w:w="0" w:type="dxa"/>
          <w:left w:w="0" w:type="dxa"/>
          <w:bottom w:w="0" w:type="dxa"/>
          <w:right w:w="0" w:type="dxa"/>
        </w:tblCellMar>
      </w:tblPr>
      <w:tr>
        <w:trPr>
          <w:trHeight w:val="232"/>
        </w:trPr>
        <w:tc>
          <w:tcPr>
            <w:tcW w:w="340" w:type="dxa"/>
            <w:vAlign w:val="bottom"/>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ii)</w:t>
            </w:r>
          </w:p>
        </w:tc>
        <w:tc>
          <w:tcPr>
            <w:tcW w:w="10540" w:type="dxa"/>
            <w:vAlign w:val="bottom"/>
            <w:gridSpan w:val="5"/>
          </w:tcPr>
          <w:p>
            <w:pPr>
              <w:ind w:left="160"/>
              <w:spacing w:after="0" w:line="232" w:lineRule="exact"/>
              <w:rPr>
                <w:sz w:val="20"/>
                <w:szCs w:val="20"/>
                <w:color w:val="auto"/>
              </w:rPr>
            </w:pPr>
            <w:r>
              <w:rPr>
                <w:rFonts w:ascii="Arial" w:cs="Arial" w:eastAsia="Arial" w:hAnsi="Arial"/>
                <w:sz w:val="16"/>
                <w:szCs w:val="16"/>
                <w:b w:val="1"/>
                <w:bCs w:val="1"/>
                <w:color w:val="auto"/>
                <w:w w:val="95"/>
              </w:rPr>
              <w:t xml:space="preserve">Required Information and Timeline - </w:t>
            </w:r>
            <w:r>
              <w:rPr>
                <w:rFonts w:ascii="Arial" w:cs="Arial" w:eastAsia="Arial" w:hAnsi="Arial"/>
                <w:sz w:val="16"/>
                <w:szCs w:val="16"/>
                <w:color w:val="auto"/>
                <w:w w:val="95"/>
              </w:rPr>
              <w:t>The Monthly DWR Charge-Off and Recovery Report will be provided to DWR on the 7</w:t>
            </w:r>
            <w:r>
              <w:rPr>
                <w:rFonts w:ascii="Arial" w:cs="Arial" w:eastAsia="Arial" w:hAnsi="Arial"/>
                <w:sz w:val="26"/>
                <w:szCs w:val="26"/>
                <w:color w:val="auto"/>
                <w:w w:val="95"/>
                <w:vertAlign w:val="superscript"/>
              </w:rPr>
              <w:t>th</w:t>
            </w:r>
            <w:r>
              <w:rPr>
                <w:rFonts w:ascii="Arial" w:cs="Arial" w:eastAsia="Arial" w:hAnsi="Arial"/>
                <w:sz w:val="16"/>
                <w:szCs w:val="16"/>
                <w:b w:val="1"/>
                <w:bCs w:val="1"/>
                <w:color w:val="auto"/>
                <w:w w:val="95"/>
              </w:rPr>
              <w:t xml:space="preserve"> </w:t>
            </w:r>
            <w:r>
              <w:rPr>
                <w:rFonts w:ascii="Arial" w:cs="Arial" w:eastAsia="Arial" w:hAnsi="Arial"/>
                <w:sz w:val="16"/>
                <w:szCs w:val="16"/>
                <w:color w:val="auto"/>
                <w:w w:val="95"/>
              </w:rPr>
              <w:t>Utility Business Day after</w:t>
            </w:r>
          </w:p>
        </w:tc>
      </w:tr>
      <w:tr>
        <w:trPr>
          <w:trHeight w:val="209"/>
        </w:trPr>
        <w:tc>
          <w:tcPr>
            <w:tcW w:w="340" w:type="dxa"/>
            <w:vAlign w:val="bottom"/>
          </w:tcPr>
          <w:p>
            <w:pPr>
              <w:spacing w:after="0"/>
              <w:rPr>
                <w:sz w:val="18"/>
                <w:szCs w:val="18"/>
                <w:color w:val="auto"/>
              </w:rPr>
            </w:pPr>
          </w:p>
        </w:tc>
        <w:tc>
          <w:tcPr>
            <w:tcW w:w="10540" w:type="dxa"/>
            <w:vAlign w:val="bottom"/>
            <w:gridSpan w:val="5"/>
          </w:tcPr>
          <w:p>
            <w:pPr>
              <w:ind w:left="160"/>
              <w:spacing w:after="0"/>
              <w:rPr>
                <w:sz w:val="20"/>
                <w:szCs w:val="20"/>
                <w:color w:val="auto"/>
              </w:rPr>
            </w:pPr>
            <w:r>
              <w:rPr>
                <w:rFonts w:ascii="Arial" w:cs="Arial" w:eastAsia="Arial" w:hAnsi="Arial"/>
                <w:sz w:val="17"/>
                <w:szCs w:val="17"/>
                <w:color w:val="auto"/>
                <w:w w:val="96"/>
              </w:rPr>
              <w:t>the end of a month of the term. The table below lists the data items that will be required for the Monthly DWR Charge-Off and Recovery Report.</w:t>
            </w:r>
          </w:p>
        </w:tc>
      </w:tr>
      <w:tr>
        <w:trPr>
          <w:trHeight w:val="220"/>
        </w:trPr>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tcPr>
          <w:p>
            <w:pPr>
              <w:spacing w:after="0"/>
              <w:rPr>
                <w:sz w:val="18"/>
                <w:szCs w:val="18"/>
                <w:color w:val="auto"/>
              </w:rPr>
            </w:pPr>
          </w:p>
        </w:tc>
        <w:tc>
          <w:tcPr>
            <w:tcW w:w="2260" w:type="dxa"/>
            <w:vAlign w:val="bottom"/>
          </w:tcPr>
          <w:p>
            <w:pPr>
              <w:spacing w:after="0"/>
              <w:rPr>
                <w:sz w:val="18"/>
                <w:szCs w:val="18"/>
                <w:color w:val="auto"/>
              </w:rPr>
            </w:pPr>
          </w:p>
        </w:tc>
      </w:tr>
      <w:tr>
        <w:trPr>
          <w:trHeight w:val="156"/>
        </w:trPr>
        <w:tc>
          <w:tcPr>
            <w:tcW w:w="340" w:type="dxa"/>
            <w:vAlign w:val="bottom"/>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880" w:type="dxa"/>
            <w:vAlign w:val="bottom"/>
            <w:tcBorders>
              <w:top w:val="single" w:sz="8" w:color="auto"/>
              <w:bottom w:val="single" w:sz="8" w:color="auto"/>
              <w:right w:val="single" w:sz="8" w:color="auto"/>
            </w:tcBorders>
            <w:shd w:val="clear" w:color="auto" w:fill="C0C0C0"/>
          </w:tcPr>
          <w:p>
            <w:pPr>
              <w:jc w:val="center"/>
              <w:spacing w:after="0" w:line="136" w:lineRule="exact"/>
              <w:rPr>
                <w:sz w:val="20"/>
                <w:szCs w:val="20"/>
                <w:color w:val="auto"/>
              </w:rPr>
            </w:pPr>
            <w:r>
              <w:rPr>
                <w:rFonts w:ascii="Arial" w:cs="Arial" w:eastAsia="Arial" w:hAnsi="Arial"/>
                <w:sz w:val="14"/>
                <w:szCs w:val="14"/>
                <w:b w:val="1"/>
                <w:bCs w:val="1"/>
                <w:color w:val="auto"/>
                <w:w w:val="93"/>
              </w:rPr>
              <w:t>Item #</w:t>
            </w:r>
          </w:p>
        </w:tc>
        <w:tc>
          <w:tcPr>
            <w:tcW w:w="2160" w:type="dxa"/>
            <w:vAlign w:val="bottom"/>
            <w:tcBorders>
              <w:top w:val="single" w:sz="8" w:color="C0C0C0"/>
              <w:bottom w:val="single" w:sz="8" w:color="auto"/>
              <w:right w:val="single" w:sz="8" w:color="auto"/>
            </w:tcBorders>
            <w:shd w:val="clear" w:color="auto" w:fill="C0C0C0"/>
          </w:tcPr>
          <w:p>
            <w:pPr>
              <w:ind w:left="940"/>
              <w:spacing w:after="0" w:line="136" w:lineRule="exact"/>
              <w:rPr>
                <w:sz w:val="20"/>
                <w:szCs w:val="20"/>
                <w:color w:val="auto"/>
              </w:rPr>
            </w:pPr>
            <w:r>
              <w:rPr>
                <w:rFonts w:ascii="Arial" w:cs="Arial" w:eastAsia="Arial" w:hAnsi="Arial"/>
                <w:sz w:val="14"/>
                <w:szCs w:val="14"/>
                <w:b w:val="1"/>
                <w:bCs w:val="1"/>
                <w:color w:val="auto"/>
              </w:rPr>
              <w:t>Item</w:t>
            </w:r>
          </w:p>
        </w:tc>
        <w:tc>
          <w:tcPr>
            <w:tcW w:w="3660" w:type="dxa"/>
            <w:vAlign w:val="bottom"/>
            <w:tcBorders>
              <w:top w:val="single" w:sz="8" w:color="C0C0C0"/>
              <w:bottom w:val="single" w:sz="8" w:color="auto"/>
              <w:right w:val="single" w:sz="8" w:color="auto"/>
            </w:tcBorders>
            <w:shd w:val="clear" w:color="auto" w:fill="C0C0C0"/>
          </w:tcPr>
          <w:p>
            <w:pPr>
              <w:ind w:left="1480"/>
              <w:spacing w:after="0" w:line="136" w:lineRule="exact"/>
              <w:rPr>
                <w:sz w:val="20"/>
                <w:szCs w:val="20"/>
                <w:color w:val="auto"/>
              </w:rPr>
            </w:pPr>
            <w:r>
              <w:rPr>
                <w:rFonts w:ascii="Arial" w:cs="Arial" w:eastAsia="Arial" w:hAnsi="Arial"/>
                <w:sz w:val="14"/>
                <w:szCs w:val="14"/>
                <w:b w:val="1"/>
                <w:bCs w:val="1"/>
                <w:color w:val="auto"/>
              </w:rPr>
              <w:t>Description</w:t>
            </w:r>
          </w:p>
        </w:tc>
        <w:tc>
          <w:tcPr>
            <w:tcW w:w="2260" w:type="dxa"/>
            <w:vAlign w:val="bottom"/>
          </w:tcPr>
          <w:p>
            <w:pPr>
              <w:spacing w:after="0"/>
              <w:rPr>
                <w:sz w:val="13"/>
                <w:szCs w:val="13"/>
                <w:color w:val="auto"/>
              </w:rPr>
            </w:pPr>
          </w:p>
        </w:tc>
      </w:tr>
      <w:tr>
        <w:trPr>
          <w:trHeight w:val="141"/>
        </w:trPr>
        <w:tc>
          <w:tcPr>
            <w:tcW w:w="34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76"/>
              </w:rPr>
              <w:t>1</w:t>
            </w:r>
          </w:p>
        </w:tc>
        <w:tc>
          <w:tcPr>
            <w:tcW w:w="216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4"/>
                <w:szCs w:val="14"/>
                <w:color w:val="auto"/>
              </w:rPr>
              <w:t>Process Date</w:t>
            </w:r>
          </w:p>
        </w:tc>
        <w:tc>
          <w:tcPr>
            <w:tcW w:w="3660" w:type="dxa"/>
            <w:vAlign w:val="bottom"/>
            <w:tcBorders>
              <w:bottom w:val="single" w:sz="8" w:color="auto"/>
              <w:right w:val="single" w:sz="8" w:color="auto"/>
            </w:tcBorders>
          </w:tcPr>
          <w:p>
            <w:pPr>
              <w:ind w:left="100"/>
              <w:spacing w:after="0" w:line="141" w:lineRule="exact"/>
              <w:rPr>
                <w:sz w:val="20"/>
                <w:szCs w:val="20"/>
                <w:color w:val="auto"/>
              </w:rPr>
            </w:pPr>
            <w:r>
              <w:rPr>
                <w:rFonts w:ascii="Arial" w:cs="Arial" w:eastAsia="Arial" w:hAnsi="Arial"/>
                <w:sz w:val="14"/>
                <w:szCs w:val="14"/>
                <w:color w:val="auto"/>
              </w:rPr>
              <w:t>Date the report is created</w:t>
            </w:r>
          </w:p>
        </w:tc>
        <w:tc>
          <w:tcPr>
            <w:tcW w:w="2260" w:type="dxa"/>
            <w:vAlign w:val="bottom"/>
          </w:tcPr>
          <w:p>
            <w:pPr>
              <w:spacing w:after="0"/>
              <w:rPr>
                <w:sz w:val="12"/>
                <w:szCs w:val="12"/>
                <w:color w:val="auto"/>
              </w:rPr>
            </w:pPr>
          </w:p>
        </w:tc>
      </w:tr>
      <w:tr>
        <w:trPr>
          <w:trHeight w:val="156"/>
        </w:trPr>
        <w:tc>
          <w:tcPr>
            <w:tcW w:w="340" w:type="dxa"/>
            <w:vAlign w:val="bottom"/>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76"/>
              </w:rPr>
              <w:t>2</w:t>
            </w:r>
          </w:p>
        </w:tc>
        <w:tc>
          <w:tcPr>
            <w:tcW w:w="216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Report Run Date</w:t>
            </w:r>
          </w:p>
        </w:tc>
        <w:tc>
          <w:tcPr>
            <w:tcW w:w="3660" w:type="dxa"/>
            <w:vAlign w:val="bottom"/>
            <w:tcBorders>
              <w:bottom w:val="single" w:sz="8" w:color="auto"/>
              <w:right w:val="single" w:sz="8" w:color="auto"/>
            </w:tcBorders>
          </w:tcPr>
          <w:p>
            <w:pPr>
              <w:ind w:left="100"/>
              <w:spacing w:after="0" w:line="156" w:lineRule="exact"/>
              <w:rPr>
                <w:sz w:val="20"/>
                <w:szCs w:val="20"/>
                <w:color w:val="auto"/>
              </w:rPr>
            </w:pPr>
            <w:r>
              <w:rPr>
                <w:rFonts w:ascii="Arial" w:cs="Arial" w:eastAsia="Arial" w:hAnsi="Arial"/>
                <w:sz w:val="14"/>
                <w:szCs w:val="14"/>
                <w:color w:val="auto"/>
              </w:rPr>
              <w:t>Date the report is printed</w:t>
            </w:r>
          </w:p>
        </w:tc>
        <w:tc>
          <w:tcPr>
            <w:tcW w:w="2260" w:type="dxa"/>
            <w:vAlign w:val="bottom"/>
          </w:tcPr>
          <w:p>
            <w:pPr>
              <w:spacing w:after="0"/>
              <w:rPr>
                <w:sz w:val="13"/>
                <w:szCs w:val="13"/>
                <w:color w:val="auto"/>
              </w:rPr>
            </w:pPr>
          </w:p>
        </w:tc>
      </w:tr>
      <w:tr>
        <w:trPr>
          <w:trHeight w:val="165"/>
        </w:trPr>
        <w:tc>
          <w:tcPr>
            <w:tcW w:w="340" w:type="dxa"/>
            <w:vAlign w:val="bottom"/>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76"/>
              </w:rPr>
              <w:t>3</w:t>
            </w:r>
          </w:p>
        </w:tc>
        <w:tc>
          <w:tcPr>
            <w:tcW w:w="21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DWR Charge Off Information -</w:t>
            </w:r>
          </w:p>
        </w:tc>
        <w:tc>
          <w:tcPr>
            <w:tcW w:w="36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Bad debt charge-off for DWR Power Charge to Bundled</w:t>
            </w:r>
          </w:p>
        </w:tc>
        <w:tc>
          <w:tcPr>
            <w:tcW w:w="2260" w:type="dxa"/>
            <w:vAlign w:val="bottom"/>
          </w:tcPr>
          <w:p>
            <w:pPr>
              <w:spacing w:after="0"/>
              <w:rPr>
                <w:sz w:val="14"/>
                <w:szCs w:val="14"/>
                <w:color w:val="auto"/>
              </w:rPr>
            </w:pPr>
          </w:p>
        </w:tc>
      </w:tr>
      <w:tr>
        <w:trPr>
          <w:trHeight w:val="85"/>
        </w:trPr>
        <w:tc>
          <w:tcPr>
            <w:tcW w:w="340" w:type="dxa"/>
            <w:vAlign w:val="bottom"/>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2160" w:type="dxa"/>
            <w:vAlign w:val="bottom"/>
            <w:tcBorders>
              <w:right w:val="single" w:sz="8" w:color="auto"/>
            </w:tcBorders>
          </w:tcPr>
          <w:p>
            <w:pPr>
              <w:spacing w:after="0"/>
              <w:rPr>
                <w:sz w:val="7"/>
                <w:szCs w:val="7"/>
                <w:color w:val="auto"/>
              </w:rPr>
            </w:pPr>
          </w:p>
        </w:tc>
        <w:tc>
          <w:tcPr>
            <w:tcW w:w="3660" w:type="dxa"/>
            <w:vAlign w:val="bottom"/>
            <w:tcBorders>
              <w:right w:val="single" w:sz="8" w:color="auto"/>
            </w:tcBorders>
          </w:tcPr>
          <w:p>
            <w:pPr>
              <w:spacing w:after="0"/>
              <w:rPr>
                <w:sz w:val="7"/>
                <w:szCs w:val="7"/>
                <w:color w:val="auto"/>
              </w:rPr>
            </w:pPr>
          </w:p>
        </w:tc>
        <w:tc>
          <w:tcPr>
            <w:tcW w:w="2260" w:type="dxa"/>
            <w:vAlign w:val="bottom"/>
          </w:tcPr>
          <w:p>
            <w:pPr>
              <w:spacing w:after="0"/>
              <w:rPr>
                <w:sz w:val="7"/>
                <w:szCs w:val="7"/>
                <w:color w:val="auto"/>
              </w:rPr>
            </w:pPr>
          </w:p>
        </w:tc>
      </w:tr>
    </w:tbl>
    <w:p>
      <w:pPr>
        <w:sectPr>
          <w:pgSz w:w="11900" w:h="16900" w:orient="portrait"/>
          <w:cols w:equalWidth="0" w:num="1">
            <w:col w:w="11377"/>
          </w:cols>
          <w:pgMar w:left="223" w:top="133" w:right="299" w:bottom="0" w:gutter="0" w:footer="0" w:header="0"/>
        </w:sectPr>
      </w:pPr>
    </w:p>
    <w:bookmarkStart w:id="142" w:name="page143"/>
    <w:bookmarkEnd w:id="142"/>
    <w:p>
      <w:pPr>
        <w:spacing w:after="0" w:line="1" w:lineRule="exact"/>
        <w:rPr>
          <w:sz w:val="20"/>
          <w:szCs w:val="20"/>
          <w:color w:val="auto"/>
        </w:rPr>
      </w:pPr>
    </w:p>
    <w:tbl>
      <w:tblPr>
        <w:tblLayout w:type="fixed"/>
        <w:tblInd w:w="2370" w:type="dxa"/>
        <w:tblCellMar>
          <w:top w:w="0" w:type="dxa"/>
          <w:left w:w="0" w:type="dxa"/>
          <w:bottom w:w="0" w:type="dxa"/>
          <w:right w:w="0" w:type="dxa"/>
        </w:tblCellMar>
      </w:tblPr>
      <w:tr>
        <w:trPr>
          <w:trHeight w:val="161"/>
        </w:trPr>
        <w:tc>
          <w:tcPr>
            <w:tcW w:w="94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Residential</w:t>
            </w:r>
          </w:p>
        </w:tc>
        <w:tc>
          <w:tcPr>
            <w:tcW w:w="36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5"/>
              </w:rPr>
              <w:t>Customer, DWR Bond Charge or DWR CRS Power Charge</w:t>
            </w: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spacing w:after="0"/>
              <w:rPr>
                <w:sz w:val="15"/>
                <w:szCs w:val="15"/>
                <w:color w:val="auto"/>
              </w:rPr>
            </w:pPr>
          </w:p>
        </w:tc>
        <w:tc>
          <w:tcPr>
            <w:tcW w:w="3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on residential customers</w:t>
            </w:r>
          </w:p>
        </w:tc>
      </w:tr>
      <w:tr>
        <w:trPr>
          <w:trHeight w:val="146"/>
        </w:trPr>
        <w:tc>
          <w:tcPr>
            <w:tcW w:w="940" w:type="dxa"/>
            <w:vAlign w:val="bottom"/>
            <w:tcBorders>
              <w:left w:val="single" w:sz="8" w:color="auto"/>
              <w:right w:val="single" w:sz="8" w:color="auto"/>
            </w:tcBorders>
          </w:tcPr>
          <w:p>
            <w:pPr>
              <w:jc w:val="center"/>
              <w:spacing w:after="0" w:line="146" w:lineRule="exact"/>
              <w:rPr>
                <w:sz w:val="20"/>
                <w:szCs w:val="20"/>
                <w:color w:val="auto"/>
              </w:rPr>
            </w:pPr>
            <w:r>
              <w:rPr>
                <w:rFonts w:ascii="Arial" w:cs="Arial" w:eastAsia="Arial" w:hAnsi="Arial"/>
                <w:sz w:val="14"/>
                <w:szCs w:val="14"/>
                <w:color w:val="auto"/>
                <w:w w:val="76"/>
              </w:rPr>
              <w:t>4</w:t>
            </w:r>
          </w:p>
        </w:tc>
        <w:tc>
          <w:tcPr>
            <w:tcW w:w="216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DWR Charge Off Information –</w:t>
            </w:r>
          </w:p>
        </w:tc>
        <w:tc>
          <w:tcPr>
            <w:tcW w:w="366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Bad debt charge-off for DWR Power Charge to Bundled</w:t>
            </w:r>
          </w:p>
        </w:tc>
      </w:tr>
      <w:tr>
        <w:trPr>
          <w:trHeight w:val="165"/>
        </w:trPr>
        <w:tc>
          <w:tcPr>
            <w:tcW w:w="94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Commercial &amp; Industrial</w:t>
            </w:r>
          </w:p>
        </w:tc>
        <w:tc>
          <w:tcPr>
            <w:tcW w:w="36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3"/>
              </w:rPr>
              <w:t>Customers, DWR Bond Charge or DWR CRS Power Charge</w:t>
            </w: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spacing w:after="0"/>
              <w:rPr>
                <w:sz w:val="15"/>
                <w:szCs w:val="15"/>
                <w:color w:val="auto"/>
              </w:rPr>
            </w:pPr>
          </w:p>
        </w:tc>
        <w:tc>
          <w:tcPr>
            <w:tcW w:w="3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on commercial and industrial customers</w:t>
            </w:r>
          </w:p>
        </w:tc>
      </w:tr>
      <w:tr>
        <w:trPr>
          <w:trHeight w:val="146"/>
        </w:trPr>
        <w:tc>
          <w:tcPr>
            <w:tcW w:w="940" w:type="dxa"/>
            <w:vAlign w:val="bottom"/>
            <w:tcBorders>
              <w:left w:val="single" w:sz="8" w:color="auto"/>
              <w:right w:val="single" w:sz="8" w:color="auto"/>
            </w:tcBorders>
          </w:tcPr>
          <w:p>
            <w:pPr>
              <w:jc w:val="center"/>
              <w:spacing w:after="0" w:line="146" w:lineRule="exact"/>
              <w:rPr>
                <w:sz w:val="20"/>
                <w:szCs w:val="20"/>
                <w:color w:val="auto"/>
              </w:rPr>
            </w:pPr>
            <w:r>
              <w:rPr>
                <w:rFonts w:ascii="Arial" w:cs="Arial" w:eastAsia="Arial" w:hAnsi="Arial"/>
                <w:sz w:val="14"/>
                <w:szCs w:val="14"/>
                <w:color w:val="auto"/>
                <w:w w:val="76"/>
              </w:rPr>
              <w:t>5</w:t>
            </w:r>
          </w:p>
        </w:tc>
        <w:tc>
          <w:tcPr>
            <w:tcW w:w="216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DWR Charge Off Information –</w:t>
            </w:r>
          </w:p>
        </w:tc>
        <w:tc>
          <w:tcPr>
            <w:tcW w:w="366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Sum of Items 3 and 4</w:t>
            </w: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Total Charge Off</w:t>
            </w:r>
          </w:p>
        </w:tc>
        <w:tc>
          <w:tcPr>
            <w:tcW w:w="3660" w:type="dxa"/>
            <w:vAlign w:val="bottom"/>
            <w:tcBorders>
              <w:bottom w:val="single" w:sz="8" w:color="auto"/>
              <w:right w:val="single" w:sz="8" w:color="auto"/>
            </w:tcBorders>
          </w:tcPr>
          <w:p>
            <w:pPr>
              <w:spacing w:after="0"/>
              <w:rPr>
                <w:sz w:val="15"/>
                <w:szCs w:val="15"/>
                <w:color w:val="auto"/>
              </w:rPr>
            </w:pPr>
          </w:p>
        </w:tc>
      </w:tr>
      <w:tr>
        <w:trPr>
          <w:trHeight w:val="146"/>
        </w:trPr>
        <w:tc>
          <w:tcPr>
            <w:tcW w:w="940" w:type="dxa"/>
            <w:vAlign w:val="bottom"/>
            <w:tcBorders>
              <w:left w:val="single" w:sz="8" w:color="auto"/>
              <w:right w:val="single" w:sz="8" w:color="auto"/>
            </w:tcBorders>
          </w:tcPr>
          <w:p>
            <w:pPr>
              <w:jc w:val="center"/>
              <w:spacing w:after="0" w:line="146" w:lineRule="exact"/>
              <w:rPr>
                <w:sz w:val="20"/>
                <w:szCs w:val="20"/>
                <w:color w:val="auto"/>
              </w:rPr>
            </w:pPr>
            <w:r>
              <w:rPr>
                <w:rFonts w:ascii="Arial" w:cs="Arial" w:eastAsia="Arial" w:hAnsi="Arial"/>
                <w:sz w:val="14"/>
                <w:szCs w:val="14"/>
                <w:color w:val="auto"/>
                <w:w w:val="76"/>
              </w:rPr>
              <w:t>6</w:t>
            </w:r>
          </w:p>
        </w:tc>
        <w:tc>
          <w:tcPr>
            <w:tcW w:w="216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Recovery Through Agency –</w:t>
            </w:r>
          </w:p>
        </w:tc>
        <w:tc>
          <w:tcPr>
            <w:tcW w:w="366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w w:val="93"/>
              </w:rPr>
              <w:t>Amount of bad debt recovered from residential customers by</w:t>
            </w:r>
          </w:p>
        </w:tc>
      </w:tr>
      <w:tr>
        <w:trPr>
          <w:trHeight w:val="165"/>
        </w:trPr>
        <w:tc>
          <w:tcPr>
            <w:tcW w:w="94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Residential Bad Debt</w:t>
            </w:r>
          </w:p>
        </w:tc>
        <w:tc>
          <w:tcPr>
            <w:tcW w:w="36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collection agencies for DWR Power Charge to Bundled</w:t>
            </w: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spacing w:after="0"/>
              <w:rPr>
                <w:sz w:val="15"/>
                <w:szCs w:val="15"/>
                <w:color w:val="auto"/>
              </w:rPr>
            </w:pPr>
          </w:p>
        </w:tc>
        <w:tc>
          <w:tcPr>
            <w:tcW w:w="3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w w:val="95"/>
              </w:rPr>
              <w:t>Customer, DWR Bond Charge or DWR CRS Power Charge</w:t>
            </w:r>
          </w:p>
        </w:tc>
      </w:tr>
      <w:tr>
        <w:trPr>
          <w:trHeight w:val="146"/>
        </w:trPr>
        <w:tc>
          <w:tcPr>
            <w:tcW w:w="940" w:type="dxa"/>
            <w:vAlign w:val="bottom"/>
            <w:tcBorders>
              <w:left w:val="single" w:sz="8" w:color="auto"/>
              <w:right w:val="single" w:sz="8" w:color="auto"/>
            </w:tcBorders>
          </w:tcPr>
          <w:p>
            <w:pPr>
              <w:jc w:val="center"/>
              <w:spacing w:after="0" w:line="146" w:lineRule="exact"/>
              <w:rPr>
                <w:sz w:val="20"/>
                <w:szCs w:val="20"/>
                <w:color w:val="auto"/>
              </w:rPr>
            </w:pPr>
            <w:r>
              <w:rPr>
                <w:rFonts w:ascii="Arial" w:cs="Arial" w:eastAsia="Arial" w:hAnsi="Arial"/>
                <w:sz w:val="14"/>
                <w:szCs w:val="14"/>
                <w:color w:val="auto"/>
                <w:w w:val="76"/>
              </w:rPr>
              <w:t>7</w:t>
            </w:r>
          </w:p>
        </w:tc>
        <w:tc>
          <w:tcPr>
            <w:tcW w:w="216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Recovery Through Agency –</w:t>
            </w:r>
          </w:p>
        </w:tc>
        <w:tc>
          <w:tcPr>
            <w:tcW w:w="366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Amount of bad debt recovered from commercial and</w:t>
            </w:r>
          </w:p>
        </w:tc>
      </w:tr>
      <w:tr>
        <w:trPr>
          <w:trHeight w:val="165"/>
        </w:trPr>
        <w:tc>
          <w:tcPr>
            <w:tcW w:w="94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6"/>
              </w:rPr>
              <w:t>Commercial &amp; Industrial Bad Debt</w:t>
            </w:r>
          </w:p>
        </w:tc>
        <w:tc>
          <w:tcPr>
            <w:tcW w:w="36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6"/>
              </w:rPr>
              <w:t>industrial customers by collection agencies for DWR Power</w:t>
            </w:r>
          </w:p>
        </w:tc>
      </w:tr>
      <w:tr>
        <w:trPr>
          <w:trHeight w:val="165"/>
        </w:trPr>
        <w:tc>
          <w:tcPr>
            <w:tcW w:w="94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7"/>
              </w:rPr>
              <w:t>Charge to Bundled Customer, DWR Bond Charge or DWR</w:t>
            </w: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spacing w:after="0"/>
              <w:rPr>
                <w:sz w:val="15"/>
                <w:szCs w:val="15"/>
                <w:color w:val="auto"/>
              </w:rPr>
            </w:pPr>
          </w:p>
        </w:tc>
        <w:tc>
          <w:tcPr>
            <w:tcW w:w="3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CRS Power Charge</w:t>
            </w:r>
          </w:p>
        </w:tc>
      </w:tr>
      <w:tr>
        <w:trPr>
          <w:trHeight w:val="146"/>
        </w:trPr>
        <w:tc>
          <w:tcPr>
            <w:tcW w:w="940" w:type="dxa"/>
            <w:vAlign w:val="bottom"/>
            <w:tcBorders>
              <w:left w:val="single" w:sz="8" w:color="auto"/>
              <w:right w:val="single" w:sz="8" w:color="auto"/>
            </w:tcBorders>
          </w:tcPr>
          <w:p>
            <w:pPr>
              <w:jc w:val="center"/>
              <w:spacing w:after="0" w:line="146" w:lineRule="exact"/>
              <w:rPr>
                <w:sz w:val="20"/>
                <w:szCs w:val="20"/>
                <w:color w:val="auto"/>
              </w:rPr>
            </w:pPr>
            <w:r>
              <w:rPr>
                <w:rFonts w:ascii="Arial" w:cs="Arial" w:eastAsia="Arial" w:hAnsi="Arial"/>
                <w:sz w:val="14"/>
                <w:szCs w:val="14"/>
                <w:color w:val="auto"/>
                <w:w w:val="76"/>
              </w:rPr>
              <w:t>8</w:t>
            </w:r>
          </w:p>
        </w:tc>
        <w:tc>
          <w:tcPr>
            <w:tcW w:w="216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Total Bad Debt Recovery Thru</w:t>
            </w:r>
          </w:p>
        </w:tc>
        <w:tc>
          <w:tcPr>
            <w:tcW w:w="366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Sum of Items 6 and 7</w:t>
            </w: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Agency</w:t>
            </w:r>
          </w:p>
        </w:tc>
        <w:tc>
          <w:tcPr>
            <w:tcW w:w="3660" w:type="dxa"/>
            <w:vAlign w:val="bottom"/>
            <w:tcBorders>
              <w:bottom w:val="single" w:sz="8" w:color="auto"/>
              <w:right w:val="single" w:sz="8" w:color="auto"/>
            </w:tcBorders>
          </w:tcPr>
          <w:p>
            <w:pPr>
              <w:spacing w:after="0"/>
              <w:rPr>
                <w:sz w:val="15"/>
                <w:szCs w:val="15"/>
                <w:color w:val="auto"/>
              </w:rPr>
            </w:pPr>
          </w:p>
        </w:tc>
      </w:tr>
      <w:tr>
        <w:trPr>
          <w:trHeight w:val="146"/>
        </w:trPr>
        <w:tc>
          <w:tcPr>
            <w:tcW w:w="940" w:type="dxa"/>
            <w:vAlign w:val="bottom"/>
            <w:tcBorders>
              <w:left w:val="single" w:sz="8" w:color="auto"/>
              <w:right w:val="single" w:sz="8" w:color="auto"/>
            </w:tcBorders>
          </w:tcPr>
          <w:p>
            <w:pPr>
              <w:jc w:val="center"/>
              <w:spacing w:after="0" w:line="146" w:lineRule="exact"/>
              <w:rPr>
                <w:sz w:val="20"/>
                <w:szCs w:val="20"/>
                <w:color w:val="auto"/>
              </w:rPr>
            </w:pPr>
            <w:r>
              <w:rPr>
                <w:rFonts w:ascii="Arial" w:cs="Arial" w:eastAsia="Arial" w:hAnsi="Arial"/>
                <w:sz w:val="14"/>
                <w:szCs w:val="14"/>
                <w:color w:val="auto"/>
                <w:w w:val="76"/>
              </w:rPr>
              <w:t>9</w:t>
            </w:r>
          </w:p>
        </w:tc>
        <w:tc>
          <w:tcPr>
            <w:tcW w:w="216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Recovery Non-Agency –</w:t>
            </w:r>
          </w:p>
        </w:tc>
        <w:tc>
          <w:tcPr>
            <w:tcW w:w="366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w w:val="93"/>
              </w:rPr>
              <w:t>Amount of bad debt recovered from residential customers by</w:t>
            </w:r>
          </w:p>
        </w:tc>
      </w:tr>
      <w:tr>
        <w:trPr>
          <w:trHeight w:val="165"/>
        </w:trPr>
        <w:tc>
          <w:tcPr>
            <w:tcW w:w="94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Residential Bad Debt</w:t>
            </w:r>
          </w:p>
        </w:tc>
        <w:tc>
          <w:tcPr>
            <w:tcW w:w="36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3"/>
              </w:rPr>
              <w:t>SDG&amp;E for DWR Power Charge to Bundled Customer, DWR</w:t>
            </w: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spacing w:after="0"/>
              <w:rPr>
                <w:sz w:val="15"/>
                <w:szCs w:val="15"/>
                <w:color w:val="auto"/>
              </w:rPr>
            </w:pPr>
          </w:p>
        </w:tc>
        <w:tc>
          <w:tcPr>
            <w:tcW w:w="3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Bond Charge or DWR CRS Power Charge</w:t>
            </w:r>
          </w:p>
        </w:tc>
      </w:tr>
      <w:tr>
        <w:trPr>
          <w:trHeight w:val="146"/>
        </w:trPr>
        <w:tc>
          <w:tcPr>
            <w:tcW w:w="940" w:type="dxa"/>
            <w:vAlign w:val="bottom"/>
            <w:tcBorders>
              <w:left w:val="single" w:sz="8" w:color="auto"/>
              <w:right w:val="single" w:sz="8" w:color="auto"/>
            </w:tcBorders>
          </w:tcPr>
          <w:p>
            <w:pPr>
              <w:jc w:val="center"/>
              <w:spacing w:after="0" w:line="146" w:lineRule="exact"/>
              <w:rPr>
                <w:sz w:val="20"/>
                <w:szCs w:val="20"/>
                <w:color w:val="auto"/>
              </w:rPr>
            </w:pPr>
            <w:r>
              <w:rPr>
                <w:rFonts w:ascii="Arial" w:cs="Arial" w:eastAsia="Arial" w:hAnsi="Arial"/>
                <w:sz w:val="14"/>
                <w:szCs w:val="14"/>
                <w:color w:val="auto"/>
                <w:w w:val="89"/>
              </w:rPr>
              <w:t>10</w:t>
            </w:r>
          </w:p>
        </w:tc>
        <w:tc>
          <w:tcPr>
            <w:tcW w:w="216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Recovery Non-Agency –</w:t>
            </w:r>
          </w:p>
        </w:tc>
        <w:tc>
          <w:tcPr>
            <w:tcW w:w="366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Amount of bad debt recovered from commercial and</w:t>
            </w:r>
          </w:p>
        </w:tc>
      </w:tr>
      <w:tr>
        <w:trPr>
          <w:trHeight w:val="165"/>
        </w:trPr>
        <w:tc>
          <w:tcPr>
            <w:tcW w:w="94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6"/>
              </w:rPr>
              <w:t>Commercial &amp; Industrial Bad Debt</w:t>
            </w:r>
          </w:p>
        </w:tc>
        <w:tc>
          <w:tcPr>
            <w:tcW w:w="36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7"/>
              </w:rPr>
              <w:t>industrial customers by SDG&amp;E for DWR Power Charge to</w:t>
            </w:r>
          </w:p>
        </w:tc>
      </w:tr>
      <w:tr>
        <w:trPr>
          <w:trHeight w:val="165"/>
        </w:trPr>
        <w:tc>
          <w:tcPr>
            <w:tcW w:w="94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4"/>
              </w:rPr>
              <w:t>Bundled Customer, DWR Bond Charge or DWR CRS Power</w:t>
            </w: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spacing w:after="0"/>
              <w:rPr>
                <w:sz w:val="15"/>
                <w:szCs w:val="15"/>
                <w:color w:val="auto"/>
              </w:rPr>
            </w:pPr>
          </w:p>
        </w:tc>
        <w:tc>
          <w:tcPr>
            <w:tcW w:w="3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Charge</w:t>
            </w:r>
          </w:p>
        </w:tc>
      </w:tr>
      <w:tr>
        <w:trPr>
          <w:trHeight w:val="146"/>
        </w:trPr>
        <w:tc>
          <w:tcPr>
            <w:tcW w:w="940" w:type="dxa"/>
            <w:vAlign w:val="bottom"/>
            <w:tcBorders>
              <w:left w:val="single" w:sz="8" w:color="auto"/>
              <w:right w:val="single" w:sz="8" w:color="auto"/>
            </w:tcBorders>
          </w:tcPr>
          <w:p>
            <w:pPr>
              <w:jc w:val="center"/>
              <w:spacing w:after="0" w:line="146" w:lineRule="exact"/>
              <w:rPr>
                <w:sz w:val="20"/>
                <w:szCs w:val="20"/>
                <w:color w:val="auto"/>
              </w:rPr>
            </w:pPr>
            <w:r>
              <w:rPr>
                <w:rFonts w:ascii="Arial" w:cs="Arial" w:eastAsia="Arial" w:hAnsi="Arial"/>
                <w:sz w:val="14"/>
                <w:szCs w:val="14"/>
                <w:color w:val="auto"/>
                <w:w w:val="89"/>
              </w:rPr>
              <w:t>11</w:t>
            </w:r>
          </w:p>
        </w:tc>
        <w:tc>
          <w:tcPr>
            <w:tcW w:w="216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Total Bad Debt Recovery Non-</w:t>
            </w:r>
          </w:p>
        </w:tc>
        <w:tc>
          <w:tcPr>
            <w:tcW w:w="366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Sum of Items 9 and 10</w:t>
            </w: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Agency</w:t>
            </w:r>
          </w:p>
        </w:tc>
        <w:tc>
          <w:tcPr>
            <w:tcW w:w="3660" w:type="dxa"/>
            <w:vAlign w:val="bottom"/>
            <w:tcBorders>
              <w:bottom w:val="single" w:sz="8" w:color="auto"/>
              <w:right w:val="single" w:sz="8" w:color="auto"/>
            </w:tcBorders>
          </w:tcPr>
          <w:p>
            <w:pPr>
              <w:spacing w:after="0"/>
              <w:rPr>
                <w:sz w:val="15"/>
                <w:szCs w:val="15"/>
                <w:color w:val="auto"/>
              </w:rPr>
            </w:pPr>
          </w:p>
        </w:tc>
      </w:tr>
      <w:tr>
        <w:trPr>
          <w:trHeight w:val="146"/>
        </w:trPr>
        <w:tc>
          <w:tcPr>
            <w:tcW w:w="940" w:type="dxa"/>
            <w:vAlign w:val="bottom"/>
            <w:tcBorders>
              <w:left w:val="single" w:sz="8" w:color="auto"/>
              <w:right w:val="single" w:sz="8" w:color="auto"/>
            </w:tcBorders>
          </w:tcPr>
          <w:p>
            <w:pPr>
              <w:jc w:val="center"/>
              <w:spacing w:after="0" w:line="146" w:lineRule="exact"/>
              <w:rPr>
                <w:sz w:val="20"/>
                <w:szCs w:val="20"/>
                <w:color w:val="auto"/>
              </w:rPr>
            </w:pPr>
            <w:r>
              <w:rPr>
                <w:rFonts w:ascii="Arial" w:cs="Arial" w:eastAsia="Arial" w:hAnsi="Arial"/>
                <w:sz w:val="14"/>
                <w:szCs w:val="14"/>
                <w:color w:val="auto"/>
                <w:w w:val="89"/>
              </w:rPr>
              <w:t>12</w:t>
            </w:r>
          </w:p>
        </w:tc>
        <w:tc>
          <w:tcPr>
            <w:tcW w:w="216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w w:val="97"/>
              </w:rPr>
              <w:t>DWR Total Recovery on Charged</w:t>
            </w:r>
          </w:p>
        </w:tc>
        <w:tc>
          <w:tcPr>
            <w:tcW w:w="366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Sum of Items 8 and 11</w:t>
            </w: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Off Accounts</w:t>
            </w:r>
          </w:p>
        </w:tc>
        <w:tc>
          <w:tcPr>
            <w:tcW w:w="3660" w:type="dxa"/>
            <w:vAlign w:val="bottom"/>
            <w:tcBorders>
              <w:bottom w:val="single" w:sz="8" w:color="auto"/>
              <w:right w:val="single" w:sz="8" w:color="auto"/>
            </w:tcBorders>
          </w:tcPr>
          <w:p>
            <w:pPr>
              <w:spacing w:after="0"/>
              <w:rPr>
                <w:sz w:val="15"/>
                <w:szCs w:val="15"/>
                <w:color w:val="auto"/>
              </w:rPr>
            </w:pPr>
          </w:p>
        </w:tc>
      </w:tr>
      <w:tr>
        <w:trPr>
          <w:trHeight w:val="146"/>
        </w:trPr>
        <w:tc>
          <w:tcPr>
            <w:tcW w:w="940" w:type="dxa"/>
            <w:vAlign w:val="bottom"/>
            <w:tcBorders>
              <w:left w:val="single" w:sz="8" w:color="auto"/>
              <w:right w:val="single" w:sz="8" w:color="auto"/>
            </w:tcBorders>
          </w:tcPr>
          <w:p>
            <w:pPr>
              <w:jc w:val="center"/>
              <w:spacing w:after="0" w:line="146" w:lineRule="exact"/>
              <w:rPr>
                <w:sz w:val="20"/>
                <w:szCs w:val="20"/>
                <w:color w:val="auto"/>
              </w:rPr>
            </w:pPr>
            <w:r>
              <w:rPr>
                <w:rFonts w:ascii="Arial" w:cs="Arial" w:eastAsia="Arial" w:hAnsi="Arial"/>
                <w:sz w:val="14"/>
                <w:szCs w:val="14"/>
                <w:color w:val="auto"/>
                <w:w w:val="89"/>
              </w:rPr>
              <w:t>13</w:t>
            </w:r>
          </w:p>
        </w:tc>
        <w:tc>
          <w:tcPr>
            <w:tcW w:w="216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DWR Total Recovery on Final</w:t>
            </w:r>
          </w:p>
        </w:tc>
        <w:tc>
          <w:tcPr>
            <w:tcW w:w="366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Amount of all outstanding balances of final accounts</w:t>
            </w:r>
          </w:p>
        </w:tc>
      </w:tr>
      <w:tr>
        <w:trPr>
          <w:trHeight w:val="165"/>
        </w:trPr>
        <w:tc>
          <w:tcPr>
            <w:tcW w:w="94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Accounts Through Agency</w:t>
            </w:r>
          </w:p>
        </w:tc>
        <w:tc>
          <w:tcPr>
            <w:tcW w:w="36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5"/>
              </w:rPr>
              <w:t>recovered by collection agencies for DWR Power Charge to</w:t>
            </w:r>
          </w:p>
        </w:tc>
      </w:tr>
      <w:tr>
        <w:trPr>
          <w:trHeight w:val="165"/>
        </w:trPr>
        <w:tc>
          <w:tcPr>
            <w:tcW w:w="94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4"/>
              </w:rPr>
              <w:t>Bundled Customer, DWR Bond Charge or DWR CRS Power</w:t>
            </w: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spacing w:after="0"/>
              <w:rPr>
                <w:sz w:val="15"/>
                <w:szCs w:val="15"/>
                <w:color w:val="auto"/>
              </w:rPr>
            </w:pPr>
          </w:p>
        </w:tc>
        <w:tc>
          <w:tcPr>
            <w:tcW w:w="3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Charge</w:t>
            </w:r>
          </w:p>
        </w:tc>
      </w:tr>
      <w:tr>
        <w:trPr>
          <w:trHeight w:val="146"/>
        </w:trPr>
        <w:tc>
          <w:tcPr>
            <w:tcW w:w="940" w:type="dxa"/>
            <w:vAlign w:val="bottom"/>
            <w:tcBorders>
              <w:left w:val="single" w:sz="8" w:color="auto"/>
              <w:right w:val="single" w:sz="8" w:color="auto"/>
            </w:tcBorders>
          </w:tcPr>
          <w:p>
            <w:pPr>
              <w:jc w:val="center"/>
              <w:spacing w:after="0" w:line="146" w:lineRule="exact"/>
              <w:rPr>
                <w:sz w:val="20"/>
                <w:szCs w:val="20"/>
                <w:color w:val="auto"/>
              </w:rPr>
            </w:pPr>
            <w:r>
              <w:rPr>
                <w:rFonts w:ascii="Arial" w:cs="Arial" w:eastAsia="Arial" w:hAnsi="Arial"/>
                <w:sz w:val="14"/>
                <w:szCs w:val="14"/>
                <w:color w:val="auto"/>
                <w:w w:val="89"/>
              </w:rPr>
              <w:t>14</w:t>
            </w:r>
          </w:p>
        </w:tc>
        <w:tc>
          <w:tcPr>
            <w:tcW w:w="216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DWR Recovery by Collection</w:t>
            </w:r>
          </w:p>
        </w:tc>
        <w:tc>
          <w:tcPr>
            <w:tcW w:w="366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Item 8</w:t>
            </w: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Agency – Charge Off Accounts</w:t>
            </w:r>
          </w:p>
        </w:tc>
        <w:tc>
          <w:tcPr>
            <w:tcW w:w="3660" w:type="dxa"/>
            <w:vAlign w:val="bottom"/>
            <w:tcBorders>
              <w:bottom w:val="single" w:sz="8" w:color="auto"/>
              <w:right w:val="single" w:sz="8" w:color="auto"/>
            </w:tcBorders>
          </w:tcPr>
          <w:p>
            <w:pPr>
              <w:spacing w:after="0"/>
              <w:rPr>
                <w:sz w:val="15"/>
                <w:szCs w:val="15"/>
                <w:color w:val="auto"/>
              </w:rPr>
            </w:pPr>
          </w:p>
        </w:tc>
      </w:tr>
      <w:tr>
        <w:trPr>
          <w:trHeight w:val="146"/>
        </w:trPr>
        <w:tc>
          <w:tcPr>
            <w:tcW w:w="940" w:type="dxa"/>
            <w:vAlign w:val="bottom"/>
            <w:tcBorders>
              <w:left w:val="single" w:sz="8" w:color="auto"/>
              <w:right w:val="single" w:sz="8" w:color="auto"/>
            </w:tcBorders>
          </w:tcPr>
          <w:p>
            <w:pPr>
              <w:jc w:val="center"/>
              <w:spacing w:after="0" w:line="146" w:lineRule="exact"/>
              <w:rPr>
                <w:sz w:val="20"/>
                <w:szCs w:val="20"/>
                <w:color w:val="auto"/>
              </w:rPr>
            </w:pPr>
            <w:r>
              <w:rPr>
                <w:rFonts w:ascii="Arial" w:cs="Arial" w:eastAsia="Arial" w:hAnsi="Arial"/>
                <w:sz w:val="14"/>
                <w:szCs w:val="14"/>
                <w:color w:val="auto"/>
                <w:w w:val="89"/>
              </w:rPr>
              <w:t>15</w:t>
            </w:r>
          </w:p>
        </w:tc>
        <w:tc>
          <w:tcPr>
            <w:tcW w:w="216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DWR Recovery by Collection</w:t>
            </w:r>
          </w:p>
        </w:tc>
        <w:tc>
          <w:tcPr>
            <w:tcW w:w="366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Item 13</w:t>
            </w: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Agency – Final Accounts</w:t>
            </w:r>
          </w:p>
        </w:tc>
        <w:tc>
          <w:tcPr>
            <w:tcW w:w="3660" w:type="dxa"/>
            <w:vAlign w:val="bottom"/>
            <w:tcBorders>
              <w:bottom w:val="single" w:sz="8" w:color="auto"/>
              <w:right w:val="single" w:sz="8" w:color="auto"/>
            </w:tcBorders>
          </w:tcPr>
          <w:p>
            <w:pPr>
              <w:spacing w:after="0"/>
              <w:rPr>
                <w:sz w:val="15"/>
                <w:szCs w:val="15"/>
                <w:color w:val="auto"/>
              </w:rPr>
            </w:pPr>
          </w:p>
        </w:tc>
      </w:tr>
      <w:tr>
        <w:trPr>
          <w:trHeight w:val="146"/>
        </w:trPr>
        <w:tc>
          <w:tcPr>
            <w:tcW w:w="940" w:type="dxa"/>
            <w:vAlign w:val="bottom"/>
            <w:tcBorders>
              <w:left w:val="single" w:sz="8" w:color="auto"/>
              <w:right w:val="single" w:sz="8" w:color="auto"/>
            </w:tcBorders>
          </w:tcPr>
          <w:p>
            <w:pPr>
              <w:jc w:val="center"/>
              <w:spacing w:after="0" w:line="146" w:lineRule="exact"/>
              <w:rPr>
                <w:sz w:val="20"/>
                <w:szCs w:val="20"/>
                <w:color w:val="auto"/>
              </w:rPr>
            </w:pPr>
            <w:r>
              <w:rPr>
                <w:rFonts w:ascii="Arial" w:cs="Arial" w:eastAsia="Arial" w:hAnsi="Arial"/>
                <w:sz w:val="14"/>
                <w:szCs w:val="14"/>
                <w:color w:val="auto"/>
                <w:w w:val="89"/>
              </w:rPr>
              <w:t>16</w:t>
            </w:r>
          </w:p>
        </w:tc>
        <w:tc>
          <w:tcPr>
            <w:tcW w:w="216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4"/>
                <w:szCs w:val="14"/>
                <w:color w:val="auto"/>
              </w:rPr>
              <w:t>DWR Recovery by Collection</w:t>
            </w:r>
          </w:p>
        </w:tc>
        <w:tc>
          <w:tcPr>
            <w:tcW w:w="3660" w:type="dxa"/>
            <w:vAlign w:val="bottom"/>
            <w:tcBorders>
              <w:right w:val="single" w:sz="8" w:color="auto"/>
            </w:tcBorders>
          </w:tcPr>
          <w:p>
            <w:pPr>
              <w:ind w:left="100"/>
              <w:spacing w:after="0" w:line="146" w:lineRule="exact"/>
              <w:rPr>
                <w:sz w:val="20"/>
                <w:szCs w:val="20"/>
                <w:color w:val="auto"/>
              </w:rPr>
            </w:pPr>
            <w:r>
              <w:rPr>
                <w:rFonts w:ascii="Arial" w:cs="Arial" w:eastAsia="Arial" w:hAnsi="Arial"/>
                <w:sz w:val="14"/>
                <w:szCs w:val="14"/>
                <w:color w:val="auto"/>
              </w:rPr>
              <w:t>Sum of Items 14 and 15</w:t>
            </w:r>
          </w:p>
        </w:tc>
      </w:tr>
      <w:tr>
        <w:trPr>
          <w:trHeight w:val="165"/>
        </w:trPr>
        <w:tc>
          <w:tcPr>
            <w:tcW w:w="94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7"/>
              </w:rPr>
              <w:t>Agency – Total to Base Collection</w:t>
            </w:r>
          </w:p>
        </w:tc>
        <w:tc>
          <w:tcPr>
            <w:tcW w:w="3660" w:type="dxa"/>
            <w:vAlign w:val="bottom"/>
            <w:tcBorders>
              <w:right w:val="single" w:sz="8" w:color="auto"/>
            </w:tcBorders>
          </w:tcPr>
          <w:p>
            <w:pPr>
              <w:spacing w:after="0"/>
              <w:rPr>
                <w:sz w:val="14"/>
                <w:szCs w:val="14"/>
                <w:color w:val="auto"/>
              </w:rPr>
            </w:pPr>
          </w:p>
        </w:tc>
      </w:tr>
      <w:tr>
        <w:trPr>
          <w:trHeight w:val="175"/>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Agency Fees on</w:t>
            </w:r>
          </w:p>
        </w:tc>
        <w:tc>
          <w:tcPr>
            <w:tcW w:w="3660" w:type="dxa"/>
            <w:vAlign w:val="bottom"/>
            <w:tcBorders>
              <w:bottom w:val="single" w:sz="8" w:color="auto"/>
              <w:right w:val="single" w:sz="8" w:color="auto"/>
            </w:tcBorders>
          </w:tcPr>
          <w:p>
            <w:pPr>
              <w:spacing w:after="0"/>
              <w:rPr>
                <w:sz w:val="15"/>
                <w:szCs w:val="15"/>
                <w:color w:val="auto"/>
              </w:rPr>
            </w:pPr>
          </w:p>
        </w:tc>
      </w:tr>
    </w:tbl>
    <w:p>
      <w:pPr>
        <w:spacing w:after="0" w:line="169" w:lineRule="exact"/>
        <w:rPr>
          <w:sz w:val="20"/>
          <w:szCs w:val="20"/>
          <w:color w:val="auto"/>
        </w:rPr>
      </w:pPr>
    </w:p>
    <w:p>
      <w:pPr>
        <w:ind w:left="1000"/>
        <w:spacing w:after="0"/>
        <w:rPr>
          <w:sz w:val="20"/>
          <w:szCs w:val="20"/>
          <w:color w:val="auto"/>
        </w:rPr>
      </w:pPr>
      <w:r>
        <w:rPr>
          <w:rFonts w:ascii="Arial" w:cs="Arial" w:eastAsia="Arial" w:hAnsi="Arial"/>
          <w:sz w:val="17"/>
          <w:szCs w:val="17"/>
          <w:i w:val="1"/>
          <w:iCs w:val="1"/>
          <w:color w:val="auto"/>
        </w:rPr>
        <w:t>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240665</wp:posOffset>
            </wp:positionV>
            <wp:extent cx="3780790" cy="28943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780790" cy="2894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Section 2</w:t>
      </w:r>
      <w:r>
        <w:rPr>
          <w:rFonts w:ascii="Arial" w:cs="Arial" w:eastAsia="Arial" w:hAnsi="Arial"/>
          <w:sz w:val="17"/>
          <w:szCs w:val="17"/>
          <w:color w:val="auto"/>
        </w:rPr>
        <w:t>.</w:t>
      </w:r>
      <w:r>
        <w:rPr>
          <w:sz w:val="20"/>
          <w:szCs w:val="20"/>
          <w:color w:val="auto"/>
        </w:rPr>
        <w:tab/>
      </w:r>
      <w:r>
        <w:rPr>
          <w:rFonts w:ascii="Arial" w:cs="Arial" w:eastAsia="Arial" w:hAnsi="Arial"/>
          <w:sz w:val="14"/>
          <w:szCs w:val="14"/>
          <w:b w:val="1"/>
          <w:bCs w:val="1"/>
          <w:color w:val="auto"/>
        </w:rPr>
        <w:t>Surplus Energy Sales Reports - Prior to the MRTU Effective Date Only</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provisions set forth in this Section 2 shall be applicable prior to the MRTU Effective Date only.</w:t>
      </w:r>
    </w:p>
    <w:p>
      <w:pPr>
        <w:spacing w:after="0" w:line="166" w:lineRule="exact"/>
        <w:rPr>
          <w:sz w:val="20"/>
          <w:szCs w:val="20"/>
          <w:color w:val="auto"/>
        </w:rPr>
      </w:pPr>
    </w:p>
    <w:p>
      <w:pPr>
        <w:ind w:left="500" w:hanging="497"/>
        <w:spacing w:after="0"/>
        <w:tabs>
          <w:tab w:leader="none" w:pos="500"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Surplus Energy Sales Payment Report</w:t>
      </w:r>
    </w:p>
    <w:p>
      <w:pPr>
        <w:spacing w:after="0" w:line="162" w:lineRule="exact"/>
        <w:rPr>
          <w:rFonts w:ascii="Arial" w:cs="Arial" w:eastAsia="Arial" w:hAnsi="Arial"/>
          <w:sz w:val="17"/>
          <w:szCs w:val="17"/>
          <w:color w:val="auto"/>
        </w:rPr>
      </w:pPr>
    </w:p>
    <w:p>
      <w:pPr>
        <w:ind w:left="1000" w:right="560" w:hanging="501"/>
        <w:spacing w:after="0" w:line="280" w:lineRule="auto"/>
        <w:tabs>
          <w:tab w:leader="none" w:pos="1000" w:val="left"/>
        </w:tabs>
        <w:numPr>
          <w:ilvl w:val="1"/>
          <w:numId w:val="1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Delivery Mechanism and Naming Convention - </w:t>
      </w:r>
      <w:r>
        <w:rPr>
          <w:rFonts w:ascii="Arial" w:cs="Arial" w:eastAsia="Arial" w:hAnsi="Arial"/>
          <w:sz w:val="16"/>
          <w:szCs w:val="16"/>
          <w:color w:val="auto"/>
        </w:rPr>
        <w:t>This report should be sent by e-mail to the e-mail address “fmr@water.ca.gov” (or by such secure</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 means as reasonably determined appropriate by SDG&amp;E) with the following filename and subject line.</w:t>
      </w:r>
    </w:p>
    <w:p>
      <w:pPr>
        <w:spacing w:after="0" w:line="133" w:lineRule="exact"/>
        <w:rPr>
          <w:sz w:val="20"/>
          <w:szCs w:val="20"/>
          <w:color w:val="auto"/>
        </w:rPr>
      </w:pPr>
    </w:p>
    <w:p>
      <w:pPr>
        <w:ind w:left="1000" w:right="5280" w:hanging="501"/>
        <w:spacing w:after="0" w:line="478" w:lineRule="auto"/>
        <w:tabs>
          <w:tab w:leader="none" w:pos="752"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The format of the filename: &lt;utility name&gt; - SS Payment Report yyyymm v#.xls </w:t>
      </w:r>
      <w:r>
        <w:rPr>
          <w:rFonts w:ascii="Arial" w:cs="Arial" w:eastAsia="Arial" w:hAnsi="Arial"/>
          <w:sz w:val="16"/>
          <w:szCs w:val="16"/>
          <w:i w:val="1"/>
          <w:iCs w:val="1"/>
          <w:color w:val="auto"/>
        </w:rPr>
        <w:t>Example: SDG&amp;E – SS Payment Report 200507 v1.xls</w:t>
      </w:r>
    </w:p>
    <w:p>
      <w:pPr>
        <w:ind w:left="1000" w:right="4340" w:hanging="501"/>
        <w:spacing w:after="0" w:line="485" w:lineRule="auto"/>
        <w:tabs>
          <w:tab w:leader="none" w:pos="752"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The subject line of e-mail: &lt;utility name&gt; - Surplus Energy Sales Payment Report for yyyymm </w:t>
      </w:r>
      <w:r>
        <w:rPr>
          <w:rFonts w:ascii="Arial" w:cs="Arial" w:eastAsia="Arial" w:hAnsi="Arial"/>
          <w:sz w:val="16"/>
          <w:szCs w:val="16"/>
          <w:i w:val="1"/>
          <w:iCs w:val="1"/>
          <w:color w:val="auto"/>
        </w:rPr>
        <w:t>Example: SDG&amp;E - Surplus Energy Sales Payment Report for 200507</w:t>
      </w:r>
    </w:p>
    <w:p>
      <w:pPr>
        <w:spacing w:after="0" w:line="1" w:lineRule="exact"/>
        <w:rPr>
          <w:sz w:val="20"/>
          <w:szCs w:val="20"/>
          <w:color w:val="auto"/>
        </w:rPr>
      </w:pPr>
    </w:p>
    <w:p>
      <w:pPr>
        <w:ind w:left="1000"/>
        <w:spacing w:after="0" w:line="245" w:lineRule="auto"/>
        <w:rPr>
          <w:sz w:val="20"/>
          <w:szCs w:val="20"/>
          <w:color w:val="auto"/>
        </w:rPr>
      </w:pPr>
      <w:r>
        <w:rPr>
          <w:rFonts w:ascii="Arial" w:cs="Arial" w:eastAsia="Arial" w:hAnsi="Arial"/>
          <w:sz w:val="17"/>
          <w:szCs w:val="17"/>
          <w:color w:val="auto"/>
        </w:rPr>
        <w:t>Modifications to a submitted report should be accomplished by resending all the data including the necessary modifications and renaming the report with the subsequent version number.</w:t>
      </w:r>
    </w:p>
    <w:p>
      <w:pPr>
        <w:spacing w:after="0" w:line="155" w:lineRule="exact"/>
        <w:rPr>
          <w:sz w:val="20"/>
          <w:szCs w:val="20"/>
          <w:color w:val="auto"/>
        </w:rPr>
      </w:pPr>
    </w:p>
    <w:p>
      <w:pPr>
        <w:jc w:val="both"/>
        <w:ind w:left="1000" w:right="60" w:hanging="501"/>
        <w:spacing w:after="0" w:line="239" w:lineRule="auto"/>
        <w:tabs>
          <w:tab w:leader="none" w:pos="1000" w:val="left"/>
        </w:tabs>
        <w:numPr>
          <w:ilvl w:val="0"/>
          <w:numId w:val="19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Required Information and Timeline </w:t>
      </w:r>
      <w:r>
        <w:rPr>
          <w:rFonts w:ascii="Arial" w:cs="Arial" w:eastAsia="Arial" w:hAnsi="Arial"/>
          <w:sz w:val="17"/>
          <w:szCs w:val="17"/>
          <w:color w:val="auto"/>
        </w:rPr>
        <w:t>- The Surplus Energy Sales Payment Report is to be submitted to DWR monthly on the day SDG&amp;E remits to DWR</w:t>
      </w:r>
      <w:r>
        <w:rPr>
          <w:rFonts w:ascii="Arial" w:cs="Arial" w:eastAsia="Arial" w:hAnsi="Arial"/>
          <w:sz w:val="17"/>
          <w:szCs w:val="17"/>
          <w:b w:val="1"/>
          <w:bCs w:val="1"/>
          <w:color w:val="auto"/>
        </w:rPr>
        <w:t xml:space="preserve"> </w:t>
      </w:r>
      <w:r>
        <w:rPr>
          <w:rFonts w:ascii="Arial" w:cs="Arial" w:eastAsia="Arial" w:hAnsi="Arial"/>
          <w:sz w:val="17"/>
          <w:szCs w:val="17"/>
          <w:color w:val="auto"/>
        </w:rPr>
        <w:t>the Preliminary Surplus Energy Sales Remittance Amount and the Delivery Month Surplus Energy Sales True-Up Amount. The report should be consistent in form and substance to the example screenshot below.</w:t>
      </w:r>
    </w:p>
    <w:p>
      <w:pPr>
        <w:sectPr>
          <w:pgSz w:w="11900" w:h="16838" w:orient="portrait"/>
          <w:cols w:equalWidth="0" w:num="1">
            <w:col w:w="11380"/>
          </w:cols>
          <w:pgMar w:left="220" w:top="133" w:right="299" w:bottom="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09"/>
        </w:trPr>
        <w:tc>
          <w:tcPr>
            <w:tcW w:w="1380" w:type="dxa"/>
            <w:vAlign w:val="bottom"/>
          </w:tcPr>
          <w:p>
            <w:pPr>
              <w:ind w:left="500"/>
              <w:spacing w:after="0"/>
              <w:rPr>
                <w:sz w:val="20"/>
                <w:szCs w:val="20"/>
                <w:color w:val="auto"/>
              </w:rPr>
            </w:pPr>
            <w:r>
              <w:rPr>
                <w:rFonts w:ascii="Arial" w:cs="Arial" w:eastAsia="Arial" w:hAnsi="Arial"/>
                <w:sz w:val="17"/>
                <w:szCs w:val="17"/>
                <w:i w:val="1"/>
                <w:iCs w:val="1"/>
                <w:color w:val="auto"/>
              </w:rPr>
              <w:t>Example:</w:t>
            </w: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90"/>
        </w:trPr>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740" w:type="dxa"/>
            <w:vAlign w:val="bottom"/>
            <w:gridSpan w:val="3"/>
          </w:tcPr>
          <w:p>
            <w:pPr>
              <w:jc w:val="center"/>
              <w:ind w:left="443"/>
              <w:spacing w:after="0"/>
              <w:rPr>
                <w:sz w:val="20"/>
                <w:szCs w:val="20"/>
                <w:color w:val="auto"/>
              </w:rPr>
            </w:pPr>
            <w:r>
              <w:rPr>
                <w:rFonts w:ascii="Arial" w:cs="Arial" w:eastAsia="Arial" w:hAnsi="Arial"/>
                <w:sz w:val="17"/>
                <w:szCs w:val="17"/>
                <w:b w:val="1"/>
                <w:bCs w:val="1"/>
                <w:i w:val="1"/>
                <w:iCs w:val="1"/>
                <w:color w:val="auto"/>
                <w:w w:val="86"/>
              </w:rPr>
              <w:t>San Diego Gas &amp; Electric Company</w:t>
            </w:r>
          </w:p>
        </w:tc>
      </w:tr>
      <w:tr>
        <w:trPr>
          <w:trHeight w:val="209"/>
        </w:trPr>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740" w:type="dxa"/>
            <w:vAlign w:val="bottom"/>
            <w:gridSpan w:val="3"/>
          </w:tcPr>
          <w:p>
            <w:pPr>
              <w:jc w:val="center"/>
              <w:ind w:left="443"/>
              <w:spacing w:after="0"/>
              <w:rPr>
                <w:sz w:val="20"/>
                <w:szCs w:val="20"/>
                <w:color w:val="auto"/>
              </w:rPr>
            </w:pPr>
            <w:r>
              <w:rPr>
                <w:rFonts w:ascii="Arial" w:cs="Arial" w:eastAsia="Arial" w:hAnsi="Arial"/>
                <w:sz w:val="17"/>
                <w:szCs w:val="17"/>
                <w:b w:val="1"/>
                <w:bCs w:val="1"/>
                <w:i w:val="1"/>
                <w:iCs w:val="1"/>
                <w:color w:val="auto"/>
                <w:w w:val="84"/>
              </w:rPr>
              <w:t>Surplus Energy Sales Payment Report</w:t>
            </w:r>
          </w:p>
        </w:tc>
      </w:tr>
      <w:tr>
        <w:trPr>
          <w:trHeight w:val="372"/>
        </w:trPr>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80" w:type="dxa"/>
            <w:vAlign w:val="bottom"/>
            <w:gridSpan w:val="2"/>
          </w:tcPr>
          <w:p>
            <w:pPr>
              <w:jc w:val="center"/>
              <w:ind w:right="437"/>
              <w:spacing w:after="0"/>
              <w:rPr>
                <w:sz w:val="20"/>
                <w:szCs w:val="20"/>
                <w:color w:val="auto"/>
              </w:rPr>
            </w:pPr>
            <w:r>
              <w:rPr>
                <w:rFonts w:ascii="Arial" w:cs="Arial" w:eastAsia="Arial" w:hAnsi="Arial"/>
                <w:sz w:val="17"/>
                <w:szCs w:val="17"/>
                <w:b w:val="1"/>
                <w:bCs w:val="1"/>
                <w:i w:val="1"/>
                <w:iCs w:val="1"/>
                <w:color w:val="auto"/>
                <w:w w:val="86"/>
              </w:rPr>
              <w:t>July 21, 2005 Payment Date</w:t>
            </w:r>
          </w:p>
        </w:tc>
      </w:tr>
      <w:tr>
        <w:trPr>
          <w:trHeight w:val="372"/>
        </w:trPr>
        <w:tc>
          <w:tcPr>
            <w:tcW w:w="3600" w:type="dxa"/>
            <w:vAlign w:val="bottom"/>
            <w:gridSpan w:val="3"/>
          </w:tcPr>
          <w:p>
            <w:pPr>
              <w:spacing w:after="0"/>
              <w:rPr>
                <w:sz w:val="20"/>
                <w:szCs w:val="20"/>
                <w:color w:val="auto"/>
              </w:rPr>
            </w:pPr>
            <w:r>
              <w:rPr>
                <w:rFonts w:ascii="Arial" w:cs="Arial" w:eastAsia="Arial" w:hAnsi="Arial"/>
                <w:sz w:val="17"/>
                <w:szCs w:val="17"/>
                <w:b w:val="1"/>
                <w:bCs w:val="1"/>
                <w:color w:val="auto"/>
              </w:rPr>
              <w:t xml:space="preserve">DWR Account Reference: </w:t>
            </w:r>
            <w:r>
              <w:rPr>
                <w:rFonts w:ascii="Arial" w:cs="Arial" w:eastAsia="Arial" w:hAnsi="Arial"/>
                <w:sz w:val="17"/>
                <w:szCs w:val="17"/>
                <w:color w:val="auto"/>
              </w:rPr>
              <w:t>8021360006</w:t>
            </w: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3"/>
        </w:trPr>
        <w:tc>
          <w:tcPr>
            <w:tcW w:w="1380" w:type="dxa"/>
            <w:vAlign w:val="bottom"/>
          </w:tcPr>
          <w:p>
            <w:pPr>
              <w:ind w:left="260"/>
              <w:spacing w:after="0"/>
              <w:rPr>
                <w:sz w:val="20"/>
                <w:szCs w:val="20"/>
                <w:color w:val="auto"/>
              </w:rPr>
            </w:pPr>
            <w:r>
              <w:rPr>
                <w:rFonts w:ascii="Arial" w:cs="Arial" w:eastAsia="Arial" w:hAnsi="Arial"/>
                <w:sz w:val="17"/>
                <w:szCs w:val="17"/>
                <w:b w:val="1"/>
                <w:bCs w:val="1"/>
                <w:color w:val="auto"/>
              </w:rPr>
              <w:t>Description</w:t>
            </w: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w w:val="90"/>
              </w:rPr>
              <w:t>Delivery</w:t>
            </w:r>
          </w:p>
        </w:tc>
        <w:tc>
          <w:tcPr>
            <w:tcW w:w="1180" w:type="dxa"/>
            <w:vAlign w:val="bottom"/>
          </w:tcPr>
          <w:p>
            <w:pPr>
              <w:ind w:left="420"/>
              <w:spacing w:after="0"/>
              <w:rPr>
                <w:sz w:val="20"/>
                <w:szCs w:val="20"/>
                <w:color w:val="auto"/>
              </w:rPr>
            </w:pPr>
            <w:r>
              <w:rPr>
                <w:rFonts w:ascii="Arial" w:cs="Arial" w:eastAsia="Arial" w:hAnsi="Arial"/>
                <w:sz w:val="17"/>
                <w:szCs w:val="17"/>
                <w:b w:val="1"/>
                <w:bCs w:val="1"/>
                <w:color w:val="auto"/>
              </w:rPr>
              <w:t>Credit*</w:t>
            </w:r>
          </w:p>
        </w:tc>
        <w:tc>
          <w:tcPr>
            <w:tcW w:w="1060" w:type="dxa"/>
            <w:vAlign w:val="bottom"/>
          </w:tcPr>
          <w:p>
            <w:pPr>
              <w:ind w:left="420"/>
              <w:spacing w:after="0"/>
              <w:rPr>
                <w:sz w:val="20"/>
                <w:szCs w:val="20"/>
                <w:color w:val="auto"/>
              </w:rPr>
            </w:pPr>
            <w:r>
              <w:rPr>
                <w:rFonts w:ascii="Arial" w:cs="Arial" w:eastAsia="Arial" w:hAnsi="Arial"/>
                <w:sz w:val="17"/>
                <w:szCs w:val="17"/>
                <w:b w:val="1"/>
                <w:bCs w:val="1"/>
                <w:color w:val="auto"/>
              </w:rPr>
              <w:t>Debit</w:t>
            </w:r>
            <w:r>
              <w:rPr>
                <w:rFonts w:ascii="Arial" w:cs="Arial" w:eastAsia="Arial" w:hAnsi="Arial"/>
                <w:sz w:val="27"/>
                <w:szCs w:val="27"/>
                <w:b w:val="1"/>
                <w:bCs w:val="1"/>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7"/>
                <w:szCs w:val="17"/>
                <w:b w:val="1"/>
                <w:bCs w:val="1"/>
                <w:color w:val="auto"/>
              </w:rPr>
              <w:t>Net Payment</w:t>
            </w:r>
          </w:p>
        </w:tc>
        <w:tc>
          <w:tcPr>
            <w:tcW w:w="1040" w:type="dxa"/>
            <w:vAlign w:val="bottom"/>
          </w:tcPr>
          <w:p>
            <w:pPr>
              <w:ind w:left="320"/>
              <w:spacing w:after="0"/>
              <w:rPr>
                <w:sz w:val="20"/>
                <w:szCs w:val="20"/>
                <w:color w:val="auto"/>
              </w:rPr>
            </w:pPr>
            <w:r>
              <w:rPr>
                <w:rFonts w:ascii="Arial" w:cs="Arial" w:eastAsia="Arial" w:hAnsi="Arial"/>
                <w:sz w:val="17"/>
                <w:szCs w:val="17"/>
                <w:b w:val="1"/>
                <w:bCs w:val="1"/>
                <w:color w:val="auto"/>
              </w:rPr>
              <w:t>Note</w:t>
            </w:r>
          </w:p>
        </w:tc>
      </w:tr>
      <w:tr>
        <w:trPr>
          <w:trHeight w:val="189"/>
        </w:trPr>
        <w:tc>
          <w:tcPr>
            <w:tcW w:w="1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7"/>
                <w:szCs w:val="17"/>
                <w:b w:val="1"/>
                <w:bCs w:val="1"/>
                <w:color w:val="auto"/>
                <w:w w:val="94"/>
              </w:rPr>
              <w:t>Month</w:t>
            </w:r>
          </w:p>
        </w:tc>
        <w:tc>
          <w:tcPr>
            <w:tcW w:w="1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45"/>
        </w:trPr>
        <w:tc>
          <w:tcPr>
            <w:tcW w:w="1380" w:type="dxa"/>
            <w:vAlign w:val="bottom"/>
          </w:tcPr>
          <w:p>
            <w:pPr>
              <w:ind w:left="100"/>
              <w:spacing w:after="0" w:line="145" w:lineRule="exact"/>
              <w:rPr>
                <w:sz w:val="20"/>
                <w:szCs w:val="20"/>
                <w:color w:val="auto"/>
              </w:rPr>
            </w:pPr>
            <w:r>
              <w:rPr>
                <w:rFonts w:ascii="Arial" w:cs="Arial" w:eastAsia="Arial" w:hAnsi="Arial"/>
                <w:sz w:val="14"/>
                <w:szCs w:val="14"/>
                <w:color w:val="auto"/>
              </w:rPr>
              <w:t>Preliminary</w:t>
            </w:r>
          </w:p>
        </w:tc>
        <w:tc>
          <w:tcPr>
            <w:tcW w:w="1040" w:type="dxa"/>
            <w:vAlign w:val="bottom"/>
          </w:tcPr>
          <w:p>
            <w:pPr>
              <w:jc w:val="center"/>
              <w:spacing w:after="0" w:line="145" w:lineRule="exact"/>
              <w:rPr>
                <w:sz w:val="20"/>
                <w:szCs w:val="20"/>
                <w:color w:val="auto"/>
              </w:rPr>
            </w:pPr>
            <w:r>
              <w:rPr>
                <w:rFonts w:ascii="Arial" w:cs="Arial" w:eastAsia="Arial" w:hAnsi="Arial"/>
                <w:sz w:val="14"/>
                <w:szCs w:val="14"/>
                <w:color w:val="auto"/>
                <w:w w:val="86"/>
              </w:rPr>
              <w:t>June-05</w:t>
            </w:r>
          </w:p>
        </w:tc>
        <w:tc>
          <w:tcPr>
            <w:tcW w:w="1180" w:type="dxa"/>
            <w:vAlign w:val="bottom"/>
          </w:tcPr>
          <w:p>
            <w:pPr>
              <w:ind w:left="220"/>
              <w:spacing w:after="0" w:line="145" w:lineRule="exact"/>
              <w:rPr>
                <w:sz w:val="20"/>
                <w:szCs w:val="20"/>
                <w:color w:val="auto"/>
              </w:rPr>
            </w:pPr>
            <w:r>
              <w:rPr>
                <w:rFonts w:ascii="Arial" w:cs="Arial" w:eastAsia="Arial" w:hAnsi="Arial"/>
                <w:sz w:val="14"/>
                <w:szCs w:val="14"/>
                <w:color w:val="auto"/>
              </w:rPr>
              <w:t>$x,xxx,xxx.xx</w:t>
            </w:r>
          </w:p>
        </w:tc>
        <w:tc>
          <w:tcPr>
            <w:tcW w:w="1060" w:type="dxa"/>
            <w:vAlign w:val="bottom"/>
          </w:tcPr>
          <w:p>
            <w:pPr>
              <w:ind w:left="180"/>
              <w:spacing w:after="0" w:line="145" w:lineRule="exact"/>
              <w:rPr>
                <w:sz w:val="20"/>
                <w:szCs w:val="20"/>
                <w:color w:val="auto"/>
              </w:rPr>
            </w:pPr>
            <w:r>
              <w:rPr>
                <w:rFonts w:ascii="Arial" w:cs="Arial" w:eastAsia="Arial" w:hAnsi="Arial"/>
                <w:sz w:val="14"/>
                <w:szCs w:val="14"/>
                <w:color w:val="auto"/>
              </w:rPr>
              <w:t>$x,xxx,xxx.xx</w:t>
            </w:r>
          </w:p>
        </w:tc>
        <w:tc>
          <w:tcPr>
            <w:tcW w:w="1640" w:type="dxa"/>
            <w:vAlign w:val="bottom"/>
          </w:tcPr>
          <w:p>
            <w:pPr>
              <w:ind w:left="260"/>
              <w:spacing w:after="0" w:line="145" w:lineRule="exact"/>
              <w:rPr>
                <w:sz w:val="20"/>
                <w:szCs w:val="20"/>
                <w:color w:val="auto"/>
              </w:rPr>
            </w:pPr>
            <w:r>
              <w:rPr>
                <w:rFonts w:ascii="Arial" w:cs="Arial" w:eastAsia="Arial" w:hAnsi="Arial"/>
                <w:sz w:val="14"/>
                <w:szCs w:val="14"/>
                <w:color w:val="auto"/>
              </w:rPr>
              <w:t>$x,xxx,xxx.xx</w:t>
            </w:r>
          </w:p>
        </w:tc>
        <w:tc>
          <w:tcPr>
            <w:tcW w:w="1040" w:type="dxa"/>
            <w:vAlign w:val="bottom"/>
          </w:tcPr>
          <w:p>
            <w:pPr>
              <w:spacing w:after="0"/>
              <w:rPr>
                <w:sz w:val="12"/>
                <w:szCs w:val="12"/>
                <w:color w:val="auto"/>
              </w:rPr>
            </w:pPr>
          </w:p>
        </w:tc>
      </w:tr>
      <w:tr>
        <w:trPr>
          <w:trHeight w:val="165"/>
        </w:trPr>
        <w:tc>
          <w:tcPr>
            <w:tcW w:w="1380" w:type="dxa"/>
            <w:vAlign w:val="bottom"/>
          </w:tcPr>
          <w:p>
            <w:pPr>
              <w:ind w:left="100"/>
              <w:spacing w:after="0"/>
              <w:rPr>
                <w:sz w:val="20"/>
                <w:szCs w:val="20"/>
                <w:color w:val="auto"/>
              </w:rPr>
            </w:pPr>
            <w:r>
              <w:rPr>
                <w:rFonts w:ascii="Arial" w:cs="Arial" w:eastAsia="Arial" w:hAnsi="Arial"/>
                <w:sz w:val="14"/>
                <w:szCs w:val="14"/>
                <w:color w:val="auto"/>
              </w:rPr>
              <w:t>Payment</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5"/>
        </w:trPr>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True-Up Payment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April-05</w:t>
            </w: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$x,xxx,xxx.xx</w:t>
            </w: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$x,xxx,xxx.xx</w:t>
            </w:r>
          </w:p>
        </w:tc>
        <w:tc>
          <w:tcPr>
            <w:tcW w:w="16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$x,xxx,xxx.xx</w:t>
            </w:r>
          </w:p>
        </w:tc>
        <w:tc>
          <w:tcPr>
            <w:tcW w:w="1040" w:type="dxa"/>
            <w:vAlign w:val="bottom"/>
            <w:tcBorders>
              <w:bottom w:val="single" w:sz="8" w:color="auto"/>
            </w:tcBorders>
          </w:tcPr>
          <w:p>
            <w:pPr>
              <w:spacing w:after="0"/>
              <w:rPr>
                <w:sz w:val="15"/>
                <w:szCs w:val="15"/>
                <w:color w:val="auto"/>
              </w:rPr>
            </w:pPr>
          </w:p>
        </w:tc>
      </w:tr>
      <w:tr>
        <w:trPr>
          <w:trHeight w:val="166"/>
        </w:trPr>
        <w:tc>
          <w:tcPr>
            <w:tcW w:w="1380" w:type="dxa"/>
            <w:vAlign w:val="bottom"/>
          </w:tcPr>
          <w:p>
            <w:pPr>
              <w:ind w:left="100"/>
              <w:spacing w:after="0"/>
              <w:rPr>
                <w:sz w:val="20"/>
                <w:szCs w:val="20"/>
                <w:color w:val="auto"/>
              </w:rPr>
            </w:pPr>
            <w:r>
              <w:rPr>
                <w:rFonts w:ascii="Arial" w:cs="Arial" w:eastAsia="Arial" w:hAnsi="Arial"/>
                <w:sz w:val="14"/>
                <w:szCs w:val="14"/>
                <w:color w:val="auto"/>
              </w:rPr>
              <w:t>Total</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ind w:left="260"/>
              <w:spacing w:after="0"/>
              <w:rPr>
                <w:sz w:val="20"/>
                <w:szCs w:val="20"/>
                <w:color w:val="auto"/>
              </w:rPr>
            </w:pPr>
            <w:r>
              <w:rPr>
                <w:rFonts w:ascii="Arial" w:cs="Arial" w:eastAsia="Arial" w:hAnsi="Arial"/>
                <w:sz w:val="14"/>
                <w:szCs w:val="14"/>
                <w:color w:val="auto"/>
              </w:rPr>
              <w:t>$x,xxx,xxx.xx</w:t>
            </w:r>
          </w:p>
        </w:tc>
        <w:tc>
          <w:tcPr>
            <w:tcW w:w="10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4653280" cy="196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653280" cy="19685"/>
                    </a:xfrm>
                    <a:prstGeom prst="rect">
                      <a:avLst/>
                    </a:prstGeom>
                    <a:noFill/>
                  </pic:spPr>
                </pic:pic>
              </a:graphicData>
            </a:graphic>
          </wp:anchor>
        </w:drawing>
      </w:r>
    </w:p>
    <w:p>
      <w:pPr>
        <w:ind w:left="260" w:hanging="257"/>
        <w:spacing w:after="0"/>
        <w:tabs>
          <w:tab w:leader="none" w:pos="26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Surplus Energy Sales payment amount before being netted with “Debit”</w:t>
      </w:r>
    </w:p>
    <w:p>
      <w:pPr>
        <w:spacing w:after="0" w:line="15" w:lineRule="exact"/>
        <w:rPr>
          <w:sz w:val="20"/>
          <w:szCs w:val="20"/>
          <w:color w:val="auto"/>
        </w:rPr>
      </w:pPr>
    </w:p>
    <w:p>
      <w:pPr>
        <w:ind w:left="260" w:hanging="257"/>
        <w:spacing w:after="0"/>
        <w:tabs>
          <w:tab w:leader="none" w:pos="260" w:val="left"/>
        </w:tabs>
        <w:numPr>
          <w:ilvl w:val="0"/>
          <w:numId w:val="200"/>
        </w:numPr>
        <w:rPr>
          <w:rFonts w:ascii="Arial" w:cs="Arial" w:eastAsia="Arial" w:hAnsi="Arial"/>
          <w:sz w:val="13"/>
          <w:szCs w:val="13"/>
          <w:color w:val="auto"/>
        </w:rPr>
      </w:pPr>
      <w:r>
        <w:rPr>
          <w:rFonts w:ascii="Arial" w:cs="Arial" w:eastAsia="Arial" w:hAnsi="Arial"/>
          <w:sz w:val="15"/>
          <w:szCs w:val="15"/>
          <w:color w:val="auto"/>
        </w:rPr>
        <w:t>Surplus Energy Sales payment reduction for amount owned by DWR to SDG&amp;E.</w:t>
      </w:r>
    </w:p>
    <w:p>
      <w:pPr>
        <w:spacing w:after="0" w:line="173" w:lineRule="exact"/>
        <w:rPr>
          <w:rFonts w:ascii="Arial" w:cs="Arial" w:eastAsia="Arial" w:hAnsi="Arial"/>
          <w:sz w:val="13"/>
          <w:szCs w:val="13"/>
          <w:color w:val="auto"/>
        </w:rPr>
      </w:pPr>
    </w:p>
    <w:p>
      <w:pPr>
        <w:ind w:left="1000" w:right="640" w:hanging="501"/>
        <w:spacing w:after="0" w:line="275" w:lineRule="auto"/>
        <w:tabs>
          <w:tab w:leader="none" w:pos="1000" w:val="left"/>
        </w:tabs>
        <w:numPr>
          <w:ilvl w:val="1"/>
          <w:numId w:val="20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Wiring or ACH Transfer Information </w:t>
      </w:r>
      <w:r>
        <w:rPr>
          <w:rFonts w:ascii="Arial" w:cs="Arial" w:eastAsia="Arial" w:hAnsi="Arial"/>
          <w:sz w:val="15"/>
          <w:szCs w:val="15"/>
          <w:color w:val="auto"/>
        </w:rPr>
        <w:t>- The fund identification information to accompany the Electronic Transfer of Funds should follow similar format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information of the Surplus Energy Sales Payment Report. It should appear on the wire or ACH transmittal as follows.</w:t>
      </w:r>
    </w:p>
    <w:p>
      <w:pPr>
        <w:spacing w:after="0" w:line="146" w:lineRule="exact"/>
        <w:rPr>
          <w:rFonts w:ascii="Arial" w:cs="Arial" w:eastAsia="Arial" w:hAnsi="Arial"/>
          <w:sz w:val="15"/>
          <w:szCs w:val="15"/>
          <w:b w:val="1"/>
          <w:bCs w:val="1"/>
          <w:color w:val="auto"/>
        </w:rPr>
      </w:pPr>
    </w:p>
    <w:p>
      <w:pPr>
        <w:ind w:left="1000" w:right="4560"/>
        <w:spacing w:after="0" w:line="503" w:lineRule="auto"/>
        <w:rPr>
          <w:rFonts w:ascii="Arial" w:cs="Arial" w:eastAsia="Arial" w:hAnsi="Arial"/>
          <w:sz w:val="15"/>
          <w:szCs w:val="15"/>
          <w:b w:val="1"/>
          <w:bCs w:val="1"/>
          <w:color w:val="auto"/>
        </w:rPr>
      </w:pPr>
      <w:r>
        <w:rPr>
          <w:rFonts w:ascii="Arial" w:cs="Arial" w:eastAsia="Arial" w:hAnsi="Arial"/>
          <w:sz w:val="15"/>
          <w:szCs w:val="15"/>
          <w:color w:val="auto"/>
        </w:rPr>
        <w:t xml:space="preserve">&lt;Utility Name&gt; &lt;DWR Account Reference&gt; Surplus Energy Sales &lt;Payment Date yyyymmdd&gt; </w:t>
      </w:r>
      <w:r>
        <w:rPr>
          <w:rFonts w:ascii="Arial" w:cs="Arial" w:eastAsia="Arial" w:hAnsi="Arial"/>
          <w:sz w:val="15"/>
          <w:szCs w:val="15"/>
          <w:i w:val="1"/>
          <w:iCs w:val="1"/>
          <w:color w:val="auto"/>
        </w:rPr>
        <w:t>Example: SDG&amp;E 8021360006 DWR Surplus Energy Sales 20050720</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electronic transfer of funds for Surplus Energy Sales payment shall be completed by 12:00 noon, Pacific Prevailing Time.</w:t>
      </w:r>
    </w:p>
    <w:p>
      <w:pPr>
        <w:spacing w:after="0" w:line="175" w:lineRule="exact"/>
        <w:rPr>
          <w:sz w:val="20"/>
          <w:szCs w:val="20"/>
          <w:color w:val="auto"/>
        </w:rPr>
      </w:pPr>
    </w:p>
    <w:p>
      <w:pPr>
        <w:ind w:left="500" w:hanging="497"/>
        <w:spacing w:after="0"/>
        <w:tabs>
          <w:tab w:leader="none" w:pos="500"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Preliminary Surplus Energy Sales Calculation Summary Report</w:t>
      </w:r>
    </w:p>
    <w:p>
      <w:pPr>
        <w:spacing w:after="0" w:line="172" w:lineRule="exact"/>
        <w:rPr>
          <w:rFonts w:ascii="Arial" w:cs="Arial" w:eastAsia="Arial" w:hAnsi="Arial"/>
          <w:sz w:val="17"/>
          <w:szCs w:val="17"/>
          <w:color w:val="auto"/>
        </w:rPr>
      </w:pPr>
    </w:p>
    <w:p>
      <w:pPr>
        <w:ind w:left="500" w:right="4000" w:hanging="1"/>
        <w:spacing w:after="0" w:line="549" w:lineRule="auto"/>
        <w:tabs>
          <w:tab w:leader="none" w:pos="996" w:val="left"/>
        </w:tabs>
        <w:numPr>
          <w:ilvl w:val="1"/>
          <w:numId w:val="201"/>
        </w:numPr>
        <w:rPr>
          <w:rFonts w:ascii="Arial" w:cs="Arial" w:eastAsia="Arial" w:hAnsi="Arial"/>
          <w:sz w:val="14"/>
          <w:szCs w:val="14"/>
          <w:color w:val="auto"/>
        </w:rPr>
      </w:pPr>
      <w:r>
        <w:rPr>
          <w:rFonts w:ascii="Arial" w:cs="Arial" w:eastAsia="Arial" w:hAnsi="Arial"/>
          <w:sz w:val="14"/>
          <w:szCs w:val="14"/>
          <w:color w:val="auto"/>
        </w:rPr>
        <w:t xml:space="preserve">Naming Convention </w:t>
      </w:r>
      <w:r>
        <w:rPr>
          <w:rFonts w:ascii="Arial" w:cs="Arial" w:eastAsia="Arial" w:hAnsi="Arial"/>
          <w:sz w:val="14"/>
          <w:szCs w:val="14"/>
          <w:b w:val="1"/>
          <w:bCs w:val="1"/>
          <w:color w:val="auto"/>
        </w:rPr>
        <w:t>-</w:t>
      </w:r>
      <w:r>
        <w:rPr>
          <w:rFonts w:ascii="Arial" w:cs="Arial" w:eastAsia="Arial" w:hAnsi="Arial"/>
          <w:sz w:val="14"/>
          <w:szCs w:val="14"/>
          <w:color w:val="auto"/>
        </w:rPr>
        <w:t xml:space="preserve"> The transmittal of this report should use the following naming convention. · The format of the filename: &lt;utility name&gt; - Preliminary SS Calculation Summary yyyymm v#.xls</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7"/>
          <w:szCs w:val="17"/>
          <w:i w:val="1"/>
          <w:iCs w:val="1"/>
          <w:color w:val="auto"/>
        </w:rPr>
        <w:t>Example: SDG&amp;E – Preliminary SS Calculation Summary 200507 v1.xls</w:t>
      </w:r>
    </w:p>
    <w:p>
      <w:pPr>
        <w:spacing w:after="0" w:line="166" w:lineRule="exact"/>
        <w:rPr>
          <w:sz w:val="20"/>
          <w:szCs w:val="20"/>
          <w:color w:val="auto"/>
        </w:rPr>
      </w:pPr>
    </w:p>
    <w:p>
      <w:pPr>
        <w:ind w:left="740" w:hanging="241"/>
        <w:spacing w:after="0"/>
        <w:tabs>
          <w:tab w:leader="none" w:pos="74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subject line of e-mail: &lt;utility name&gt; - Preliminary Surplus Energy Sales Calculation Summary Report for yyyymm</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7"/>
          <w:szCs w:val="17"/>
          <w:i w:val="1"/>
          <w:iCs w:val="1"/>
          <w:color w:val="auto"/>
        </w:rPr>
        <w:t>Example: SDG&amp;E - Preliminary Surplus Energy Sales Calculation Summary Report for 200507</w:t>
      </w:r>
    </w:p>
    <w:p>
      <w:pPr>
        <w:spacing w:after="0" w:line="177" w:lineRule="exact"/>
        <w:rPr>
          <w:sz w:val="20"/>
          <w:szCs w:val="20"/>
          <w:color w:val="auto"/>
        </w:rPr>
      </w:pPr>
    </w:p>
    <w:p>
      <w:pPr>
        <w:ind w:left="1000" w:right="20"/>
        <w:spacing w:after="0" w:line="245" w:lineRule="auto"/>
        <w:rPr>
          <w:sz w:val="20"/>
          <w:szCs w:val="20"/>
          <w:color w:val="auto"/>
        </w:rPr>
      </w:pPr>
      <w:r>
        <w:rPr>
          <w:rFonts w:ascii="Arial" w:cs="Arial" w:eastAsia="Arial" w:hAnsi="Arial"/>
          <w:sz w:val="17"/>
          <w:szCs w:val="17"/>
          <w:color w:val="auto"/>
        </w:rPr>
        <w:t>Modifications to a submitted report should be accomplished by resending all the data including the necessary modifications and renaming the report with the subsequent version number.</w:t>
      </w:r>
    </w:p>
    <w:p>
      <w:pPr>
        <w:spacing w:after="0" w:line="159" w:lineRule="exact"/>
        <w:rPr>
          <w:sz w:val="20"/>
          <w:szCs w:val="20"/>
          <w:color w:val="auto"/>
        </w:rPr>
      </w:pPr>
    </w:p>
    <w:p>
      <w:pPr>
        <w:ind w:left="1000" w:right="540" w:hanging="501"/>
        <w:spacing w:after="0" w:line="275" w:lineRule="auto"/>
        <w:tabs>
          <w:tab w:leader="none" w:pos="10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Required Information and Timeline - The Preliminary Surplus Energy Sales Calculation Summary Report is to be submitted to DWR by the Monthly Settlement Date of the delivery month. The report should be consistent in form and substance to the example screenshot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00"/>
        <w:spacing w:after="0"/>
        <w:rPr>
          <w:sz w:val="20"/>
          <w:szCs w:val="20"/>
          <w:color w:val="auto"/>
        </w:rPr>
      </w:pPr>
      <w:r>
        <w:rPr>
          <w:rFonts w:ascii="Arial" w:cs="Arial" w:eastAsia="Arial" w:hAnsi="Arial"/>
          <w:sz w:val="17"/>
          <w:szCs w:val="17"/>
          <w:i w:val="1"/>
          <w:iCs w:val="1"/>
          <w:color w:val="auto"/>
        </w:rPr>
        <w:t>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122555</wp:posOffset>
            </wp:positionV>
            <wp:extent cx="2940685" cy="18903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940685" cy="1890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00" w:hanging="497"/>
        <w:spacing w:after="0"/>
        <w:tabs>
          <w:tab w:leader="none" w:pos="500"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Final Surplus Energy Sales Calculation Summary Report</w:t>
      </w:r>
    </w:p>
    <w:p>
      <w:pPr>
        <w:spacing w:after="0" w:line="145" w:lineRule="exact"/>
        <w:rPr>
          <w:rFonts w:ascii="Arial" w:cs="Arial" w:eastAsia="Arial" w:hAnsi="Arial"/>
          <w:sz w:val="17"/>
          <w:szCs w:val="17"/>
          <w:color w:val="auto"/>
        </w:rPr>
      </w:pPr>
    </w:p>
    <w:p>
      <w:pPr>
        <w:ind w:left="1000" w:hanging="501"/>
        <w:spacing w:after="0"/>
        <w:tabs>
          <w:tab w:leader="none" w:pos="1000" w:val="left"/>
        </w:tabs>
        <w:numPr>
          <w:ilvl w:val="1"/>
          <w:numId w:val="204"/>
        </w:numPr>
        <w:rPr>
          <w:rFonts w:ascii="Arial" w:cs="Arial" w:eastAsia="Arial" w:hAnsi="Arial"/>
          <w:sz w:val="17"/>
          <w:szCs w:val="17"/>
          <w:color w:val="auto"/>
        </w:rPr>
      </w:pPr>
      <w:r>
        <w:rPr>
          <w:rFonts w:ascii="Arial" w:cs="Arial" w:eastAsia="Arial" w:hAnsi="Arial"/>
          <w:sz w:val="17"/>
          <w:szCs w:val="17"/>
          <w:color w:val="auto"/>
        </w:rPr>
        <w:t>Naming Convention - The transmittal of this report should use the following naming convention.</w:t>
      </w:r>
    </w:p>
    <w:p>
      <w:pPr>
        <w:spacing w:after="0" w:line="218" w:lineRule="exact"/>
        <w:rPr>
          <w:sz w:val="20"/>
          <w:szCs w:val="20"/>
          <w:color w:val="auto"/>
        </w:rPr>
      </w:pPr>
    </w:p>
    <w:p>
      <w:pPr>
        <w:ind w:left="1000" w:right="4540" w:hanging="501"/>
        <w:spacing w:after="0" w:line="478" w:lineRule="auto"/>
        <w:tabs>
          <w:tab w:leader="none" w:pos="752"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The format of the filename: &lt;utility name&gt; - Final SS Calculation Summary yyyymm v#.xls </w:t>
      </w:r>
      <w:r>
        <w:rPr>
          <w:rFonts w:ascii="Arial" w:cs="Arial" w:eastAsia="Arial" w:hAnsi="Arial"/>
          <w:sz w:val="16"/>
          <w:szCs w:val="16"/>
          <w:i w:val="1"/>
          <w:iCs w:val="1"/>
          <w:color w:val="auto"/>
        </w:rPr>
        <w:t>Example: SDG&amp;E – Final SS Calculation Summary 200507 v1.xls</w:t>
      </w:r>
    </w:p>
    <w:p>
      <w:pPr>
        <w:ind w:left="1000" w:right="3120" w:hanging="501"/>
        <w:spacing w:after="0" w:line="485" w:lineRule="auto"/>
        <w:tabs>
          <w:tab w:leader="none" w:pos="752"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The subject line of e-mail: &lt;utility name&gt; - Final Surplus Energy Sales Calculation Summary Report for yyyymm </w:t>
      </w:r>
      <w:r>
        <w:rPr>
          <w:rFonts w:ascii="Arial" w:cs="Arial" w:eastAsia="Arial" w:hAnsi="Arial"/>
          <w:sz w:val="16"/>
          <w:szCs w:val="16"/>
          <w:i w:val="1"/>
          <w:iCs w:val="1"/>
          <w:color w:val="auto"/>
        </w:rPr>
        <w:t>Example: SDG&amp;E - Final Surplus Energy Sales Calculation Summary Report for 200507</w:t>
      </w:r>
    </w:p>
    <w:p>
      <w:pPr>
        <w:spacing w:after="0" w:line="1" w:lineRule="exact"/>
        <w:rPr>
          <w:sz w:val="20"/>
          <w:szCs w:val="20"/>
          <w:color w:val="auto"/>
        </w:rPr>
      </w:pPr>
    </w:p>
    <w:p>
      <w:pPr>
        <w:ind w:left="1000" w:right="20"/>
        <w:spacing w:after="0" w:line="245" w:lineRule="auto"/>
        <w:rPr>
          <w:sz w:val="20"/>
          <w:szCs w:val="20"/>
          <w:color w:val="auto"/>
        </w:rPr>
      </w:pPr>
      <w:r>
        <w:rPr>
          <w:rFonts w:ascii="Arial" w:cs="Arial" w:eastAsia="Arial" w:hAnsi="Arial"/>
          <w:sz w:val="17"/>
          <w:szCs w:val="17"/>
          <w:color w:val="auto"/>
        </w:rPr>
        <w:t>Modifications to a submitted report should be accomplished by resending all the data including the necessary modifications and renaming the report with the subsequent version number.</w:t>
      </w:r>
    </w:p>
    <w:p>
      <w:pPr>
        <w:spacing w:after="0" w:line="159" w:lineRule="exact"/>
        <w:rPr>
          <w:sz w:val="20"/>
          <w:szCs w:val="20"/>
          <w:color w:val="auto"/>
        </w:rPr>
      </w:pPr>
    </w:p>
    <w:p>
      <w:pPr>
        <w:ind w:left="1000" w:hanging="501"/>
        <w:spacing w:after="0" w:line="275" w:lineRule="auto"/>
        <w:tabs>
          <w:tab w:leader="none" w:pos="100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Required Information and Timeline - The Final Surplus Energy Sales Calculation Summary Report is to be submitted to DWR monthly by the Final Monthly Settlement Date of the delivery month. The report should be consistent in form and substance to the example screenshot below.</w:t>
      </w:r>
    </w:p>
    <w:p>
      <w:pPr>
        <w:sectPr>
          <w:pgSz w:w="11900" w:h="16838" w:orient="portrait"/>
          <w:cols w:equalWidth="0" w:num="1">
            <w:col w:w="11400"/>
          </w:cols>
          <w:pgMar w:left="220" w:top="124" w:right="279" w:bottom="0" w:gutter="0" w:footer="0" w:header="0"/>
        </w:sectPr>
      </w:pPr>
    </w:p>
    <w:bookmarkStart w:id="144" w:name="page145"/>
    <w:bookmarkEnd w:id="144"/>
    <w:p>
      <w:pPr>
        <w:ind w:left="740"/>
        <w:spacing w:after="0"/>
        <w:rPr>
          <w:sz w:val="20"/>
          <w:szCs w:val="20"/>
          <w:color w:val="auto"/>
        </w:rPr>
      </w:pPr>
      <w:r>
        <w:rPr>
          <w:rFonts w:ascii="Arial" w:cs="Arial" w:eastAsia="Arial" w:hAnsi="Arial"/>
          <w:sz w:val="17"/>
          <w:szCs w:val="17"/>
          <w:i w:val="1"/>
          <w:iCs w:val="1"/>
          <w:color w:val="auto"/>
        </w:rPr>
        <w:t>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2049780</wp:posOffset>
            </wp:positionH>
            <wp:positionV relativeFrom="paragraph">
              <wp:posOffset>122555</wp:posOffset>
            </wp:positionV>
            <wp:extent cx="3183255" cy="24352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183255"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 w:hanging="497"/>
        <w:spacing w:after="0"/>
        <w:tabs>
          <w:tab w:leader="none" w:pos="500" w:val="left"/>
        </w:tabs>
        <w:numPr>
          <w:ilvl w:val="0"/>
          <w:numId w:val="207"/>
        </w:numPr>
        <w:rPr>
          <w:rFonts w:ascii="Arial" w:cs="Arial" w:eastAsia="Arial" w:hAnsi="Arial"/>
          <w:sz w:val="17"/>
          <w:szCs w:val="17"/>
          <w:color w:val="auto"/>
        </w:rPr>
      </w:pPr>
      <w:r>
        <w:rPr>
          <w:rFonts w:ascii="Arial" w:cs="Arial" w:eastAsia="Arial" w:hAnsi="Arial"/>
          <w:sz w:val="17"/>
          <w:szCs w:val="17"/>
          <w:u w:val="single" w:color="auto"/>
          <w:color w:val="auto"/>
        </w:rPr>
        <w:t>Real Time Surplus Energy Sales Calculation Supporting Workbook</w:t>
      </w:r>
    </w:p>
    <w:p>
      <w:pPr>
        <w:spacing w:after="0" w:line="145" w:lineRule="exact"/>
        <w:rPr>
          <w:rFonts w:ascii="Arial" w:cs="Arial" w:eastAsia="Arial" w:hAnsi="Arial"/>
          <w:sz w:val="17"/>
          <w:szCs w:val="17"/>
          <w:color w:val="auto"/>
        </w:rPr>
      </w:pPr>
    </w:p>
    <w:p>
      <w:pPr>
        <w:ind w:left="1000" w:hanging="501"/>
        <w:spacing w:after="0"/>
        <w:tabs>
          <w:tab w:leader="none" w:pos="1000" w:val="left"/>
        </w:tabs>
        <w:numPr>
          <w:ilvl w:val="1"/>
          <w:numId w:val="207"/>
        </w:numPr>
        <w:rPr>
          <w:rFonts w:ascii="Arial" w:cs="Arial" w:eastAsia="Arial" w:hAnsi="Arial"/>
          <w:sz w:val="17"/>
          <w:szCs w:val="17"/>
          <w:color w:val="auto"/>
        </w:rPr>
      </w:pPr>
      <w:r>
        <w:rPr>
          <w:rFonts w:ascii="Arial" w:cs="Arial" w:eastAsia="Arial" w:hAnsi="Arial"/>
          <w:sz w:val="17"/>
          <w:szCs w:val="17"/>
          <w:color w:val="auto"/>
        </w:rPr>
        <w:t>Naming Convention - The transmittal of this report should use the following naming convention.</w:t>
      </w:r>
    </w:p>
    <w:p>
      <w:pPr>
        <w:spacing w:after="0" w:line="208" w:lineRule="exact"/>
        <w:rPr>
          <w:sz w:val="20"/>
          <w:szCs w:val="20"/>
          <w:color w:val="auto"/>
        </w:rPr>
      </w:pPr>
    </w:p>
    <w:p>
      <w:pPr>
        <w:ind w:left="1000" w:right="3920" w:hanging="501"/>
        <w:spacing w:after="0" w:line="485" w:lineRule="auto"/>
        <w:tabs>
          <w:tab w:leader="none" w:pos="752"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The format of the filename: &lt;utility name&gt; - RT SS Calculation Supporting Workbook yyyymm v#.xls </w:t>
      </w:r>
      <w:r>
        <w:rPr>
          <w:rFonts w:ascii="Arial" w:cs="Arial" w:eastAsia="Arial" w:hAnsi="Arial"/>
          <w:sz w:val="16"/>
          <w:szCs w:val="16"/>
          <w:i w:val="1"/>
          <w:iCs w:val="1"/>
          <w:color w:val="auto"/>
        </w:rPr>
        <w:t>Example: SDG&amp;E – RT SS Calculation Supporting Workbook 200507 v1.xls</w:t>
      </w:r>
    </w:p>
    <w:p>
      <w:pPr>
        <w:ind w:left="1000" w:right="4200" w:hanging="501"/>
        <w:spacing w:after="0" w:line="485" w:lineRule="auto"/>
        <w:tabs>
          <w:tab w:leader="none" w:pos="752"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The subject line of e-mail: &lt;utility name&gt; - RT SS Calculation Supporting Workbook for yyyymm </w:t>
      </w:r>
      <w:r>
        <w:rPr>
          <w:rFonts w:ascii="Arial" w:cs="Arial" w:eastAsia="Arial" w:hAnsi="Arial"/>
          <w:sz w:val="16"/>
          <w:szCs w:val="16"/>
          <w:i w:val="1"/>
          <w:iCs w:val="1"/>
          <w:color w:val="auto"/>
        </w:rPr>
        <w:t>Example: SDG&amp;E - RT SS Calculation Supporting Workbook for 200507</w:t>
      </w:r>
    </w:p>
    <w:p>
      <w:pPr>
        <w:spacing w:after="0" w:line="1" w:lineRule="exact"/>
        <w:rPr>
          <w:sz w:val="20"/>
          <w:szCs w:val="20"/>
          <w:color w:val="auto"/>
        </w:rPr>
      </w:pPr>
    </w:p>
    <w:p>
      <w:pPr>
        <w:ind w:left="1000" w:right="80"/>
        <w:spacing w:after="0" w:line="245" w:lineRule="auto"/>
        <w:rPr>
          <w:sz w:val="20"/>
          <w:szCs w:val="20"/>
          <w:color w:val="auto"/>
        </w:rPr>
      </w:pPr>
      <w:r>
        <w:rPr>
          <w:rFonts w:ascii="Arial" w:cs="Arial" w:eastAsia="Arial" w:hAnsi="Arial"/>
          <w:sz w:val="17"/>
          <w:szCs w:val="17"/>
          <w:color w:val="auto"/>
        </w:rPr>
        <w:t>Modifications to a submitted report should be accomplished by resending all the data including the necessary modifications and renaming the report with the subsequent version number.</w:t>
      </w:r>
    </w:p>
    <w:p>
      <w:pPr>
        <w:spacing w:after="0" w:line="149" w:lineRule="exact"/>
        <w:rPr>
          <w:sz w:val="20"/>
          <w:szCs w:val="20"/>
          <w:color w:val="auto"/>
        </w:rPr>
      </w:pPr>
    </w:p>
    <w:p>
      <w:pPr>
        <w:ind w:left="1000" w:hanging="501"/>
        <w:spacing w:after="0" w:line="248" w:lineRule="auto"/>
        <w:tabs>
          <w:tab w:leader="none" w:pos="1000" w:val="left"/>
        </w:tabs>
        <w:numPr>
          <w:ilvl w:val="0"/>
          <w:numId w:val="209"/>
        </w:numPr>
        <w:rPr>
          <w:rFonts w:ascii="Arial" w:cs="Arial" w:eastAsia="Arial" w:hAnsi="Arial"/>
          <w:sz w:val="15"/>
          <w:szCs w:val="15"/>
          <w:color w:val="auto"/>
        </w:rPr>
      </w:pPr>
      <w:r>
        <w:rPr>
          <w:rFonts w:ascii="Arial" w:cs="Arial" w:eastAsia="Arial" w:hAnsi="Arial"/>
          <w:sz w:val="15"/>
          <w:szCs w:val="15"/>
          <w:color w:val="auto"/>
        </w:rPr>
        <w:t>Required Information and Timeline - The Real Time Surplus Energy Sales Calculation Supporting Workbook is to be submitted to DWR by Final Monthly Settlement Date of the delivery month. The report should be consistent in form and substance to the example screenshot below. The 25</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hour in the example below is intended for the Pacific Daylight Saving Time to Pacific Standard Time switching date in the fall and should be left blank on any other day.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w:t>
      </w:r>
    </w:p>
    <w:p>
      <w:pPr>
        <w:sectPr>
          <w:pgSz w:w="11900" w:h="16838" w:orient="portrait"/>
          <w:cols w:equalWidth="0" w:num="1">
            <w:col w:w="11460"/>
          </w:cols>
          <w:pgMar w:left="220" w:top="124" w:right="219" w:bottom="1440" w:gutter="0" w:footer="0" w:header="0"/>
        </w:sectPr>
      </w:pPr>
    </w:p>
    <w:bookmarkStart w:id="145" w:name="page146"/>
    <w:bookmarkEnd w:id="145"/>
    <w:p>
      <w:pPr>
        <w:ind w:left="280"/>
        <w:spacing w:after="0"/>
        <w:rPr>
          <w:sz w:val="20"/>
          <w:szCs w:val="20"/>
          <w:color w:val="auto"/>
        </w:rPr>
      </w:pPr>
      <w:r>
        <w:rPr>
          <w:rFonts w:ascii="Arial" w:cs="Arial" w:eastAsia="Arial" w:hAnsi="Arial"/>
          <w:sz w:val="14"/>
          <w:szCs w:val="14"/>
          <w:i w:val="1"/>
          <w:iCs w:val="1"/>
          <w:color w:val="auto"/>
        </w:rPr>
        <w:t>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26670</wp:posOffset>
            </wp:positionV>
            <wp:extent cx="3602990" cy="28486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602990" cy="2848610"/>
                    </a:xfrm>
                    <a:prstGeom prst="rect">
                      <a:avLst/>
                    </a:prstGeom>
                    <a:noFill/>
                  </pic:spPr>
                </pic:pic>
              </a:graphicData>
            </a:graphic>
          </wp:anchor>
        </w:drawing>
      </w:r>
    </w:p>
    <w:p>
      <w:pPr>
        <w:sectPr>
          <w:pgSz w:w="11900" w:h="16838" w:orient="portrait"/>
          <w:cols w:equalWidth="0" w:num="1">
            <w:col w:w="9019"/>
          </w:cols>
          <w:pgMar w:left="1440" w:top="4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w:t>
      </w:r>
    </w:p>
    <w:p>
      <w:pPr>
        <w:sectPr>
          <w:pgSz w:w="11900" w:h="16838" w:orient="portrait"/>
          <w:cols w:equalWidth="0" w:num="1">
            <w:col w:w="9019"/>
          </w:cols>
          <w:pgMar w:left="1440" w:top="495" w:right="1440" w:bottom="1440" w:gutter="0" w:footer="0" w:header="0"/>
          <w:type w:val="continuous"/>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443230</wp:posOffset>
            </wp:positionV>
            <wp:extent cx="2566035" cy="3209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2566035" cy="320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w:t>
      </w:r>
    </w:p>
    <w:p>
      <w:pPr>
        <w:sectPr>
          <w:pgSz w:w="11900" w:h="16838" w:orient="portrait"/>
          <w:cols w:equalWidth="0" w:num="1">
            <w:col w:w="9019"/>
          </w:cols>
          <w:pgMar w:left="1440" w:top="1440" w:right="1440" w:bottom="1440" w:gutter="0" w:footer="0" w:header="0"/>
        </w:sectPr>
      </w:pPr>
    </w:p>
    <w:bookmarkStart w:id="147" w:name="page148"/>
    <w:bookmarkEnd w:id="147"/>
    <w:p>
      <w:pPr>
        <w:ind w:left="497" w:hanging="497"/>
        <w:spacing w:after="0"/>
        <w:tabs>
          <w:tab w:leader="none" w:pos="497" w:val="left"/>
        </w:tabs>
        <w:numPr>
          <w:ilvl w:val="0"/>
          <w:numId w:val="210"/>
        </w:numPr>
        <w:rPr>
          <w:rFonts w:ascii="Arial" w:cs="Arial" w:eastAsia="Arial" w:hAnsi="Arial"/>
          <w:sz w:val="17"/>
          <w:szCs w:val="17"/>
          <w:color w:val="auto"/>
        </w:rPr>
      </w:pPr>
      <w:r>
        <w:rPr>
          <w:rFonts w:ascii="Arial" w:cs="Arial" w:eastAsia="Arial" w:hAnsi="Arial"/>
          <w:sz w:val="17"/>
          <w:szCs w:val="17"/>
          <w:color w:val="auto"/>
        </w:rPr>
        <w:t>Real Time Surplus Energy Sales Calculation Resource Location ID Master List</w:t>
      </w:r>
    </w:p>
    <w:p>
      <w:pPr>
        <w:spacing w:after="0" w:line="155" w:lineRule="exact"/>
        <w:rPr>
          <w:rFonts w:ascii="Arial" w:cs="Arial" w:eastAsia="Arial" w:hAnsi="Arial"/>
          <w:sz w:val="17"/>
          <w:szCs w:val="17"/>
          <w:color w:val="auto"/>
        </w:rPr>
      </w:pPr>
    </w:p>
    <w:p>
      <w:pPr>
        <w:ind w:left="497" w:right="4000" w:hanging="1"/>
        <w:spacing w:after="0" w:line="450" w:lineRule="auto"/>
        <w:tabs>
          <w:tab w:leader="none" w:pos="994" w:val="left"/>
        </w:tabs>
        <w:numPr>
          <w:ilvl w:val="1"/>
          <w:numId w:val="210"/>
        </w:numPr>
        <w:rPr>
          <w:rFonts w:ascii="Arial" w:cs="Arial" w:eastAsia="Arial" w:hAnsi="Arial"/>
          <w:sz w:val="17"/>
          <w:szCs w:val="17"/>
          <w:color w:val="auto"/>
        </w:rPr>
      </w:pPr>
      <w:r>
        <w:rPr>
          <w:rFonts w:ascii="Arial" w:cs="Arial" w:eastAsia="Arial" w:hAnsi="Arial"/>
          <w:sz w:val="17"/>
          <w:szCs w:val="17"/>
          <w:color w:val="auto"/>
        </w:rPr>
        <w:t>Naming Convention - The transmittal of this report should use the following naming convention. · The format of the filename: &lt;utility name&gt; - RT SS Location IDs v#.xls</w:t>
      </w:r>
    </w:p>
    <w:p>
      <w:pPr>
        <w:spacing w:after="0" w:line="1" w:lineRule="exact"/>
        <w:rPr>
          <w:sz w:val="20"/>
          <w:szCs w:val="20"/>
          <w:color w:val="auto"/>
        </w:rPr>
      </w:pPr>
    </w:p>
    <w:p>
      <w:pPr>
        <w:ind w:left="997"/>
        <w:spacing w:after="0"/>
        <w:rPr>
          <w:sz w:val="20"/>
          <w:szCs w:val="20"/>
          <w:color w:val="auto"/>
        </w:rPr>
      </w:pPr>
      <w:r>
        <w:rPr>
          <w:rFonts w:ascii="Arial" w:cs="Arial" w:eastAsia="Arial" w:hAnsi="Arial"/>
          <w:sz w:val="17"/>
          <w:szCs w:val="17"/>
          <w:i w:val="1"/>
          <w:iCs w:val="1"/>
          <w:color w:val="auto"/>
        </w:rPr>
        <w:t>Example: SDG&amp;E – RT SS Location IDs v1.xls</w:t>
      </w:r>
    </w:p>
    <w:p>
      <w:pPr>
        <w:spacing w:after="0" w:line="166" w:lineRule="exact"/>
        <w:rPr>
          <w:sz w:val="20"/>
          <w:szCs w:val="20"/>
          <w:color w:val="auto"/>
        </w:rPr>
      </w:pPr>
    </w:p>
    <w:p>
      <w:pPr>
        <w:ind w:left="997" w:right="5740" w:hanging="501"/>
        <w:spacing w:after="0" w:line="456" w:lineRule="auto"/>
        <w:tabs>
          <w:tab w:leader="none" w:pos="749"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The subject line of e-mail: &lt;utility name&gt; - RT SS Location IDs Version # </w:t>
      </w:r>
      <w:r>
        <w:rPr>
          <w:rFonts w:ascii="Arial" w:cs="Arial" w:eastAsia="Arial" w:hAnsi="Arial"/>
          <w:sz w:val="17"/>
          <w:szCs w:val="17"/>
          <w:i w:val="1"/>
          <w:iCs w:val="1"/>
          <w:color w:val="auto"/>
        </w:rPr>
        <w:t>Example: SDG&amp;E - RT SS Location IDs Version 1</w:t>
      </w:r>
    </w:p>
    <w:p>
      <w:pPr>
        <w:spacing w:after="0" w:line="1" w:lineRule="exact"/>
        <w:rPr>
          <w:sz w:val="20"/>
          <w:szCs w:val="20"/>
          <w:color w:val="auto"/>
        </w:rPr>
      </w:pPr>
    </w:p>
    <w:p>
      <w:pPr>
        <w:ind w:left="997" w:right="600"/>
        <w:spacing w:after="0" w:line="245" w:lineRule="auto"/>
        <w:rPr>
          <w:sz w:val="20"/>
          <w:szCs w:val="20"/>
          <w:color w:val="auto"/>
        </w:rPr>
      </w:pPr>
      <w:r>
        <w:rPr>
          <w:rFonts w:ascii="Arial" w:cs="Arial" w:eastAsia="Arial" w:hAnsi="Arial"/>
          <w:sz w:val="17"/>
          <w:szCs w:val="17"/>
          <w:color w:val="auto"/>
        </w:rPr>
        <w:t>Updates to a submitted list should be accomplished by resending all the data including the necessary modifications and renaming the report with the subsequent version number.</w:t>
      </w:r>
    </w:p>
    <w:p>
      <w:pPr>
        <w:spacing w:after="0" w:line="159" w:lineRule="exact"/>
        <w:rPr>
          <w:sz w:val="20"/>
          <w:szCs w:val="20"/>
          <w:color w:val="auto"/>
        </w:rPr>
      </w:pPr>
    </w:p>
    <w:p>
      <w:pPr>
        <w:ind w:left="997" w:hanging="501"/>
        <w:spacing w:after="0" w:line="216" w:lineRule="auto"/>
        <w:tabs>
          <w:tab w:leader="none" w:pos="997" w:val="left"/>
        </w:tabs>
        <w:numPr>
          <w:ilvl w:val="0"/>
          <w:numId w:val="212"/>
        </w:numPr>
        <w:rPr>
          <w:rFonts w:ascii="Arial" w:cs="Arial" w:eastAsia="Arial" w:hAnsi="Arial"/>
          <w:sz w:val="17"/>
          <w:szCs w:val="17"/>
          <w:color w:val="auto"/>
        </w:rPr>
      </w:pPr>
      <w:r>
        <w:rPr>
          <w:rFonts w:ascii="Arial" w:cs="Arial" w:eastAsia="Arial" w:hAnsi="Arial"/>
          <w:sz w:val="17"/>
          <w:szCs w:val="17"/>
          <w:color w:val="auto"/>
        </w:rPr>
        <w:t>Required Information and Timeline - The Real Time Surplus Energy Sales Calculation Resource Location ID Master List is to be submitted to DWR initially by the 7</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calendar day after the Effective Date of this Operating Order and with any change to the list subsequently. The list is to be provided consistent in form and substance to the example screenshot below.</w:t>
      </w:r>
    </w:p>
    <w:p>
      <w:pPr>
        <w:spacing w:after="0" w:line="165" w:lineRule="exact"/>
        <w:rPr>
          <w:sz w:val="20"/>
          <w:szCs w:val="20"/>
          <w:color w:val="auto"/>
        </w:rPr>
      </w:pPr>
    </w:p>
    <w:p>
      <w:pPr>
        <w:ind w:left="737"/>
        <w:spacing w:after="0"/>
        <w:rPr>
          <w:sz w:val="20"/>
          <w:szCs w:val="20"/>
          <w:color w:val="auto"/>
        </w:rPr>
      </w:pPr>
      <w:r>
        <w:rPr>
          <w:rFonts w:ascii="Arial" w:cs="Arial" w:eastAsia="Arial" w:hAnsi="Arial"/>
          <w:sz w:val="17"/>
          <w:szCs w:val="17"/>
          <w:i w:val="1"/>
          <w:iCs w:val="1"/>
          <w:color w:val="auto"/>
        </w:rPr>
        <w:t>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2047875" cy="17722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47875" cy="177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6"/>
        <w:spacing w:after="0"/>
        <w:rPr>
          <w:sz w:val="20"/>
          <w:szCs w:val="20"/>
          <w:color w:val="auto"/>
        </w:rPr>
      </w:pPr>
      <w:r>
        <w:rPr>
          <w:rFonts w:ascii="Arial" w:cs="Arial" w:eastAsia="Arial" w:hAnsi="Arial"/>
          <w:sz w:val="15"/>
          <w:szCs w:val="15"/>
          <w:color w:val="auto"/>
        </w:rPr>
        <w:t>C-</w:t>
      </w:r>
    </w:p>
    <w:p>
      <w:pPr>
        <w:sectPr>
          <w:pgSz w:w="11900" w:h="16838" w:orient="portrait"/>
          <w:cols w:equalWidth="0" w:num="1">
            <w:col w:w="11397"/>
          </w:cols>
          <w:pgMar w:left="223" w:top="485" w:right="279" w:bottom="1440" w:gutter="0" w:footer="0" w:header="0"/>
        </w:sectPr>
      </w:pPr>
    </w:p>
    <w:bookmarkStart w:id="148" w:name="page149"/>
    <w:bookmarkEnd w:id="148"/>
    <w:p>
      <w:pPr>
        <w:spacing w:after="0"/>
        <w:tabs>
          <w:tab w:leader="none" w:pos="98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4"/>
          <w:szCs w:val="14"/>
          <w:b w:val="1"/>
          <w:bCs w:val="1"/>
          <w:color w:val="auto"/>
        </w:rPr>
        <w:t>Additional Reports - On and after the MRTU Effective Date</w:t>
      </w:r>
    </w:p>
    <w:p>
      <w:pPr>
        <w:spacing w:after="0" w:line="181" w:lineRule="exact"/>
        <w:rPr>
          <w:sz w:val="20"/>
          <w:szCs w:val="20"/>
          <w:color w:val="auto"/>
        </w:rPr>
      </w:pPr>
    </w:p>
    <w:p>
      <w:pPr>
        <w:jc w:val="both"/>
        <w:ind w:right="80"/>
        <w:spacing w:after="0" w:line="237" w:lineRule="auto"/>
        <w:rPr>
          <w:sz w:val="20"/>
          <w:szCs w:val="20"/>
          <w:color w:val="auto"/>
        </w:rPr>
      </w:pPr>
      <w:r>
        <w:rPr>
          <w:rFonts w:ascii="Arial" w:cs="Arial" w:eastAsia="Arial" w:hAnsi="Arial"/>
          <w:sz w:val="17"/>
          <w:szCs w:val="17"/>
          <w:color w:val="auto"/>
        </w:rPr>
        <w:t>The reports described in this Section 3 may be submitted as a single document or as individual documents within a workbook, so long as available reports are prepared and submitted to DWR within the timeline described below. For any report not ready for submission within the timeline described below, the Utility will notify DWR as to the date on which such report is reasonably expected to be available.</w:t>
      </w:r>
    </w:p>
    <w:p>
      <w:pPr>
        <w:spacing w:after="0" w:line="161" w:lineRule="exact"/>
        <w:rPr>
          <w:sz w:val="20"/>
          <w:szCs w:val="20"/>
          <w:color w:val="auto"/>
        </w:rPr>
      </w:pPr>
    </w:p>
    <w:p>
      <w:pPr>
        <w:ind w:left="1000" w:hanging="563"/>
        <w:spacing w:after="0"/>
        <w:tabs>
          <w:tab w:leader="none" w:pos="1000" w:val="left"/>
        </w:tabs>
        <w:numPr>
          <w:ilvl w:val="0"/>
          <w:numId w:val="2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IST Report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IST Report is to be submitted to DWR within 5 Utility Business Days after the end of each calendar month during the Term.</w:t>
      </w:r>
    </w:p>
    <w:p>
      <w:pPr>
        <w:spacing w:after="0" w:line="162" w:lineRule="exact"/>
        <w:rPr>
          <w:sz w:val="20"/>
          <w:szCs w:val="20"/>
          <w:color w:val="auto"/>
        </w:rPr>
      </w:pPr>
    </w:p>
    <w:p>
      <w:pPr>
        <w:ind w:left="440" w:right="60" w:hanging="3"/>
        <w:spacing w:after="0" w:line="250" w:lineRule="auto"/>
        <w:tabs>
          <w:tab w:leader="none" w:pos="998" w:val="left"/>
        </w:tabs>
        <w:numPr>
          <w:ilvl w:val="0"/>
          <w:numId w:val="2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Delivery Mechanism and Naming Convention - </w:t>
      </w:r>
      <w:r>
        <w:rPr>
          <w:rFonts w:ascii="Arial" w:cs="Arial" w:eastAsia="Arial" w:hAnsi="Arial"/>
          <w:sz w:val="17"/>
          <w:szCs w:val="17"/>
          <w:color w:val="auto"/>
        </w:rPr>
        <w:t>This report should be sent by e-mail to the e-mail address “IOU_Remit@water.ca.gov” (or by such secure</w:t>
      </w:r>
      <w:r>
        <w:rPr>
          <w:rFonts w:ascii="Arial" w:cs="Arial" w:eastAsia="Arial" w:hAnsi="Arial"/>
          <w:sz w:val="17"/>
          <w:szCs w:val="17"/>
          <w:b w:val="1"/>
          <w:bCs w:val="1"/>
          <w:color w:val="auto"/>
        </w:rPr>
        <w:t xml:space="preserve"> </w:t>
      </w:r>
      <w:r>
        <w:rPr>
          <w:rFonts w:ascii="Arial" w:cs="Arial" w:eastAsia="Arial" w:hAnsi="Arial"/>
          <w:sz w:val="17"/>
          <w:szCs w:val="17"/>
          <w:color w:val="auto"/>
        </w:rPr>
        <w:t>electronic means as reasonably determined appropriate by SDG&amp;E) with the following filename and subject line:</w:t>
      </w:r>
    </w:p>
    <w:p>
      <w:pPr>
        <w:spacing w:after="0" w:line="145" w:lineRule="exact"/>
        <w:rPr>
          <w:sz w:val="20"/>
          <w:szCs w:val="20"/>
          <w:color w:val="auto"/>
        </w:rPr>
      </w:pPr>
    </w:p>
    <w:p>
      <w:pPr>
        <w:ind w:left="740" w:hanging="241"/>
        <w:spacing w:after="0"/>
        <w:tabs>
          <w:tab w:leader="none" w:pos="74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format of the filename: &lt;utility name&gt; - IST Report yyyymm v#.xls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Example: SDG&amp;E - IST Report 200904 v1.xls</w:t>
      </w:r>
    </w:p>
    <w:p>
      <w:pPr>
        <w:spacing w:after="0" w:line="177" w:lineRule="exact"/>
        <w:rPr>
          <w:sz w:val="20"/>
          <w:szCs w:val="20"/>
          <w:color w:val="auto"/>
        </w:rPr>
      </w:pPr>
    </w:p>
    <w:p>
      <w:pPr>
        <w:ind w:left="740" w:hanging="241"/>
        <w:spacing w:after="0"/>
        <w:tabs>
          <w:tab w:leader="none" w:pos="74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subject line of e-mail: &lt;utility name&gt; - IST Report for yyyymm</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Example: SDG&amp;E - IST Report for 200904</w:t>
      </w:r>
    </w:p>
    <w:p>
      <w:pPr>
        <w:spacing w:after="0" w:line="177" w:lineRule="exact"/>
        <w:rPr>
          <w:sz w:val="20"/>
          <w:szCs w:val="20"/>
          <w:color w:val="auto"/>
        </w:rPr>
      </w:pPr>
    </w:p>
    <w:p>
      <w:pPr>
        <w:ind w:left="440" w:right="400"/>
        <w:spacing w:after="0" w:line="245" w:lineRule="auto"/>
        <w:rPr>
          <w:sz w:val="20"/>
          <w:szCs w:val="20"/>
          <w:color w:val="auto"/>
        </w:rPr>
      </w:pPr>
      <w:r>
        <w:rPr>
          <w:rFonts w:ascii="Arial" w:cs="Arial" w:eastAsia="Arial" w:hAnsi="Arial"/>
          <w:sz w:val="17"/>
          <w:szCs w:val="17"/>
          <w:color w:val="auto"/>
        </w:rPr>
        <w:t>If significant modifications are required to a submitted report then this will be accomplished by resending all the data including the necessary modifications and renaming the report with the subsequent version number.</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Example: SDG&amp;E - IST Report 200904 v2.xls</w:t>
      </w:r>
    </w:p>
    <w:p>
      <w:pPr>
        <w:spacing w:after="0" w:line="162" w:lineRule="exact"/>
        <w:rPr>
          <w:sz w:val="20"/>
          <w:szCs w:val="20"/>
          <w:color w:val="auto"/>
        </w:rPr>
      </w:pPr>
    </w:p>
    <w:p>
      <w:pPr>
        <w:ind w:left="440" w:hanging="3"/>
        <w:spacing w:after="0" w:line="239" w:lineRule="auto"/>
        <w:tabs>
          <w:tab w:leader="none" w:pos="998" w:val="left"/>
        </w:tabs>
        <w:numPr>
          <w:ilvl w:val="0"/>
          <w:numId w:val="2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Required Information and Timeline - </w:t>
      </w:r>
      <w:r>
        <w:rPr>
          <w:rFonts w:ascii="Arial" w:cs="Arial" w:eastAsia="Arial" w:hAnsi="Arial"/>
          <w:sz w:val="17"/>
          <w:szCs w:val="17"/>
          <w:color w:val="auto"/>
        </w:rPr>
        <w:t>SDG&amp;E shall report the Inter-SC Trade amounts of DWR Contracts with a separate entry for each hour of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and for each Contract in the IST Reports. SDG&amp;E shall report the data columns specified in the following table for each Inter-SC Trade Amounts. The report should be consistent in form and substance to the following table in Excel format.</w:t>
      </w: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C-</w:t>
      </w:r>
    </w:p>
    <w:p>
      <w:pPr>
        <w:sectPr>
          <w:pgSz w:w="11900" w:h="16838" w:orient="portrait"/>
          <w:cols w:equalWidth="0" w:num="1">
            <w:col w:w="11420"/>
          </w:cols>
          <w:pgMar w:left="220" w:top="481" w:right="259" w:bottom="1440" w:gutter="0" w:footer="0" w:header="0"/>
        </w:sectPr>
      </w:pPr>
    </w:p>
    <w:bookmarkStart w:id="149" w:name="page150"/>
    <w:bookmarkEnd w:id="149"/>
    <w:p>
      <w:pPr>
        <w:ind w:left="500"/>
        <w:spacing w:after="0"/>
        <w:rPr>
          <w:sz w:val="20"/>
          <w:szCs w:val="20"/>
          <w:color w:val="auto"/>
        </w:rPr>
      </w:pPr>
      <w:r>
        <w:rPr>
          <w:rFonts w:ascii="Arial" w:cs="Arial" w:eastAsia="Arial" w:hAnsi="Arial"/>
          <w:sz w:val="17"/>
          <w:szCs w:val="17"/>
          <w:i w:val="1"/>
          <w:iCs w:val="1"/>
          <w:color w:val="auto"/>
        </w:rPr>
        <w:t>Example:</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Market</w:t>
            </w:r>
          </w:p>
        </w:tc>
        <w:tc>
          <w:tcPr>
            <w:tcW w:w="980" w:type="dxa"/>
            <w:vAlign w:val="bottom"/>
            <w:tcBorders>
              <w:top w:val="single" w:sz="8" w:color="auto"/>
              <w:right w:val="single" w:sz="8" w:color="auto"/>
            </w:tcBorders>
            <w:vMerge w:val="restart"/>
          </w:tcPr>
          <w:p>
            <w:pPr>
              <w:ind w:left="280"/>
              <w:spacing w:after="0"/>
              <w:rPr>
                <w:sz w:val="20"/>
                <w:szCs w:val="20"/>
                <w:color w:val="auto"/>
              </w:rPr>
            </w:pPr>
            <w:r>
              <w:rPr>
                <w:rFonts w:ascii="Arial" w:cs="Arial" w:eastAsia="Arial" w:hAnsi="Arial"/>
                <w:sz w:val="14"/>
                <w:szCs w:val="14"/>
                <w:b w:val="1"/>
                <w:bCs w:val="1"/>
                <w:color w:val="auto"/>
              </w:rPr>
              <w:t>DATE</w:t>
            </w:r>
          </w:p>
        </w:tc>
        <w:tc>
          <w:tcPr>
            <w:tcW w:w="54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HR</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Product</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Selling</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Buying</w:t>
            </w: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4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Submitted</w:t>
            </w:r>
          </w:p>
        </w:tc>
        <w:tc>
          <w:tcPr>
            <w:tcW w:w="94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Adjusted</w:t>
            </w:r>
          </w:p>
        </w:tc>
        <w:tc>
          <w:tcPr>
            <w:tcW w:w="90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Counter</w:t>
            </w:r>
          </w:p>
        </w:tc>
        <w:tc>
          <w:tcPr>
            <w:tcW w:w="0" w:type="dxa"/>
            <w:vAlign w:val="bottom"/>
          </w:tcPr>
          <w:p>
            <w:pPr>
              <w:spacing w:after="0"/>
              <w:rPr>
                <w:sz w:val="1"/>
                <w:szCs w:val="1"/>
                <w:color w:val="auto"/>
              </w:rPr>
            </w:pPr>
          </w:p>
        </w:tc>
      </w:tr>
      <w:tr>
        <w:trPr>
          <w:trHeight w:val="96"/>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(DA/RT)</w:t>
            </w:r>
          </w:p>
        </w:tc>
        <w:tc>
          <w:tcPr>
            <w:tcW w:w="980" w:type="dxa"/>
            <w:vAlign w:val="bottom"/>
            <w:tcBorders>
              <w:right w:val="single" w:sz="8" w:color="auto"/>
            </w:tcBorders>
            <w:vMerge w:val="continue"/>
          </w:tcPr>
          <w:p>
            <w:pPr>
              <w:spacing w:after="0"/>
              <w:rPr>
                <w:sz w:val="8"/>
                <w:szCs w:val="8"/>
                <w:color w:val="auto"/>
              </w:rPr>
            </w:pPr>
          </w:p>
        </w:tc>
        <w:tc>
          <w:tcPr>
            <w:tcW w:w="54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5"/>
              </w:rPr>
              <w:t>Type</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SC</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SC</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1040" w:type="dxa"/>
            <w:vAlign w:val="bottom"/>
            <w:tcBorders>
              <w:right w:val="single" w:sz="8" w:color="auto"/>
            </w:tcBorders>
            <w:vMerge w:val="restart"/>
          </w:tcPr>
          <w:p>
            <w:pPr>
              <w:ind w:left="380"/>
              <w:spacing w:after="0"/>
              <w:rPr>
                <w:sz w:val="20"/>
                <w:szCs w:val="20"/>
                <w:color w:val="auto"/>
              </w:rPr>
            </w:pPr>
            <w:r>
              <w:rPr>
                <w:rFonts w:ascii="Arial" w:cs="Arial" w:eastAsia="Arial" w:hAnsi="Arial"/>
                <w:sz w:val="14"/>
                <w:szCs w:val="14"/>
                <w:b w:val="1"/>
                <w:bCs w:val="1"/>
                <w:color w:val="auto"/>
              </w:rPr>
              <w:t>Qty.</w:t>
            </w:r>
          </w:p>
        </w:tc>
        <w:tc>
          <w:tcPr>
            <w:tcW w:w="940" w:type="dxa"/>
            <w:vAlign w:val="bottom"/>
            <w:tcBorders>
              <w:right w:val="single" w:sz="8" w:color="auto"/>
            </w:tcBorders>
            <w:vMerge w:val="restart"/>
          </w:tcPr>
          <w:p>
            <w:pPr>
              <w:ind w:left="340"/>
              <w:spacing w:after="0"/>
              <w:rPr>
                <w:sz w:val="20"/>
                <w:szCs w:val="20"/>
                <w:color w:val="auto"/>
              </w:rPr>
            </w:pPr>
            <w:r>
              <w:rPr>
                <w:rFonts w:ascii="Arial" w:cs="Arial" w:eastAsia="Arial" w:hAnsi="Arial"/>
                <w:sz w:val="14"/>
                <w:szCs w:val="14"/>
                <w:b w:val="1"/>
                <w:bCs w:val="1"/>
                <w:color w:val="auto"/>
              </w:rPr>
              <w:t>Qty.</w:t>
            </w:r>
          </w:p>
        </w:tc>
        <w:tc>
          <w:tcPr>
            <w:tcW w:w="900" w:type="dxa"/>
            <w:vAlign w:val="bottom"/>
            <w:tcBorders>
              <w:right w:val="single" w:sz="8" w:color="auto"/>
            </w:tcBorders>
            <w:vMerge w:val="restart"/>
          </w:tcPr>
          <w:p>
            <w:pPr>
              <w:ind w:left="320"/>
              <w:spacing w:after="0"/>
              <w:rPr>
                <w:sz w:val="20"/>
                <w:szCs w:val="20"/>
                <w:color w:val="auto"/>
              </w:rPr>
            </w:pPr>
            <w:r>
              <w:rPr>
                <w:rFonts w:ascii="Arial" w:cs="Arial" w:eastAsia="Arial" w:hAnsi="Arial"/>
                <w:sz w:val="14"/>
                <w:szCs w:val="14"/>
                <w:b w:val="1"/>
                <w:bCs w:val="1"/>
                <w:color w:val="auto"/>
              </w:rPr>
              <w:t>Qty.</w:t>
            </w:r>
          </w:p>
        </w:tc>
        <w:tc>
          <w:tcPr>
            <w:tcW w:w="0" w:type="dxa"/>
            <w:vAlign w:val="bottom"/>
          </w:tcPr>
          <w:p>
            <w:pPr>
              <w:spacing w:after="0"/>
              <w:rPr>
                <w:sz w:val="1"/>
                <w:szCs w:val="1"/>
                <w:color w:val="auto"/>
              </w:rPr>
            </w:pPr>
          </w:p>
        </w:tc>
      </w:tr>
      <w:tr>
        <w:trPr>
          <w:trHeight w:val="99"/>
        </w:trPr>
        <w:tc>
          <w:tcPr>
            <w:tcW w:w="92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right w:val="single" w:sz="8" w:color="auto"/>
            </w:tcBorders>
            <w:vMerge w:val="continue"/>
          </w:tcPr>
          <w:p>
            <w:pPr>
              <w:spacing w:after="0"/>
              <w:rPr>
                <w:sz w:val="8"/>
                <w:szCs w:val="8"/>
                <w:color w:val="auto"/>
              </w:rPr>
            </w:pPr>
          </w:p>
        </w:tc>
        <w:tc>
          <w:tcPr>
            <w:tcW w:w="820" w:type="dxa"/>
            <w:vAlign w:val="bottom"/>
            <w:tcBorders>
              <w:bottom w:val="single" w:sz="8" w:color="auto"/>
              <w:right w:val="single" w:sz="8" w:color="auto"/>
            </w:tcBorders>
            <w:vMerge w:val="continue"/>
          </w:tcPr>
          <w:p>
            <w:pPr>
              <w:spacing w:after="0"/>
              <w:rPr>
                <w:sz w:val="8"/>
                <w:szCs w:val="8"/>
                <w:color w:val="auto"/>
              </w:rPr>
            </w:pPr>
          </w:p>
        </w:tc>
        <w:tc>
          <w:tcPr>
            <w:tcW w:w="820" w:type="dxa"/>
            <w:vAlign w:val="bottom"/>
            <w:tcBorders>
              <w:bottom w:val="single" w:sz="8" w:color="auto"/>
              <w:right w:val="single" w:sz="8" w:color="auto"/>
            </w:tcBorders>
            <w:vMerge w:val="continue"/>
          </w:tcPr>
          <w:p>
            <w:pPr>
              <w:spacing w:after="0"/>
              <w:rPr>
                <w:sz w:val="8"/>
                <w:szCs w:val="8"/>
                <w:color w:val="auto"/>
              </w:rPr>
            </w:pPr>
          </w:p>
        </w:tc>
        <w:tc>
          <w:tcPr>
            <w:tcW w:w="940" w:type="dxa"/>
            <w:vAlign w:val="bottom"/>
            <w:tcBorders>
              <w:bottom w:val="single" w:sz="8" w:color="auto"/>
              <w:right w:val="single" w:sz="8" w:color="auto"/>
            </w:tcBorders>
            <w:vMerge w:val="continue"/>
          </w:tcPr>
          <w:p>
            <w:pPr>
              <w:spacing w:after="0"/>
              <w:rPr>
                <w:sz w:val="8"/>
                <w:szCs w:val="8"/>
                <w:color w:val="auto"/>
              </w:rPr>
            </w:pPr>
          </w:p>
        </w:tc>
        <w:tc>
          <w:tcPr>
            <w:tcW w:w="1040" w:type="dxa"/>
            <w:vAlign w:val="bottom"/>
            <w:tcBorders>
              <w:bottom w:val="single" w:sz="8" w:color="auto"/>
              <w:right w:val="single" w:sz="8" w:color="auto"/>
            </w:tcBorders>
            <w:vMerge w:val="continue"/>
          </w:tcPr>
          <w:p>
            <w:pPr>
              <w:spacing w:after="0"/>
              <w:rPr>
                <w:sz w:val="8"/>
                <w:szCs w:val="8"/>
                <w:color w:val="auto"/>
              </w:rPr>
            </w:pPr>
          </w:p>
        </w:tc>
        <w:tc>
          <w:tcPr>
            <w:tcW w:w="940" w:type="dxa"/>
            <w:vAlign w:val="bottom"/>
            <w:tcBorders>
              <w:bottom w:val="single" w:sz="8" w:color="auto"/>
              <w:right w:val="single" w:sz="8" w:color="auto"/>
            </w:tcBorders>
            <w:vMerge w:val="continue"/>
          </w:tcPr>
          <w:p>
            <w:pPr>
              <w:spacing w:after="0"/>
              <w:rPr>
                <w:sz w:val="8"/>
                <w:szCs w:val="8"/>
                <w:color w:val="auto"/>
              </w:rPr>
            </w:pPr>
          </w:p>
        </w:tc>
        <w:tc>
          <w:tcPr>
            <w:tcW w:w="9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920" w:type="dxa"/>
            <w:vAlign w:val="bottom"/>
            <w:tcBorders>
              <w:left w:val="single" w:sz="8" w:color="auto"/>
              <w:bottom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9"/>
              </w:rPr>
              <w:t>xx</w:t>
            </w:r>
          </w:p>
        </w:tc>
        <w:tc>
          <w:tcPr>
            <w:tcW w:w="980" w:type="dxa"/>
            <w:vAlign w:val="bottom"/>
            <w:tcBorders>
              <w:bottom w:val="single" w:sz="8" w:color="auto"/>
              <w:right w:val="single" w:sz="8" w:color="auto"/>
            </w:tcBorders>
          </w:tcPr>
          <w:p>
            <w:pPr>
              <w:ind w:left="80"/>
              <w:spacing w:after="0" w:line="141" w:lineRule="exact"/>
              <w:rPr>
                <w:sz w:val="20"/>
                <w:szCs w:val="20"/>
                <w:color w:val="auto"/>
              </w:rPr>
            </w:pPr>
            <w:r>
              <w:rPr>
                <w:rFonts w:ascii="Arial" w:cs="Arial" w:eastAsia="Arial" w:hAnsi="Arial"/>
                <w:sz w:val="14"/>
                <w:szCs w:val="14"/>
                <w:color w:val="auto"/>
              </w:rPr>
              <w:t>xx/xx/xxxx</w:t>
            </w:r>
          </w:p>
        </w:tc>
        <w:tc>
          <w:tcPr>
            <w:tcW w:w="540" w:type="dxa"/>
            <w:vAlign w:val="bottom"/>
            <w:tcBorders>
              <w:bottom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76"/>
              </w:rPr>
              <w:t>1</w:t>
            </w:r>
          </w:p>
        </w:tc>
        <w:tc>
          <w:tcPr>
            <w:tcW w:w="880" w:type="dxa"/>
            <w:vAlign w:val="bottom"/>
            <w:tcBorders>
              <w:bottom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9"/>
              </w:rPr>
              <w:t>xxxx</w:t>
            </w:r>
          </w:p>
        </w:tc>
        <w:tc>
          <w:tcPr>
            <w:tcW w:w="940" w:type="dxa"/>
            <w:vAlign w:val="bottom"/>
            <w:tcBorders>
              <w:bottom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9"/>
              </w:rPr>
              <w:t>xxxx</w:t>
            </w:r>
          </w:p>
        </w:tc>
        <w:tc>
          <w:tcPr>
            <w:tcW w:w="1040" w:type="dxa"/>
            <w:vAlign w:val="bottom"/>
            <w:tcBorders>
              <w:bottom w:val="single" w:sz="8" w:color="auto"/>
              <w:right w:val="single" w:sz="8" w:color="auto"/>
            </w:tcBorders>
          </w:tcPr>
          <w:p>
            <w:pPr>
              <w:ind w:left="600"/>
              <w:spacing w:after="0" w:line="141" w:lineRule="exact"/>
              <w:rPr>
                <w:sz w:val="20"/>
                <w:szCs w:val="20"/>
                <w:color w:val="auto"/>
              </w:rPr>
            </w:pPr>
            <w:r>
              <w:rPr>
                <w:rFonts w:ascii="Arial" w:cs="Arial" w:eastAsia="Arial" w:hAnsi="Arial"/>
                <w:sz w:val="14"/>
                <w:szCs w:val="14"/>
                <w:color w:val="auto"/>
              </w:rPr>
              <w:t>xx.xx</w:t>
            </w:r>
          </w:p>
        </w:tc>
        <w:tc>
          <w:tcPr>
            <w:tcW w:w="940" w:type="dxa"/>
            <w:vAlign w:val="bottom"/>
            <w:tcBorders>
              <w:bottom w:val="single" w:sz="8" w:color="auto"/>
              <w:right w:val="single" w:sz="8" w:color="auto"/>
            </w:tcBorders>
          </w:tcPr>
          <w:p>
            <w:pPr>
              <w:ind w:left="520"/>
              <w:spacing w:after="0" w:line="141" w:lineRule="exact"/>
              <w:rPr>
                <w:sz w:val="20"/>
                <w:szCs w:val="20"/>
                <w:color w:val="auto"/>
              </w:rPr>
            </w:pPr>
            <w:r>
              <w:rPr>
                <w:rFonts w:ascii="Arial" w:cs="Arial" w:eastAsia="Arial" w:hAnsi="Arial"/>
                <w:sz w:val="14"/>
                <w:szCs w:val="14"/>
                <w:color w:val="auto"/>
              </w:rPr>
              <w:t>xx.xx</w:t>
            </w:r>
          </w:p>
        </w:tc>
        <w:tc>
          <w:tcPr>
            <w:tcW w:w="900" w:type="dxa"/>
            <w:vAlign w:val="bottom"/>
            <w:tcBorders>
              <w:bottom w:val="single" w:sz="8" w:color="auto"/>
              <w:right w:val="single" w:sz="8" w:color="auto"/>
            </w:tcBorders>
          </w:tcPr>
          <w:p>
            <w:pPr>
              <w:ind w:left="480"/>
              <w:spacing w:after="0" w:line="141" w:lineRule="exact"/>
              <w:rPr>
                <w:sz w:val="20"/>
                <w:szCs w:val="20"/>
                <w:color w:val="auto"/>
              </w:rPr>
            </w:pPr>
            <w:r>
              <w:rPr>
                <w:rFonts w:ascii="Arial" w:cs="Arial" w:eastAsia="Arial" w:hAnsi="Arial"/>
                <w:sz w:val="14"/>
                <w:szCs w:val="14"/>
                <w:color w:val="auto"/>
              </w:rPr>
              <w:t>xx.xx</w:t>
            </w:r>
          </w:p>
        </w:tc>
        <w:tc>
          <w:tcPr>
            <w:tcW w:w="0" w:type="dxa"/>
            <w:vAlign w:val="bottom"/>
          </w:tcPr>
          <w:p>
            <w:pPr>
              <w:spacing w:after="0"/>
              <w:rPr>
                <w:sz w:val="1"/>
                <w:szCs w:val="1"/>
                <w:color w:val="auto"/>
              </w:rPr>
            </w:pPr>
          </w:p>
        </w:tc>
      </w:tr>
      <w:tr>
        <w:trPr>
          <w:trHeight w:val="156"/>
        </w:trPr>
        <w:tc>
          <w:tcPr>
            <w:tcW w:w="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w:t>
            </w:r>
          </w:p>
        </w:tc>
        <w:tc>
          <w:tcPr>
            <w:tcW w:w="98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xx/xx/xxxx</w:t>
            </w:r>
          </w:p>
        </w:tc>
        <w:tc>
          <w:tcPr>
            <w:tcW w:w="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76"/>
              </w:rPr>
              <w:t>2</w:t>
            </w: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9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40" w:type="dxa"/>
            <w:vAlign w:val="bottom"/>
            <w:tcBorders>
              <w:bottom w:val="single" w:sz="8" w:color="auto"/>
              <w:right w:val="single" w:sz="8" w:color="auto"/>
            </w:tcBorders>
          </w:tcPr>
          <w:p>
            <w:pPr>
              <w:ind w:left="600"/>
              <w:spacing w:after="0" w:line="156" w:lineRule="exact"/>
              <w:rPr>
                <w:sz w:val="20"/>
                <w:szCs w:val="20"/>
                <w:color w:val="auto"/>
              </w:rPr>
            </w:pPr>
            <w:r>
              <w:rPr>
                <w:rFonts w:ascii="Arial" w:cs="Arial" w:eastAsia="Arial" w:hAnsi="Arial"/>
                <w:sz w:val="14"/>
                <w:szCs w:val="14"/>
                <w:color w:val="auto"/>
              </w:rPr>
              <w:t>xx.xx</w:t>
            </w:r>
          </w:p>
        </w:tc>
        <w:tc>
          <w:tcPr>
            <w:tcW w:w="940" w:type="dxa"/>
            <w:vAlign w:val="bottom"/>
            <w:tcBorders>
              <w:bottom w:val="single" w:sz="8" w:color="auto"/>
              <w:right w:val="single" w:sz="8" w:color="auto"/>
            </w:tcBorders>
          </w:tcPr>
          <w:p>
            <w:pPr>
              <w:ind w:left="520"/>
              <w:spacing w:after="0" w:line="156" w:lineRule="exact"/>
              <w:rPr>
                <w:sz w:val="20"/>
                <w:szCs w:val="20"/>
                <w:color w:val="auto"/>
              </w:rPr>
            </w:pPr>
            <w:r>
              <w:rPr>
                <w:rFonts w:ascii="Arial" w:cs="Arial" w:eastAsia="Arial" w:hAnsi="Arial"/>
                <w:sz w:val="14"/>
                <w:szCs w:val="14"/>
                <w:color w:val="auto"/>
              </w:rPr>
              <w:t>xx.xx</w:t>
            </w:r>
          </w:p>
        </w:tc>
        <w:tc>
          <w:tcPr>
            <w:tcW w:w="900" w:type="dxa"/>
            <w:vAlign w:val="bottom"/>
            <w:tcBorders>
              <w:bottom w:val="single" w:sz="8" w:color="auto"/>
              <w:right w:val="single" w:sz="8" w:color="auto"/>
            </w:tcBorders>
          </w:tcPr>
          <w:p>
            <w:pPr>
              <w:ind w:left="480"/>
              <w:spacing w:after="0" w:line="156" w:lineRule="exact"/>
              <w:rPr>
                <w:sz w:val="20"/>
                <w:szCs w:val="20"/>
                <w:color w:val="auto"/>
              </w:rPr>
            </w:pPr>
            <w:r>
              <w:rPr>
                <w:rFonts w:ascii="Arial" w:cs="Arial" w:eastAsia="Arial" w:hAnsi="Arial"/>
                <w:sz w:val="14"/>
                <w:szCs w:val="14"/>
                <w:color w:val="auto"/>
              </w:rPr>
              <w:t>xx.xx</w:t>
            </w:r>
          </w:p>
        </w:tc>
        <w:tc>
          <w:tcPr>
            <w:tcW w:w="0" w:type="dxa"/>
            <w:vAlign w:val="bottom"/>
          </w:tcPr>
          <w:p>
            <w:pPr>
              <w:spacing w:after="0"/>
              <w:rPr>
                <w:sz w:val="1"/>
                <w:szCs w:val="1"/>
                <w:color w:val="auto"/>
              </w:rPr>
            </w:pPr>
          </w:p>
        </w:tc>
      </w:tr>
      <w:tr>
        <w:trPr>
          <w:trHeight w:val="156"/>
        </w:trPr>
        <w:tc>
          <w:tcPr>
            <w:tcW w:w="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w:t>
            </w:r>
          </w:p>
        </w:tc>
        <w:tc>
          <w:tcPr>
            <w:tcW w:w="98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xx/xx/xxxx</w:t>
            </w:r>
          </w:p>
        </w:tc>
        <w:tc>
          <w:tcPr>
            <w:tcW w:w="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76"/>
              </w:rPr>
              <w:t>3</w:t>
            </w: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9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40" w:type="dxa"/>
            <w:vAlign w:val="bottom"/>
            <w:tcBorders>
              <w:bottom w:val="single" w:sz="8" w:color="auto"/>
              <w:right w:val="single" w:sz="8" w:color="auto"/>
            </w:tcBorders>
          </w:tcPr>
          <w:p>
            <w:pPr>
              <w:ind w:left="600"/>
              <w:spacing w:after="0" w:line="156" w:lineRule="exact"/>
              <w:rPr>
                <w:sz w:val="20"/>
                <w:szCs w:val="20"/>
                <w:color w:val="auto"/>
              </w:rPr>
            </w:pPr>
            <w:r>
              <w:rPr>
                <w:rFonts w:ascii="Arial" w:cs="Arial" w:eastAsia="Arial" w:hAnsi="Arial"/>
                <w:sz w:val="14"/>
                <w:szCs w:val="14"/>
                <w:color w:val="auto"/>
              </w:rPr>
              <w:t>xx.xx</w:t>
            </w:r>
          </w:p>
        </w:tc>
        <w:tc>
          <w:tcPr>
            <w:tcW w:w="940" w:type="dxa"/>
            <w:vAlign w:val="bottom"/>
            <w:tcBorders>
              <w:bottom w:val="single" w:sz="8" w:color="auto"/>
              <w:right w:val="single" w:sz="8" w:color="auto"/>
            </w:tcBorders>
          </w:tcPr>
          <w:p>
            <w:pPr>
              <w:ind w:left="520"/>
              <w:spacing w:after="0" w:line="156" w:lineRule="exact"/>
              <w:rPr>
                <w:sz w:val="20"/>
                <w:szCs w:val="20"/>
                <w:color w:val="auto"/>
              </w:rPr>
            </w:pPr>
            <w:r>
              <w:rPr>
                <w:rFonts w:ascii="Arial" w:cs="Arial" w:eastAsia="Arial" w:hAnsi="Arial"/>
                <w:sz w:val="14"/>
                <w:szCs w:val="14"/>
                <w:color w:val="auto"/>
              </w:rPr>
              <w:t>xx.xx</w:t>
            </w:r>
          </w:p>
        </w:tc>
        <w:tc>
          <w:tcPr>
            <w:tcW w:w="900" w:type="dxa"/>
            <w:vAlign w:val="bottom"/>
            <w:tcBorders>
              <w:bottom w:val="single" w:sz="8" w:color="auto"/>
              <w:right w:val="single" w:sz="8" w:color="auto"/>
            </w:tcBorders>
          </w:tcPr>
          <w:p>
            <w:pPr>
              <w:ind w:left="480"/>
              <w:spacing w:after="0" w:line="156" w:lineRule="exact"/>
              <w:rPr>
                <w:sz w:val="20"/>
                <w:szCs w:val="20"/>
                <w:color w:val="auto"/>
              </w:rPr>
            </w:pPr>
            <w:r>
              <w:rPr>
                <w:rFonts w:ascii="Arial" w:cs="Arial" w:eastAsia="Arial" w:hAnsi="Arial"/>
                <w:sz w:val="14"/>
                <w:szCs w:val="14"/>
                <w:color w:val="auto"/>
              </w:rPr>
              <w:t>xx.xx</w:t>
            </w:r>
          </w:p>
        </w:tc>
        <w:tc>
          <w:tcPr>
            <w:tcW w:w="0" w:type="dxa"/>
            <w:vAlign w:val="bottom"/>
          </w:tcPr>
          <w:p>
            <w:pPr>
              <w:spacing w:after="0"/>
              <w:rPr>
                <w:sz w:val="1"/>
                <w:szCs w:val="1"/>
                <w:color w:val="auto"/>
              </w:rPr>
            </w:pPr>
          </w:p>
        </w:tc>
      </w:tr>
      <w:tr>
        <w:trPr>
          <w:trHeight w:val="156"/>
        </w:trPr>
        <w:tc>
          <w:tcPr>
            <w:tcW w:w="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w:t>
            </w:r>
          </w:p>
        </w:tc>
        <w:tc>
          <w:tcPr>
            <w:tcW w:w="98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xx/xx/xxxx</w:t>
            </w:r>
          </w:p>
        </w:tc>
        <w:tc>
          <w:tcPr>
            <w:tcW w:w="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76"/>
              </w:rPr>
              <w:t>4</w:t>
            </w: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9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40" w:type="dxa"/>
            <w:vAlign w:val="bottom"/>
            <w:tcBorders>
              <w:bottom w:val="single" w:sz="8" w:color="auto"/>
              <w:right w:val="single" w:sz="8" w:color="auto"/>
            </w:tcBorders>
          </w:tcPr>
          <w:p>
            <w:pPr>
              <w:ind w:left="600"/>
              <w:spacing w:after="0" w:line="156" w:lineRule="exact"/>
              <w:rPr>
                <w:sz w:val="20"/>
                <w:szCs w:val="20"/>
                <w:color w:val="auto"/>
              </w:rPr>
            </w:pPr>
            <w:r>
              <w:rPr>
                <w:rFonts w:ascii="Arial" w:cs="Arial" w:eastAsia="Arial" w:hAnsi="Arial"/>
                <w:sz w:val="14"/>
                <w:szCs w:val="14"/>
                <w:color w:val="auto"/>
              </w:rPr>
              <w:t>xx.xx</w:t>
            </w:r>
          </w:p>
        </w:tc>
        <w:tc>
          <w:tcPr>
            <w:tcW w:w="940" w:type="dxa"/>
            <w:vAlign w:val="bottom"/>
            <w:tcBorders>
              <w:bottom w:val="single" w:sz="8" w:color="auto"/>
              <w:right w:val="single" w:sz="8" w:color="auto"/>
            </w:tcBorders>
          </w:tcPr>
          <w:p>
            <w:pPr>
              <w:ind w:left="520"/>
              <w:spacing w:after="0" w:line="156" w:lineRule="exact"/>
              <w:rPr>
                <w:sz w:val="20"/>
                <w:szCs w:val="20"/>
                <w:color w:val="auto"/>
              </w:rPr>
            </w:pPr>
            <w:r>
              <w:rPr>
                <w:rFonts w:ascii="Arial" w:cs="Arial" w:eastAsia="Arial" w:hAnsi="Arial"/>
                <w:sz w:val="14"/>
                <w:szCs w:val="14"/>
                <w:color w:val="auto"/>
              </w:rPr>
              <w:t>xx.xx</w:t>
            </w:r>
          </w:p>
        </w:tc>
        <w:tc>
          <w:tcPr>
            <w:tcW w:w="900" w:type="dxa"/>
            <w:vAlign w:val="bottom"/>
            <w:tcBorders>
              <w:bottom w:val="single" w:sz="8" w:color="auto"/>
              <w:right w:val="single" w:sz="8" w:color="auto"/>
            </w:tcBorders>
          </w:tcPr>
          <w:p>
            <w:pPr>
              <w:ind w:left="480"/>
              <w:spacing w:after="0" w:line="156" w:lineRule="exact"/>
              <w:rPr>
                <w:sz w:val="20"/>
                <w:szCs w:val="20"/>
                <w:color w:val="auto"/>
              </w:rPr>
            </w:pPr>
            <w:r>
              <w:rPr>
                <w:rFonts w:ascii="Arial" w:cs="Arial" w:eastAsia="Arial" w:hAnsi="Arial"/>
                <w:sz w:val="14"/>
                <w:szCs w:val="14"/>
                <w:color w:val="auto"/>
              </w:rPr>
              <w:t>xx.xx</w:t>
            </w:r>
          </w:p>
        </w:tc>
        <w:tc>
          <w:tcPr>
            <w:tcW w:w="0" w:type="dxa"/>
            <w:vAlign w:val="bottom"/>
          </w:tcPr>
          <w:p>
            <w:pPr>
              <w:spacing w:after="0"/>
              <w:rPr>
                <w:sz w:val="1"/>
                <w:szCs w:val="1"/>
                <w:color w:val="auto"/>
              </w:rPr>
            </w:pPr>
          </w:p>
        </w:tc>
      </w:tr>
      <w:tr>
        <w:trPr>
          <w:trHeight w:val="156"/>
        </w:trPr>
        <w:tc>
          <w:tcPr>
            <w:tcW w:w="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w:t>
            </w:r>
          </w:p>
        </w:tc>
        <w:tc>
          <w:tcPr>
            <w:tcW w:w="98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xx/xx/xxxx</w:t>
            </w:r>
          </w:p>
        </w:tc>
        <w:tc>
          <w:tcPr>
            <w:tcW w:w="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76"/>
              </w:rPr>
              <w:t>5</w:t>
            </w: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9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40" w:type="dxa"/>
            <w:vAlign w:val="bottom"/>
            <w:tcBorders>
              <w:bottom w:val="single" w:sz="8" w:color="auto"/>
              <w:right w:val="single" w:sz="8" w:color="auto"/>
            </w:tcBorders>
          </w:tcPr>
          <w:p>
            <w:pPr>
              <w:ind w:left="600"/>
              <w:spacing w:after="0" w:line="156" w:lineRule="exact"/>
              <w:rPr>
                <w:sz w:val="20"/>
                <w:szCs w:val="20"/>
                <w:color w:val="auto"/>
              </w:rPr>
            </w:pPr>
            <w:r>
              <w:rPr>
                <w:rFonts w:ascii="Arial" w:cs="Arial" w:eastAsia="Arial" w:hAnsi="Arial"/>
                <w:sz w:val="14"/>
                <w:szCs w:val="14"/>
                <w:color w:val="auto"/>
              </w:rPr>
              <w:t>xx.xx</w:t>
            </w:r>
          </w:p>
        </w:tc>
        <w:tc>
          <w:tcPr>
            <w:tcW w:w="940" w:type="dxa"/>
            <w:vAlign w:val="bottom"/>
            <w:tcBorders>
              <w:bottom w:val="single" w:sz="8" w:color="auto"/>
              <w:right w:val="single" w:sz="8" w:color="auto"/>
            </w:tcBorders>
          </w:tcPr>
          <w:p>
            <w:pPr>
              <w:ind w:left="520"/>
              <w:spacing w:after="0" w:line="156" w:lineRule="exact"/>
              <w:rPr>
                <w:sz w:val="20"/>
                <w:szCs w:val="20"/>
                <w:color w:val="auto"/>
              </w:rPr>
            </w:pPr>
            <w:r>
              <w:rPr>
                <w:rFonts w:ascii="Arial" w:cs="Arial" w:eastAsia="Arial" w:hAnsi="Arial"/>
                <w:sz w:val="14"/>
                <w:szCs w:val="14"/>
                <w:color w:val="auto"/>
              </w:rPr>
              <w:t>xx.xx</w:t>
            </w:r>
          </w:p>
        </w:tc>
        <w:tc>
          <w:tcPr>
            <w:tcW w:w="900" w:type="dxa"/>
            <w:vAlign w:val="bottom"/>
            <w:tcBorders>
              <w:bottom w:val="single" w:sz="8" w:color="auto"/>
              <w:right w:val="single" w:sz="8" w:color="auto"/>
            </w:tcBorders>
          </w:tcPr>
          <w:p>
            <w:pPr>
              <w:ind w:left="480"/>
              <w:spacing w:after="0" w:line="156" w:lineRule="exact"/>
              <w:rPr>
                <w:sz w:val="20"/>
                <w:szCs w:val="20"/>
                <w:color w:val="auto"/>
              </w:rPr>
            </w:pPr>
            <w:r>
              <w:rPr>
                <w:rFonts w:ascii="Arial" w:cs="Arial" w:eastAsia="Arial" w:hAnsi="Arial"/>
                <w:sz w:val="14"/>
                <w:szCs w:val="14"/>
                <w:color w:val="auto"/>
              </w:rPr>
              <w:t>xx.xx</w:t>
            </w:r>
          </w:p>
        </w:tc>
        <w:tc>
          <w:tcPr>
            <w:tcW w:w="0" w:type="dxa"/>
            <w:vAlign w:val="bottom"/>
          </w:tcPr>
          <w:p>
            <w:pPr>
              <w:spacing w:after="0"/>
              <w:rPr>
                <w:sz w:val="1"/>
                <w:szCs w:val="1"/>
                <w:color w:val="auto"/>
              </w:rPr>
            </w:pPr>
          </w:p>
        </w:tc>
      </w:tr>
      <w:tr>
        <w:trPr>
          <w:trHeight w:val="156"/>
        </w:trPr>
        <w:tc>
          <w:tcPr>
            <w:tcW w:w="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w:t>
            </w:r>
          </w:p>
        </w:tc>
        <w:tc>
          <w:tcPr>
            <w:tcW w:w="98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xx/xx/xxxx</w:t>
            </w:r>
          </w:p>
        </w:tc>
        <w:tc>
          <w:tcPr>
            <w:tcW w:w="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76"/>
              </w:rPr>
              <w:t>6</w:t>
            </w: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9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40" w:type="dxa"/>
            <w:vAlign w:val="bottom"/>
            <w:tcBorders>
              <w:bottom w:val="single" w:sz="8" w:color="auto"/>
              <w:right w:val="single" w:sz="8" w:color="auto"/>
            </w:tcBorders>
          </w:tcPr>
          <w:p>
            <w:pPr>
              <w:ind w:left="600"/>
              <w:spacing w:after="0" w:line="156" w:lineRule="exact"/>
              <w:rPr>
                <w:sz w:val="20"/>
                <w:szCs w:val="20"/>
                <w:color w:val="auto"/>
              </w:rPr>
            </w:pPr>
            <w:r>
              <w:rPr>
                <w:rFonts w:ascii="Arial" w:cs="Arial" w:eastAsia="Arial" w:hAnsi="Arial"/>
                <w:sz w:val="14"/>
                <w:szCs w:val="14"/>
                <w:color w:val="auto"/>
              </w:rPr>
              <w:t>xx.xx</w:t>
            </w:r>
          </w:p>
        </w:tc>
        <w:tc>
          <w:tcPr>
            <w:tcW w:w="940" w:type="dxa"/>
            <w:vAlign w:val="bottom"/>
            <w:tcBorders>
              <w:bottom w:val="single" w:sz="8" w:color="auto"/>
              <w:right w:val="single" w:sz="8" w:color="auto"/>
            </w:tcBorders>
          </w:tcPr>
          <w:p>
            <w:pPr>
              <w:ind w:left="520"/>
              <w:spacing w:after="0" w:line="156" w:lineRule="exact"/>
              <w:rPr>
                <w:sz w:val="20"/>
                <w:szCs w:val="20"/>
                <w:color w:val="auto"/>
              </w:rPr>
            </w:pPr>
            <w:r>
              <w:rPr>
                <w:rFonts w:ascii="Arial" w:cs="Arial" w:eastAsia="Arial" w:hAnsi="Arial"/>
                <w:sz w:val="14"/>
                <w:szCs w:val="14"/>
                <w:color w:val="auto"/>
              </w:rPr>
              <w:t>xx.xx</w:t>
            </w:r>
          </w:p>
        </w:tc>
        <w:tc>
          <w:tcPr>
            <w:tcW w:w="900" w:type="dxa"/>
            <w:vAlign w:val="bottom"/>
            <w:tcBorders>
              <w:bottom w:val="single" w:sz="8" w:color="auto"/>
              <w:right w:val="single" w:sz="8" w:color="auto"/>
            </w:tcBorders>
          </w:tcPr>
          <w:p>
            <w:pPr>
              <w:ind w:left="480"/>
              <w:spacing w:after="0" w:line="156" w:lineRule="exact"/>
              <w:rPr>
                <w:sz w:val="20"/>
                <w:szCs w:val="20"/>
                <w:color w:val="auto"/>
              </w:rPr>
            </w:pPr>
            <w:r>
              <w:rPr>
                <w:rFonts w:ascii="Arial" w:cs="Arial" w:eastAsia="Arial" w:hAnsi="Arial"/>
                <w:sz w:val="14"/>
                <w:szCs w:val="14"/>
                <w:color w:val="auto"/>
              </w:rPr>
              <w:t>xx.xx</w:t>
            </w:r>
          </w:p>
        </w:tc>
        <w:tc>
          <w:tcPr>
            <w:tcW w:w="0" w:type="dxa"/>
            <w:vAlign w:val="bottom"/>
          </w:tcPr>
          <w:p>
            <w:pPr>
              <w:spacing w:after="0"/>
              <w:rPr>
                <w:sz w:val="1"/>
                <w:szCs w:val="1"/>
                <w:color w:val="auto"/>
              </w:rPr>
            </w:pPr>
          </w:p>
        </w:tc>
      </w:tr>
      <w:tr>
        <w:trPr>
          <w:trHeight w:val="156"/>
        </w:trPr>
        <w:tc>
          <w:tcPr>
            <w:tcW w:w="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w:t>
            </w:r>
          </w:p>
        </w:tc>
        <w:tc>
          <w:tcPr>
            <w:tcW w:w="98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xx/xx/xxxx</w:t>
            </w:r>
          </w:p>
        </w:tc>
        <w:tc>
          <w:tcPr>
            <w:tcW w:w="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76"/>
              </w:rPr>
              <w:t>7</w:t>
            </w: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9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40" w:type="dxa"/>
            <w:vAlign w:val="bottom"/>
            <w:tcBorders>
              <w:bottom w:val="single" w:sz="8" w:color="auto"/>
              <w:right w:val="single" w:sz="8" w:color="auto"/>
            </w:tcBorders>
          </w:tcPr>
          <w:p>
            <w:pPr>
              <w:ind w:left="600"/>
              <w:spacing w:after="0" w:line="156" w:lineRule="exact"/>
              <w:rPr>
                <w:sz w:val="20"/>
                <w:szCs w:val="20"/>
                <w:color w:val="auto"/>
              </w:rPr>
            </w:pPr>
            <w:r>
              <w:rPr>
                <w:rFonts w:ascii="Arial" w:cs="Arial" w:eastAsia="Arial" w:hAnsi="Arial"/>
                <w:sz w:val="14"/>
                <w:szCs w:val="14"/>
                <w:color w:val="auto"/>
              </w:rPr>
              <w:t>xx.xx</w:t>
            </w:r>
          </w:p>
        </w:tc>
        <w:tc>
          <w:tcPr>
            <w:tcW w:w="940" w:type="dxa"/>
            <w:vAlign w:val="bottom"/>
            <w:tcBorders>
              <w:bottom w:val="single" w:sz="8" w:color="auto"/>
              <w:right w:val="single" w:sz="8" w:color="auto"/>
            </w:tcBorders>
          </w:tcPr>
          <w:p>
            <w:pPr>
              <w:ind w:left="520"/>
              <w:spacing w:after="0" w:line="156" w:lineRule="exact"/>
              <w:rPr>
                <w:sz w:val="20"/>
                <w:szCs w:val="20"/>
                <w:color w:val="auto"/>
              </w:rPr>
            </w:pPr>
            <w:r>
              <w:rPr>
                <w:rFonts w:ascii="Arial" w:cs="Arial" w:eastAsia="Arial" w:hAnsi="Arial"/>
                <w:sz w:val="14"/>
                <w:szCs w:val="14"/>
                <w:color w:val="auto"/>
              </w:rPr>
              <w:t>xx.xx</w:t>
            </w:r>
          </w:p>
        </w:tc>
        <w:tc>
          <w:tcPr>
            <w:tcW w:w="900" w:type="dxa"/>
            <w:vAlign w:val="bottom"/>
            <w:tcBorders>
              <w:bottom w:val="single" w:sz="8" w:color="auto"/>
              <w:right w:val="single" w:sz="8" w:color="auto"/>
            </w:tcBorders>
          </w:tcPr>
          <w:p>
            <w:pPr>
              <w:ind w:left="480"/>
              <w:spacing w:after="0" w:line="156" w:lineRule="exact"/>
              <w:rPr>
                <w:sz w:val="20"/>
                <w:szCs w:val="20"/>
                <w:color w:val="auto"/>
              </w:rPr>
            </w:pPr>
            <w:r>
              <w:rPr>
                <w:rFonts w:ascii="Arial" w:cs="Arial" w:eastAsia="Arial" w:hAnsi="Arial"/>
                <w:sz w:val="14"/>
                <w:szCs w:val="14"/>
                <w:color w:val="auto"/>
              </w:rPr>
              <w:t>xx.xx</w:t>
            </w:r>
          </w:p>
        </w:tc>
        <w:tc>
          <w:tcPr>
            <w:tcW w:w="0" w:type="dxa"/>
            <w:vAlign w:val="bottom"/>
          </w:tcPr>
          <w:p>
            <w:pPr>
              <w:spacing w:after="0"/>
              <w:rPr>
                <w:sz w:val="1"/>
                <w:szCs w:val="1"/>
                <w:color w:val="auto"/>
              </w:rPr>
            </w:pPr>
          </w:p>
        </w:tc>
      </w:tr>
      <w:tr>
        <w:trPr>
          <w:trHeight w:val="156"/>
        </w:trPr>
        <w:tc>
          <w:tcPr>
            <w:tcW w:w="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w:t>
            </w:r>
          </w:p>
        </w:tc>
        <w:tc>
          <w:tcPr>
            <w:tcW w:w="98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xx/xx/xxxx</w:t>
            </w:r>
          </w:p>
        </w:tc>
        <w:tc>
          <w:tcPr>
            <w:tcW w:w="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76"/>
              </w:rPr>
              <w:t>8</w:t>
            </w: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9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40" w:type="dxa"/>
            <w:vAlign w:val="bottom"/>
            <w:tcBorders>
              <w:bottom w:val="single" w:sz="8" w:color="auto"/>
              <w:right w:val="single" w:sz="8" w:color="auto"/>
            </w:tcBorders>
          </w:tcPr>
          <w:p>
            <w:pPr>
              <w:ind w:left="600"/>
              <w:spacing w:after="0" w:line="156" w:lineRule="exact"/>
              <w:rPr>
                <w:sz w:val="20"/>
                <w:szCs w:val="20"/>
                <w:color w:val="auto"/>
              </w:rPr>
            </w:pPr>
            <w:r>
              <w:rPr>
                <w:rFonts w:ascii="Arial" w:cs="Arial" w:eastAsia="Arial" w:hAnsi="Arial"/>
                <w:sz w:val="14"/>
                <w:szCs w:val="14"/>
                <w:color w:val="auto"/>
              </w:rPr>
              <w:t>xx.xx</w:t>
            </w:r>
          </w:p>
        </w:tc>
        <w:tc>
          <w:tcPr>
            <w:tcW w:w="940" w:type="dxa"/>
            <w:vAlign w:val="bottom"/>
            <w:tcBorders>
              <w:bottom w:val="single" w:sz="8" w:color="auto"/>
              <w:right w:val="single" w:sz="8" w:color="auto"/>
            </w:tcBorders>
          </w:tcPr>
          <w:p>
            <w:pPr>
              <w:ind w:left="520"/>
              <w:spacing w:after="0" w:line="156" w:lineRule="exact"/>
              <w:rPr>
                <w:sz w:val="20"/>
                <w:szCs w:val="20"/>
                <w:color w:val="auto"/>
              </w:rPr>
            </w:pPr>
            <w:r>
              <w:rPr>
                <w:rFonts w:ascii="Arial" w:cs="Arial" w:eastAsia="Arial" w:hAnsi="Arial"/>
                <w:sz w:val="14"/>
                <w:szCs w:val="14"/>
                <w:color w:val="auto"/>
              </w:rPr>
              <w:t>xx.xx</w:t>
            </w:r>
          </w:p>
        </w:tc>
        <w:tc>
          <w:tcPr>
            <w:tcW w:w="900" w:type="dxa"/>
            <w:vAlign w:val="bottom"/>
            <w:tcBorders>
              <w:bottom w:val="single" w:sz="8" w:color="auto"/>
              <w:right w:val="single" w:sz="8" w:color="auto"/>
            </w:tcBorders>
          </w:tcPr>
          <w:p>
            <w:pPr>
              <w:ind w:left="480"/>
              <w:spacing w:after="0" w:line="156" w:lineRule="exact"/>
              <w:rPr>
                <w:sz w:val="20"/>
                <w:szCs w:val="20"/>
                <w:color w:val="auto"/>
              </w:rPr>
            </w:pPr>
            <w:r>
              <w:rPr>
                <w:rFonts w:ascii="Arial" w:cs="Arial" w:eastAsia="Arial" w:hAnsi="Arial"/>
                <w:sz w:val="14"/>
                <w:szCs w:val="14"/>
                <w:color w:val="auto"/>
              </w:rPr>
              <w:t>xx.xx</w:t>
            </w:r>
          </w:p>
        </w:tc>
        <w:tc>
          <w:tcPr>
            <w:tcW w:w="0" w:type="dxa"/>
            <w:vAlign w:val="bottom"/>
          </w:tcPr>
          <w:p>
            <w:pPr>
              <w:spacing w:after="0"/>
              <w:rPr>
                <w:sz w:val="1"/>
                <w:szCs w:val="1"/>
                <w:color w:val="auto"/>
              </w:rPr>
            </w:pPr>
          </w:p>
        </w:tc>
      </w:tr>
      <w:tr>
        <w:trPr>
          <w:trHeight w:val="156"/>
        </w:trPr>
        <w:tc>
          <w:tcPr>
            <w:tcW w:w="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w:t>
            </w:r>
          </w:p>
        </w:tc>
        <w:tc>
          <w:tcPr>
            <w:tcW w:w="98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xx/xx/xxxx</w:t>
            </w:r>
          </w:p>
        </w:tc>
        <w:tc>
          <w:tcPr>
            <w:tcW w:w="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76"/>
              </w:rPr>
              <w:t>9</w:t>
            </w: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9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40" w:type="dxa"/>
            <w:vAlign w:val="bottom"/>
            <w:tcBorders>
              <w:bottom w:val="single" w:sz="8" w:color="auto"/>
              <w:right w:val="single" w:sz="8" w:color="auto"/>
            </w:tcBorders>
          </w:tcPr>
          <w:p>
            <w:pPr>
              <w:ind w:left="600"/>
              <w:spacing w:after="0" w:line="156" w:lineRule="exact"/>
              <w:rPr>
                <w:sz w:val="20"/>
                <w:szCs w:val="20"/>
                <w:color w:val="auto"/>
              </w:rPr>
            </w:pPr>
            <w:r>
              <w:rPr>
                <w:rFonts w:ascii="Arial" w:cs="Arial" w:eastAsia="Arial" w:hAnsi="Arial"/>
                <w:sz w:val="14"/>
                <w:szCs w:val="14"/>
                <w:color w:val="auto"/>
              </w:rPr>
              <w:t>xx.xx</w:t>
            </w:r>
          </w:p>
        </w:tc>
        <w:tc>
          <w:tcPr>
            <w:tcW w:w="940" w:type="dxa"/>
            <w:vAlign w:val="bottom"/>
            <w:tcBorders>
              <w:bottom w:val="single" w:sz="8" w:color="auto"/>
              <w:right w:val="single" w:sz="8" w:color="auto"/>
            </w:tcBorders>
          </w:tcPr>
          <w:p>
            <w:pPr>
              <w:ind w:left="520"/>
              <w:spacing w:after="0" w:line="156" w:lineRule="exact"/>
              <w:rPr>
                <w:sz w:val="20"/>
                <w:szCs w:val="20"/>
                <w:color w:val="auto"/>
              </w:rPr>
            </w:pPr>
            <w:r>
              <w:rPr>
                <w:rFonts w:ascii="Arial" w:cs="Arial" w:eastAsia="Arial" w:hAnsi="Arial"/>
                <w:sz w:val="14"/>
                <w:szCs w:val="14"/>
                <w:color w:val="auto"/>
              </w:rPr>
              <w:t>xx.xx</w:t>
            </w:r>
          </w:p>
        </w:tc>
        <w:tc>
          <w:tcPr>
            <w:tcW w:w="900" w:type="dxa"/>
            <w:vAlign w:val="bottom"/>
            <w:tcBorders>
              <w:bottom w:val="single" w:sz="8" w:color="auto"/>
              <w:right w:val="single" w:sz="8" w:color="auto"/>
            </w:tcBorders>
          </w:tcPr>
          <w:p>
            <w:pPr>
              <w:ind w:left="480"/>
              <w:spacing w:after="0" w:line="156" w:lineRule="exact"/>
              <w:rPr>
                <w:sz w:val="20"/>
                <w:szCs w:val="20"/>
                <w:color w:val="auto"/>
              </w:rPr>
            </w:pPr>
            <w:r>
              <w:rPr>
                <w:rFonts w:ascii="Arial" w:cs="Arial" w:eastAsia="Arial" w:hAnsi="Arial"/>
                <w:sz w:val="14"/>
                <w:szCs w:val="14"/>
                <w:color w:val="auto"/>
              </w:rPr>
              <w:t>xx.xx</w:t>
            </w:r>
          </w:p>
        </w:tc>
        <w:tc>
          <w:tcPr>
            <w:tcW w:w="0" w:type="dxa"/>
            <w:vAlign w:val="bottom"/>
          </w:tcPr>
          <w:p>
            <w:pPr>
              <w:spacing w:after="0"/>
              <w:rPr>
                <w:sz w:val="1"/>
                <w:szCs w:val="1"/>
                <w:color w:val="auto"/>
              </w:rPr>
            </w:pPr>
          </w:p>
        </w:tc>
      </w:tr>
      <w:tr>
        <w:trPr>
          <w:trHeight w:val="156"/>
        </w:trPr>
        <w:tc>
          <w:tcPr>
            <w:tcW w:w="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w:t>
            </w:r>
          </w:p>
        </w:tc>
        <w:tc>
          <w:tcPr>
            <w:tcW w:w="98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xx/xx/xxxx</w:t>
            </w:r>
          </w:p>
        </w:tc>
        <w:tc>
          <w:tcPr>
            <w:tcW w:w="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89"/>
              </w:rPr>
              <w:t>10</w:t>
            </w: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9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40" w:type="dxa"/>
            <w:vAlign w:val="bottom"/>
            <w:tcBorders>
              <w:bottom w:val="single" w:sz="8" w:color="auto"/>
              <w:right w:val="single" w:sz="8" w:color="auto"/>
            </w:tcBorders>
          </w:tcPr>
          <w:p>
            <w:pPr>
              <w:ind w:left="600"/>
              <w:spacing w:after="0" w:line="156" w:lineRule="exact"/>
              <w:rPr>
                <w:sz w:val="20"/>
                <w:szCs w:val="20"/>
                <w:color w:val="auto"/>
              </w:rPr>
            </w:pPr>
            <w:r>
              <w:rPr>
                <w:rFonts w:ascii="Arial" w:cs="Arial" w:eastAsia="Arial" w:hAnsi="Arial"/>
                <w:sz w:val="14"/>
                <w:szCs w:val="14"/>
                <w:color w:val="auto"/>
              </w:rPr>
              <w:t>xx.xx</w:t>
            </w:r>
          </w:p>
        </w:tc>
        <w:tc>
          <w:tcPr>
            <w:tcW w:w="940" w:type="dxa"/>
            <w:vAlign w:val="bottom"/>
            <w:tcBorders>
              <w:bottom w:val="single" w:sz="8" w:color="auto"/>
              <w:right w:val="single" w:sz="8" w:color="auto"/>
            </w:tcBorders>
          </w:tcPr>
          <w:p>
            <w:pPr>
              <w:ind w:left="520"/>
              <w:spacing w:after="0" w:line="156" w:lineRule="exact"/>
              <w:rPr>
                <w:sz w:val="20"/>
                <w:szCs w:val="20"/>
                <w:color w:val="auto"/>
              </w:rPr>
            </w:pPr>
            <w:r>
              <w:rPr>
                <w:rFonts w:ascii="Arial" w:cs="Arial" w:eastAsia="Arial" w:hAnsi="Arial"/>
                <w:sz w:val="14"/>
                <w:szCs w:val="14"/>
                <w:color w:val="auto"/>
              </w:rPr>
              <w:t>xx.xx</w:t>
            </w:r>
          </w:p>
        </w:tc>
        <w:tc>
          <w:tcPr>
            <w:tcW w:w="900" w:type="dxa"/>
            <w:vAlign w:val="bottom"/>
            <w:tcBorders>
              <w:bottom w:val="single" w:sz="8" w:color="auto"/>
              <w:right w:val="single" w:sz="8" w:color="auto"/>
            </w:tcBorders>
          </w:tcPr>
          <w:p>
            <w:pPr>
              <w:ind w:left="480"/>
              <w:spacing w:after="0" w:line="156" w:lineRule="exact"/>
              <w:rPr>
                <w:sz w:val="20"/>
                <w:szCs w:val="20"/>
                <w:color w:val="auto"/>
              </w:rPr>
            </w:pPr>
            <w:r>
              <w:rPr>
                <w:rFonts w:ascii="Arial" w:cs="Arial" w:eastAsia="Arial" w:hAnsi="Arial"/>
                <w:sz w:val="14"/>
                <w:szCs w:val="14"/>
                <w:color w:val="auto"/>
              </w:rPr>
              <w:t>xx.xx</w:t>
            </w:r>
          </w:p>
        </w:tc>
        <w:tc>
          <w:tcPr>
            <w:tcW w:w="0" w:type="dxa"/>
            <w:vAlign w:val="bottom"/>
          </w:tcPr>
          <w:p>
            <w:pPr>
              <w:spacing w:after="0"/>
              <w:rPr>
                <w:sz w:val="1"/>
                <w:szCs w:val="1"/>
                <w:color w:val="auto"/>
              </w:rPr>
            </w:pPr>
          </w:p>
        </w:tc>
      </w:tr>
      <w:tr>
        <w:trPr>
          <w:trHeight w:val="156"/>
        </w:trPr>
        <w:tc>
          <w:tcPr>
            <w:tcW w:w="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w:t>
            </w:r>
          </w:p>
        </w:tc>
        <w:tc>
          <w:tcPr>
            <w:tcW w:w="98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xx/xx/xxxx</w:t>
            </w:r>
          </w:p>
        </w:tc>
        <w:tc>
          <w:tcPr>
            <w:tcW w:w="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89"/>
              </w:rPr>
              <w:t>11</w:t>
            </w: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9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40" w:type="dxa"/>
            <w:vAlign w:val="bottom"/>
            <w:tcBorders>
              <w:bottom w:val="single" w:sz="8" w:color="auto"/>
              <w:right w:val="single" w:sz="8" w:color="auto"/>
            </w:tcBorders>
          </w:tcPr>
          <w:p>
            <w:pPr>
              <w:ind w:left="600"/>
              <w:spacing w:after="0" w:line="156" w:lineRule="exact"/>
              <w:rPr>
                <w:sz w:val="20"/>
                <w:szCs w:val="20"/>
                <w:color w:val="auto"/>
              </w:rPr>
            </w:pPr>
            <w:r>
              <w:rPr>
                <w:rFonts w:ascii="Arial" w:cs="Arial" w:eastAsia="Arial" w:hAnsi="Arial"/>
                <w:sz w:val="14"/>
                <w:szCs w:val="14"/>
                <w:color w:val="auto"/>
              </w:rPr>
              <w:t>xx.xx</w:t>
            </w:r>
          </w:p>
        </w:tc>
        <w:tc>
          <w:tcPr>
            <w:tcW w:w="940" w:type="dxa"/>
            <w:vAlign w:val="bottom"/>
            <w:tcBorders>
              <w:bottom w:val="single" w:sz="8" w:color="auto"/>
              <w:right w:val="single" w:sz="8" w:color="auto"/>
            </w:tcBorders>
          </w:tcPr>
          <w:p>
            <w:pPr>
              <w:ind w:left="520"/>
              <w:spacing w:after="0" w:line="156" w:lineRule="exact"/>
              <w:rPr>
                <w:sz w:val="20"/>
                <w:szCs w:val="20"/>
                <w:color w:val="auto"/>
              </w:rPr>
            </w:pPr>
            <w:r>
              <w:rPr>
                <w:rFonts w:ascii="Arial" w:cs="Arial" w:eastAsia="Arial" w:hAnsi="Arial"/>
                <w:sz w:val="14"/>
                <w:szCs w:val="14"/>
                <w:color w:val="auto"/>
              </w:rPr>
              <w:t>xx.xx</w:t>
            </w:r>
          </w:p>
        </w:tc>
        <w:tc>
          <w:tcPr>
            <w:tcW w:w="900" w:type="dxa"/>
            <w:vAlign w:val="bottom"/>
            <w:tcBorders>
              <w:bottom w:val="single" w:sz="8" w:color="auto"/>
              <w:right w:val="single" w:sz="8" w:color="auto"/>
            </w:tcBorders>
          </w:tcPr>
          <w:p>
            <w:pPr>
              <w:ind w:left="480"/>
              <w:spacing w:after="0" w:line="156" w:lineRule="exact"/>
              <w:rPr>
                <w:sz w:val="20"/>
                <w:szCs w:val="20"/>
                <w:color w:val="auto"/>
              </w:rPr>
            </w:pPr>
            <w:r>
              <w:rPr>
                <w:rFonts w:ascii="Arial" w:cs="Arial" w:eastAsia="Arial" w:hAnsi="Arial"/>
                <w:sz w:val="14"/>
                <w:szCs w:val="14"/>
                <w:color w:val="auto"/>
              </w:rPr>
              <w:t>xx.xx</w:t>
            </w:r>
          </w:p>
        </w:tc>
        <w:tc>
          <w:tcPr>
            <w:tcW w:w="0" w:type="dxa"/>
            <w:vAlign w:val="bottom"/>
          </w:tcPr>
          <w:p>
            <w:pPr>
              <w:spacing w:after="0"/>
              <w:rPr>
                <w:sz w:val="1"/>
                <w:szCs w:val="1"/>
                <w:color w:val="auto"/>
              </w:rPr>
            </w:pPr>
          </w:p>
        </w:tc>
      </w:tr>
      <w:tr>
        <w:trPr>
          <w:trHeight w:val="156"/>
        </w:trPr>
        <w:tc>
          <w:tcPr>
            <w:tcW w:w="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w:t>
            </w:r>
          </w:p>
        </w:tc>
        <w:tc>
          <w:tcPr>
            <w:tcW w:w="98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xx/xx/xxxx</w:t>
            </w:r>
          </w:p>
        </w:tc>
        <w:tc>
          <w:tcPr>
            <w:tcW w:w="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89"/>
              </w:rPr>
              <w:t>12</w:t>
            </w: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9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40" w:type="dxa"/>
            <w:vAlign w:val="bottom"/>
            <w:tcBorders>
              <w:bottom w:val="single" w:sz="8" w:color="auto"/>
              <w:right w:val="single" w:sz="8" w:color="auto"/>
            </w:tcBorders>
          </w:tcPr>
          <w:p>
            <w:pPr>
              <w:ind w:left="600"/>
              <w:spacing w:after="0" w:line="156" w:lineRule="exact"/>
              <w:rPr>
                <w:sz w:val="20"/>
                <w:szCs w:val="20"/>
                <w:color w:val="auto"/>
              </w:rPr>
            </w:pPr>
            <w:r>
              <w:rPr>
                <w:rFonts w:ascii="Arial" w:cs="Arial" w:eastAsia="Arial" w:hAnsi="Arial"/>
                <w:sz w:val="14"/>
                <w:szCs w:val="14"/>
                <w:color w:val="auto"/>
              </w:rPr>
              <w:t>xx.xx</w:t>
            </w:r>
          </w:p>
        </w:tc>
        <w:tc>
          <w:tcPr>
            <w:tcW w:w="940" w:type="dxa"/>
            <w:vAlign w:val="bottom"/>
            <w:tcBorders>
              <w:bottom w:val="single" w:sz="8" w:color="auto"/>
              <w:right w:val="single" w:sz="8" w:color="auto"/>
            </w:tcBorders>
          </w:tcPr>
          <w:p>
            <w:pPr>
              <w:ind w:left="520"/>
              <w:spacing w:after="0" w:line="156" w:lineRule="exact"/>
              <w:rPr>
                <w:sz w:val="20"/>
                <w:szCs w:val="20"/>
                <w:color w:val="auto"/>
              </w:rPr>
            </w:pPr>
            <w:r>
              <w:rPr>
                <w:rFonts w:ascii="Arial" w:cs="Arial" w:eastAsia="Arial" w:hAnsi="Arial"/>
                <w:sz w:val="14"/>
                <w:szCs w:val="14"/>
                <w:color w:val="auto"/>
              </w:rPr>
              <w:t>xx.xx</w:t>
            </w:r>
          </w:p>
        </w:tc>
        <w:tc>
          <w:tcPr>
            <w:tcW w:w="900" w:type="dxa"/>
            <w:vAlign w:val="bottom"/>
            <w:tcBorders>
              <w:bottom w:val="single" w:sz="8" w:color="auto"/>
              <w:right w:val="single" w:sz="8" w:color="auto"/>
            </w:tcBorders>
          </w:tcPr>
          <w:p>
            <w:pPr>
              <w:ind w:left="480"/>
              <w:spacing w:after="0" w:line="156" w:lineRule="exact"/>
              <w:rPr>
                <w:sz w:val="20"/>
                <w:szCs w:val="20"/>
                <w:color w:val="auto"/>
              </w:rPr>
            </w:pPr>
            <w:r>
              <w:rPr>
                <w:rFonts w:ascii="Arial" w:cs="Arial" w:eastAsia="Arial" w:hAnsi="Arial"/>
                <w:sz w:val="14"/>
                <w:szCs w:val="14"/>
                <w:color w:val="auto"/>
              </w:rPr>
              <w:t>xx.xx</w:t>
            </w:r>
          </w:p>
        </w:tc>
        <w:tc>
          <w:tcPr>
            <w:tcW w:w="0" w:type="dxa"/>
            <w:vAlign w:val="bottom"/>
          </w:tcPr>
          <w:p>
            <w:pPr>
              <w:spacing w:after="0"/>
              <w:rPr>
                <w:sz w:val="1"/>
                <w:szCs w:val="1"/>
                <w:color w:val="auto"/>
              </w:rPr>
            </w:pPr>
          </w:p>
        </w:tc>
      </w:tr>
      <w:tr>
        <w:trPr>
          <w:trHeight w:val="156"/>
        </w:trPr>
        <w:tc>
          <w:tcPr>
            <w:tcW w:w="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w:t>
            </w:r>
          </w:p>
        </w:tc>
        <w:tc>
          <w:tcPr>
            <w:tcW w:w="98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xx/xx/xxxx</w:t>
            </w:r>
          </w:p>
        </w:tc>
        <w:tc>
          <w:tcPr>
            <w:tcW w:w="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89"/>
              </w:rPr>
              <w:t>13</w:t>
            </w: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9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40" w:type="dxa"/>
            <w:vAlign w:val="bottom"/>
            <w:tcBorders>
              <w:bottom w:val="single" w:sz="8" w:color="auto"/>
              <w:right w:val="single" w:sz="8" w:color="auto"/>
            </w:tcBorders>
          </w:tcPr>
          <w:p>
            <w:pPr>
              <w:ind w:left="600"/>
              <w:spacing w:after="0" w:line="156" w:lineRule="exact"/>
              <w:rPr>
                <w:sz w:val="20"/>
                <w:szCs w:val="20"/>
                <w:color w:val="auto"/>
              </w:rPr>
            </w:pPr>
            <w:r>
              <w:rPr>
                <w:rFonts w:ascii="Arial" w:cs="Arial" w:eastAsia="Arial" w:hAnsi="Arial"/>
                <w:sz w:val="14"/>
                <w:szCs w:val="14"/>
                <w:color w:val="auto"/>
              </w:rPr>
              <w:t>xx.xx</w:t>
            </w:r>
          </w:p>
        </w:tc>
        <w:tc>
          <w:tcPr>
            <w:tcW w:w="940" w:type="dxa"/>
            <w:vAlign w:val="bottom"/>
            <w:tcBorders>
              <w:bottom w:val="single" w:sz="8" w:color="auto"/>
              <w:right w:val="single" w:sz="8" w:color="auto"/>
            </w:tcBorders>
          </w:tcPr>
          <w:p>
            <w:pPr>
              <w:ind w:left="520"/>
              <w:spacing w:after="0" w:line="156" w:lineRule="exact"/>
              <w:rPr>
                <w:sz w:val="20"/>
                <w:szCs w:val="20"/>
                <w:color w:val="auto"/>
              </w:rPr>
            </w:pPr>
            <w:r>
              <w:rPr>
                <w:rFonts w:ascii="Arial" w:cs="Arial" w:eastAsia="Arial" w:hAnsi="Arial"/>
                <w:sz w:val="14"/>
                <w:szCs w:val="14"/>
                <w:color w:val="auto"/>
              </w:rPr>
              <w:t>xx.xx</w:t>
            </w:r>
          </w:p>
        </w:tc>
        <w:tc>
          <w:tcPr>
            <w:tcW w:w="900" w:type="dxa"/>
            <w:vAlign w:val="bottom"/>
            <w:tcBorders>
              <w:bottom w:val="single" w:sz="8" w:color="auto"/>
              <w:right w:val="single" w:sz="8" w:color="auto"/>
            </w:tcBorders>
          </w:tcPr>
          <w:p>
            <w:pPr>
              <w:ind w:left="480"/>
              <w:spacing w:after="0" w:line="156" w:lineRule="exact"/>
              <w:rPr>
                <w:sz w:val="20"/>
                <w:szCs w:val="20"/>
                <w:color w:val="auto"/>
              </w:rPr>
            </w:pPr>
            <w:r>
              <w:rPr>
                <w:rFonts w:ascii="Arial" w:cs="Arial" w:eastAsia="Arial" w:hAnsi="Arial"/>
                <w:sz w:val="14"/>
                <w:szCs w:val="14"/>
                <w:color w:val="auto"/>
              </w:rPr>
              <w:t>xx.xx</w:t>
            </w:r>
          </w:p>
        </w:tc>
        <w:tc>
          <w:tcPr>
            <w:tcW w:w="0" w:type="dxa"/>
            <w:vAlign w:val="bottom"/>
          </w:tcPr>
          <w:p>
            <w:pPr>
              <w:spacing w:after="0"/>
              <w:rPr>
                <w:sz w:val="1"/>
                <w:szCs w:val="1"/>
                <w:color w:val="auto"/>
              </w:rPr>
            </w:pPr>
          </w:p>
        </w:tc>
      </w:tr>
      <w:tr>
        <w:trPr>
          <w:trHeight w:val="156"/>
        </w:trPr>
        <w:tc>
          <w:tcPr>
            <w:tcW w:w="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w:t>
            </w:r>
          </w:p>
        </w:tc>
        <w:tc>
          <w:tcPr>
            <w:tcW w:w="98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xx/xx/xxxx</w:t>
            </w:r>
          </w:p>
        </w:tc>
        <w:tc>
          <w:tcPr>
            <w:tcW w:w="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89"/>
              </w:rPr>
              <w:t>14</w:t>
            </w: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9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40" w:type="dxa"/>
            <w:vAlign w:val="bottom"/>
            <w:tcBorders>
              <w:bottom w:val="single" w:sz="8" w:color="auto"/>
              <w:right w:val="single" w:sz="8" w:color="auto"/>
            </w:tcBorders>
          </w:tcPr>
          <w:p>
            <w:pPr>
              <w:ind w:left="600"/>
              <w:spacing w:after="0" w:line="156" w:lineRule="exact"/>
              <w:rPr>
                <w:sz w:val="20"/>
                <w:szCs w:val="20"/>
                <w:color w:val="auto"/>
              </w:rPr>
            </w:pPr>
            <w:r>
              <w:rPr>
                <w:rFonts w:ascii="Arial" w:cs="Arial" w:eastAsia="Arial" w:hAnsi="Arial"/>
                <w:sz w:val="14"/>
                <w:szCs w:val="14"/>
                <w:color w:val="auto"/>
              </w:rPr>
              <w:t>xx.xx</w:t>
            </w:r>
          </w:p>
        </w:tc>
        <w:tc>
          <w:tcPr>
            <w:tcW w:w="940" w:type="dxa"/>
            <w:vAlign w:val="bottom"/>
            <w:tcBorders>
              <w:bottom w:val="single" w:sz="8" w:color="auto"/>
              <w:right w:val="single" w:sz="8" w:color="auto"/>
            </w:tcBorders>
          </w:tcPr>
          <w:p>
            <w:pPr>
              <w:ind w:left="520"/>
              <w:spacing w:after="0" w:line="156" w:lineRule="exact"/>
              <w:rPr>
                <w:sz w:val="20"/>
                <w:szCs w:val="20"/>
                <w:color w:val="auto"/>
              </w:rPr>
            </w:pPr>
            <w:r>
              <w:rPr>
                <w:rFonts w:ascii="Arial" w:cs="Arial" w:eastAsia="Arial" w:hAnsi="Arial"/>
                <w:sz w:val="14"/>
                <w:szCs w:val="14"/>
                <w:color w:val="auto"/>
              </w:rPr>
              <w:t>xx.xx</w:t>
            </w:r>
          </w:p>
        </w:tc>
        <w:tc>
          <w:tcPr>
            <w:tcW w:w="900" w:type="dxa"/>
            <w:vAlign w:val="bottom"/>
            <w:tcBorders>
              <w:bottom w:val="single" w:sz="8" w:color="auto"/>
              <w:right w:val="single" w:sz="8" w:color="auto"/>
            </w:tcBorders>
          </w:tcPr>
          <w:p>
            <w:pPr>
              <w:ind w:left="480"/>
              <w:spacing w:after="0" w:line="156" w:lineRule="exact"/>
              <w:rPr>
                <w:sz w:val="20"/>
                <w:szCs w:val="20"/>
                <w:color w:val="auto"/>
              </w:rPr>
            </w:pPr>
            <w:r>
              <w:rPr>
                <w:rFonts w:ascii="Arial" w:cs="Arial" w:eastAsia="Arial" w:hAnsi="Arial"/>
                <w:sz w:val="14"/>
                <w:szCs w:val="14"/>
                <w:color w:val="auto"/>
              </w:rPr>
              <w:t>xx.xx</w:t>
            </w:r>
          </w:p>
        </w:tc>
        <w:tc>
          <w:tcPr>
            <w:tcW w:w="0" w:type="dxa"/>
            <w:vAlign w:val="bottom"/>
          </w:tcPr>
          <w:p>
            <w:pPr>
              <w:spacing w:after="0"/>
              <w:rPr>
                <w:sz w:val="1"/>
                <w:szCs w:val="1"/>
                <w:color w:val="auto"/>
              </w:rPr>
            </w:pPr>
          </w:p>
        </w:tc>
      </w:tr>
      <w:tr>
        <w:trPr>
          <w:trHeight w:val="156"/>
        </w:trPr>
        <w:tc>
          <w:tcPr>
            <w:tcW w:w="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w:t>
            </w:r>
          </w:p>
        </w:tc>
        <w:tc>
          <w:tcPr>
            <w:tcW w:w="98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xx/xx/xxxx</w:t>
            </w:r>
          </w:p>
        </w:tc>
        <w:tc>
          <w:tcPr>
            <w:tcW w:w="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89"/>
              </w:rPr>
              <w:t>15</w:t>
            </w: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9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40" w:type="dxa"/>
            <w:vAlign w:val="bottom"/>
            <w:tcBorders>
              <w:bottom w:val="single" w:sz="8" w:color="auto"/>
              <w:right w:val="single" w:sz="8" w:color="auto"/>
            </w:tcBorders>
          </w:tcPr>
          <w:p>
            <w:pPr>
              <w:ind w:left="600"/>
              <w:spacing w:after="0" w:line="156" w:lineRule="exact"/>
              <w:rPr>
                <w:sz w:val="20"/>
                <w:szCs w:val="20"/>
                <w:color w:val="auto"/>
              </w:rPr>
            </w:pPr>
            <w:r>
              <w:rPr>
                <w:rFonts w:ascii="Arial" w:cs="Arial" w:eastAsia="Arial" w:hAnsi="Arial"/>
                <w:sz w:val="14"/>
                <w:szCs w:val="14"/>
                <w:color w:val="auto"/>
              </w:rPr>
              <w:t>xx.xx</w:t>
            </w:r>
          </w:p>
        </w:tc>
        <w:tc>
          <w:tcPr>
            <w:tcW w:w="940" w:type="dxa"/>
            <w:vAlign w:val="bottom"/>
            <w:tcBorders>
              <w:bottom w:val="single" w:sz="8" w:color="auto"/>
              <w:right w:val="single" w:sz="8" w:color="auto"/>
            </w:tcBorders>
          </w:tcPr>
          <w:p>
            <w:pPr>
              <w:ind w:left="520"/>
              <w:spacing w:after="0" w:line="156" w:lineRule="exact"/>
              <w:rPr>
                <w:sz w:val="20"/>
                <w:szCs w:val="20"/>
                <w:color w:val="auto"/>
              </w:rPr>
            </w:pPr>
            <w:r>
              <w:rPr>
                <w:rFonts w:ascii="Arial" w:cs="Arial" w:eastAsia="Arial" w:hAnsi="Arial"/>
                <w:sz w:val="14"/>
                <w:szCs w:val="14"/>
                <w:color w:val="auto"/>
              </w:rPr>
              <w:t>xx.xx</w:t>
            </w:r>
          </w:p>
        </w:tc>
        <w:tc>
          <w:tcPr>
            <w:tcW w:w="900" w:type="dxa"/>
            <w:vAlign w:val="bottom"/>
            <w:tcBorders>
              <w:bottom w:val="single" w:sz="8" w:color="auto"/>
              <w:right w:val="single" w:sz="8" w:color="auto"/>
            </w:tcBorders>
          </w:tcPr>
          <w:p>
            <w:pPr>
              <w:ind w:left="480"/>
              <w:spacing w:after="0" w:line="156" w:lineRule="exact"/>
              <w:rPr>
                <w:sz w:val="20"/>
                <w:szCs w:val="20"/>
                <w:color w:val="auto"/>
              </w:rPr>
            </w:pPr>
            <w:r>
              <w:rPr>
                <w:rFonts w:ascii="Arial" w:cs="Arial" w:eastAsia="Arial" w:hAnsi="Arial"/>
                <w:sz w:val="14"/>
                <w:szCs w:val="14"/>
                <w:color w:val="auto"/>
              </w:rPr>
              <w:t>xx.xx</w:t>
            </w:r>
          </w:p>
        </w:tc>
        <w:tc>
          <w:tcPr>
            <w:tcW w:w="0" w:type="dxa"/>
            <w:vAlign w:val="bottom"/>
          </w:tcPr>
          <w:p>
            <w:pPr>
              <w:spacing w:after="0"/>
              <w:rPr>
                <w:sz w:val="1"/>
                <w:szCs w:val="1"/>
                <w:color w:val="auto"/>
              </w:rPr>
            </w:pPr>
          </w:p>
        </w:tc>
      </w:tr>
      <w:tr>
        <w:trPr>
          <w:trHeight w:val="156"/>
        </w:trPr>
        <w:tc>
          <w:tcPr>
            <w:tcW w:w="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w:t>
            </w:r>
          </w:p>
        </w:tc>
        <w:tc>
          <w:tcPr>
            <w:tcW w:w="98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xx/xx/xxxx</w:t>
            </w:r>
          </w:p>
        </w:tc>
        <w:tc>
          <w:tcPr>
            <w:tcW w:w="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89"/>
              </w:rPr>
              <w:t>16</w:t>
            </w: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9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40" w:type="dxa"/>
            <w:vAlign w:val="bottom"/>
            <w:tcBorders>
              <w:bottom w:val="single" w:sz="8" w:color="auto"/>
              <w:right w:val="single" w:sz="8" w:color="auto"/>
            </w:tcBorders>
          </w:tcPr>
          <w:p>
            <w:pPr>
              <w:ind w:left="600"/>
              <w:spacing w:after="0" w:line="156" w:lineRule="exact"/>
              <w:rPr>
                <w:sz w:val="20"/>
                <w:szCs w:val="20"/>
                <w:color w:val="auto"/>
              </w:rPr>
            </w:pPr>
            <w:r>
              <w:rPr>
                <w:rFonts w:ascii="Arial" w:cs="Arial" w:eastAsia="Arial" w:hAnsi="Arial"/>
                <w:sz w:val="14"/>
                <w:szCs w:val="14"/>
                <w:color w:val="auto"/>
              </w:rPr>
              <w:t>xx.xx</w:t>
            </w:r>
          </w:p>
        </w:tc>
        <w:tc>
          <w:tcPr>
            <w:tcW w:w="940" w:type="dxa"/>
            <w:vAlign w:val="bottom"/>
            <w:tcBorders>
              <w:bottom w:val="single" w:sz="8" w:color="auto"/>
              <w:right w:val="single" w:sz="8" w:color="auto"/>
            </w:tcBorders>
          </w:tcPr>
          <w:p>
            <w:pPr>
              <w:ind w:left="520"/>
              <w:spacing w:after="0" w:line="156" w:lineRule="exact"/>
              <w:rPr>
                <w:sz w:val="20"/>
                <w:szCs w:val="20"/>
                <w:color w:val="auto"/>
              </w:rPr>
            </w:pPr>
            <w:r>
              <w:rPr>
                <w:rFonts w:ascii="Arial" w:cs="Arial" w:eastAsia="Arial" w:hAnsi="Arial"/>
                <w:sz w:val="14"/>
                <w:szCs w:val="14"/>
                <w:color w:val="auto"/>
              </w:rPr>
              <w:t>xx.xx</w:t>
            </w:r>
          </w:p>
        </w:tc>
        <w:tc>
          <w:tcPr>
            <w:tcW w:w="900" w:type="dxa"/>
            <w:vAlign w:val="bottom"/>
            <w:tcBorders>
              <w:bottom w:val="single" w:sz="8" w:color="auto"/>
              <w:right w:val="single" w:sz="8" w:color="auto"/>
            </w:tcBorders>
          </w:tcPr>
          <w:p>
            <w:pPr>
              <w:ind w:left="480"/>
              <w:spacing w:after="0" w:line="156" w:lineRule="exact"/>
              <w:rPr>
                <w:sz w:val="20"/>
                <w:szCs w:val="20"/>
                <w:color w:val="auto"/>
              </w:rPr>
            </w:pPr>
            <w:r>
              <w:rPr>
                <w:rFonts w:ascii="Arial" w:cs="Arial" w:eastAsia="Arial" w:hAnsi="Arial"/>
                <w:sz w:val="14"/>
                <w:szCs w:val="14"/>
                <w:color w:val="auto"/>
              </w:rPr>
              <w:t>xx.xx</w:t>
            </w:r>
          </w:p>
        </w:tc>
        <w:tc>
          <w:tcPr>
            <w:tcW w:w="0" w:type="dxa"/>
            <w:vAlign w:val="bottom"/>
          </w:tcPr>
          <w:p>
            <w:pPr>
              <w:spacing w:after="0"/>
              <w:rPr>
                <w:sz w:val="1"/>
                <w:szCs w:val="1"/>
                <w:color w:val="auto"/>
              </w:rPr>
            </w:pPr>
          </w:p>
        </w:tc>
      </w:tr>
      <w:tr>
        <w:trPr>
          <w:trHeight w:val="156"/>
        </w:trPr>
        <w:tc>
          <w:tcPr>
            <w:tcW w:w="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w:t>
            </w:r>
          </w:p>
        </w:tc>
        <w:tc>
          <w:tcPr>
            <w:tcW w:w="98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xx/xx/xxxx</w:t>
            </w:r>
          </w:p>
        </w:tc>
        <w:tc>
          <w:tcPr>
            <w:tcW w:w="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89"/>
              </w:rPr>
              <w:t>17</w:t>
            </w: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9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40" w:type="dxa"/>
            <w:vAlign w:val="bottom"/>
            <w:tcBorders>
              <w:bottom w:val="single" w:sz="8" w:color="auto"/>
              <w:right w:val="single" w:sz="8" w:color="auto"/>
            </w:tcBorders>
          </w:tcPr>
          <w:p>
            <w:pPr>
              <w:ind w:left="600"/>
              <w:spacing w:after="0" w:line="156" w:lineRule="exact"/>
              <w:rPr>
                <w:sz w:val="20"/>
                <w:szCs w:val="20"/>
                <w:color w:val="auto"/>
              </w:rPr>
            </w:pPr>
            <w:r>
              <w:rPr>
                <w:rFonts w:ascii="Arial" w:cs="Arial" w:eastAsia="Arial" w:hAnsi="Arial"/>
                <w:sz w:val="14"/>
                <w:szCs w:val="14"/>
                <w:color w:val="auto"/>
              </w:rPr>
              <w:t>xx.xx</w:t>
            </w:r>
          </w:p>
        </w:tc>
        <w:tc>
          <w:tcPr>
            <w:tcW w:w="940" w:type="dxa"/>
            <w:vAlign w:val="bottom"/>
            <w:tcBorders>
              <w:bottom w:val="single" w:sz="8" w:color="auto"/>
              <w:right w:val="single" w:sz="8" w:color="auto"/>
            </w:tcBorders>
          </w:tcPr>
          <w:p>
            <w:pPr>
              <w:ind w:left="520"/>
              <w:spacing w:after="0" w:line="156" w:lineRule="exact"/>
              <w:rPr>
                <w:sz w:val="20"/>
                <w:szCs w:val="20"/>
                <w:color w:val="auto"/>
              </w:rPr>
            </w:pPr>
            <w:r>
              <w:rPr>
                <w:rFonts w:ascii="Arial" w:cs="Arial" w:eastAsia="Arial" w:hAnsi="Arial"/>
                <w:sz w:val="14"/>
                <w:szCs w:val="14"/>
                <w:color w:val="auto"/>
              </w:rPr>
              <w:t>xx.xx</w:t>
            </w:r>
          </w:p>
        </w:tc>
        <w:tc>
          <w:tcPr>
            <w:tcW w:w="900" w:type="dxa"/>
            <w:vAlign w:val="bottom"/>
            <w:tcBorders>
              <w:bottom w:val="single" w:sz="8" w:color="auto"/>
              <w:right w:val="single" w:sz="8" w:color="auto"/>
            </w:tcBorders>
          </w:tcPr>
          <w:p>
            <w:pPr>
              <w:ind w:left="480"/>
              <w:spacing w:after="0" w:line="156" w:lineRule="exact"/>
              <w:rPr>
                <w:sz w:val="20"/>
                <w:szCs w:val="20"/>
                <w:color w:val="auto"/>
              </w:rPr>
            </w:pPr>
            <w:r>
              <w:rPr>
                <w:rFonts w:ascii="Arial" w:cs="Arial" w:eastAsia="Arial" w:hAnsi="Arial"/>
                <w:sz w:val="14"/>
                <w:szCs w:val="14"/>
                <w:color w:val="auto"/>
              </w:rPr>
              <w:t>xx.xx</w:t>
            </w:r>
          </w:p>
        </w:tc>
        <w:tc>
          <w:tcPr>
            <w:tcW w:w="0" w:type="dxa"/>
            <w:vAlign w:val="bottom"/>
          </w:tcPr>
          <w:p>
            <w:pPr>
              <w:spacing w:after="0"/>
              <w:rPr>
                <w:sz w:val="1"/>
                <w:szCs w:val="1"/>
                <w:color w:val="auto"/>
              </w:rPr>
            </w:pPr>
          </w:p>
        </w:tc>
      </w:tr>
      <w:tr>
        <w:trPr>
          <w:trHeight w:val="156"/>
        </w:trPr>
        <w:tc>
          <w:tcPr>
            <w:tcW w:w="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w:t>
            </w:r>
          </w:p>
        </w:tc>
        <w:tc>
          <w:tcPr>
            <w:tcW w:w="98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xx/xx/xxxx</w:t>
            </w:r>
          </w:p>
        </w:tc>
        <w:tc>
          <w:tcPr>
            <w:tcW w:w="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89"/>
              </w:rPr>
              <w:t>18</w:t>
            </w: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9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40" w:type="dxa"/>
            <w:vAlign w:val="bottom"/>
            <w:tcBorders>
              <w:bottom w:val="single" w:sz="8" w:color="auto"/>
              <w:right w:val="single" w:sz="8" w:color="auto"/>
            </w:tcBorders>
          </w:tcPr>
          <w:p>
            <w:pPr>
              <w:ind w:left="600"/>
              <w:spacing w:after="0" w:line="156" w:lineRule="exact"/>
              <w:rPr>
                <w:sz w:val="20"/>
                <w:szCs w:val="20"/>
                <w:color w:val="auto"/>
              </w:rPr>
            </w:pPr>
            <w:r>
              <w:rPr>
                <w:rFonts w:ascii="Arial" w:cs="Arial" w:eastAsia="Arial" w:hAnsi="Arial"/>
                <w:sz w:val="14"/>
                <w:szCs w:val="14"/>
                <w:color w:val="auto"/>
              </w:rPr>
              <w:t>xx.xx</w:t>
            </w:r>
          </w:p>
        </w:tc>
        <w:tc>
          <w:tcPr>
            <w:tcW w:w="940" w:type="dxa"/>
            <w:vAlign w:val="bottom"/>
            <w:tcBorders>
              <w:bottom w:val="single" w:sz="8" w:color="auto"/>
              <w:right w:val="single" w:sz="8" w:color="auto"/>
            </w:tcBorders>
          </w:tcPr>
          <w:p>
            <w:pPr>
              <w:ind w:left="520"/>
              <w:spacing w:after="0" w:line="156" w:lineRule="exact"/>
              <w:rPr>
                <w:sz w:val="20"/>
                <w:szCs w:val="20"/>
                <w:color w:val="auto"/>
              </w:rPr>
            </w:pPr>
            <w:r>
              <w:rPr>
                <w:rFonts w:ascii="Arial" w:cs="Arial" w:eastAsia="Arial" w:hAnsi="Arial"/>
                <w:sz w:val="14"/>
                <w:szCs w:val="14"/>
                <w:color w:val="auto"/>
              </w:rPr>
              <w:t>xx.xx</w:t>
            </w:r>
          </w:p>
        </w:tc>
        <w:tc>
          <w:tcPr>
            <w:tcW w:w="900" w:type="dxa"/>
            <w:vAlign w:val="bottom"/>
            <w:tcBorders>
              <w:bottom w:val="single" w:sz="8" w:color="auto"/>
              <w:right w:val="single" w:sz="8" w:color="auto"/>
            </w:tcBorders>
          </w:tcPr>
          <w:p>
            <w:pPr>
              <w:ind w:left="480"/>
              <w:spacing w:after="0" w:line="156" w:lineRule="exact"/>
              <w:rPr>
                <w:sz w:val="20"/>
                <w:szCs w:val="20"/>
                <w:color w:val="auto"/>
              </w:rPr>
            </w:pPr>
            <w:r>
              <w:rPr>
                <w:rFonts w:ascii="Arial" w:cs="Arial" w:eastAsia="Arial" w:hAnsi="Arial"/>
                <w:sz w:val="14"/>
                <w:szCs w:val="14"/>
                <w:color w:val="auto"/>
              </w:rPr>
              <w:t>xx.xx</w:t>
            </w:r>
          </w:p>
        </w:tc>
        <w:tc>
          <w:tcPr>
            <w:tcW w:w="0" w:type="dxa"/>
            <w:vAlign w:val="bottom"/>
          </w:tcPr>
          <w:p>
            <w:pPr>
              <w:spacing w:after="0"/>
              <w:rPr>
                <w:sz w:val="1"/>
                <w:szCs w:val="1"/>
                <w:color w:val="auto"/>
              </w:rPr>
            </w:pPr>
          </w:p>
        </w:tc>
      </w:tr>
      <w:tr>
        <w:trPr>
          <w:trHeight w:val="156"/>
        </w:trPr>
        <w:tc>
          <w:tcPr>
            <w:tcW w:w="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w:t>
            </w:r>
          </w:p>
        </w:tc>
        <w:tc>
          <w:tcPr>
            <w:tcW w:w="98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xx/xx/xxxx</w:t>
            </w:r>
          </w:p>
        </w:tc>
        <w:tc>
          <w:tcPr>
            <w:tcW w:w="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89"/>
              </w:rPr>
              <w:t>19</w:t>
            </w: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9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40" w:type="dxa"/>
            <w:vAlign w:val="bottom"/>
            <w:tcBorders>
              <w:bottom w:val="single" w:sz="8" w:color="auto"/>
              <w:right w:val="single" w:sz="8" w:color="auto"/>
            </w:tcBorders>
          </w:tcPr>
          <w:p>
            <w:pPr>
              <w:ind w:left="600"/>
              <w:spacing w:after="0" w:line="156" w:lineRule="exact"/>
              <w:rPr>
                <w:sz w:val="20"/>
                <w:szCs w:val="20"/>
                <w:color w:val="auto"/>
              </w:rPr>
            </w:pPr>
            <w:r>
              <w:rPr>
                <w:rFonts w:ascii="Arial" w:cs="Arial" w:eastAsia="Arial" w:hAnsi="Arial"/>
                <w:sz w:val="14"/>
                <w:szCs w:val="14"/>
                <w:color w:val="auto"/>
              </w:rPr>
              <w:t>xx.xx</w:t>
            </w:r>
          </w:p>
        </w:tc>
        <w:tc>
          <w:tcPr>
            <w:tcW w:w="940" w:type="dxa"/>
            <w:vAlign w:val="bottom"/>
            <w:tcBorders>
              <w:bottom w:val="single" w:sz="8" w:color="auto"/>
              <w:right w:val="single" w:sz="8" w:color="auto"/>
            </w:tcBorders>
          </w:tcPr>
          <w:p>
            <w:pPr>
              <w:ind w:left="520"/>
              <w:spacing w:after="0" w:line="156" w:lineRule="exact"/>
              <w:rPr>
                <w:sz w:val="20"/>
                <w:szCs w:val="20"/>
                <w:color w:val="auto"/>
              </w:rPr>
            </w:pPr>
            <w:r>
              <w:rPr>
                <w:rFonts w:ascii="Arial" w:cs="Arial" w:eastAsia="Arial" w:hAnsi="Arial"/>
                <w:sz w:val="14"/>
                <w:szCs w:val="14"/>
                <w:color w:val="auto"/>
              </w:rPr>
              <w:t>xx.xx</w:t>
            </w:r>
          </w:p>
        </w:tc>
        <w:tc>
          <w:tcPr>
            <w:tcW w:w="900" w:type="dxa"/>
            <w:vAlign w:val="bottom"/>
            <w:tcBorders>
              <w:bottom w:val="single" w:sz="8" w:color="auto"/>
              <w:right w:val="single" w:sz="8" w:color="auto"/>
            </w:tcBorders>
          </w:tcPr>
          <w:p>
            <w:pPr>
              <w:ind w:left="480"/>
              <w:spacing w:after="0" w:line="156" w:lineRule="exact"/>
              <w:rPr>
                <w:sz w:val="20"/>
                <w:szCs w:val="20"/>
                <w:color w:val="auto"/>
              </w:rPr>
            </w:pPr>
            <w:r>
              <w:rPr>
                <w:rFonts w:ascii="Arial" w:cs="Arial" w:eastAsia="Arial" w:hAnsi="Arial"/>
                <w:sz w:val="14"/>
                <w:szCs w:val="14"/>
                <w:color w:val="auto"/>
              </w:rPr>
              <w:t>xx.xx</w:t>
            </w:r>
          </w:p>
        </w:tc>
        <w:tc>
          <w:tcPr>
            <w:tcW w:w="0" w:type="dxa"/>
            <w:vAlign w:val="bottom"/>
          </w:tcPr>
          <w:p>
            <w:pPr>
              <w:spacing w:after="0"/>
              <w:rPr>
                <w:sz w:val="1"/>
                <w:szCs w:val="1"/>
                <w:color w:val="auto"/>
              </w:rPr>
            </w:pPr>
          </w:p>
        </w:tc>
      </w:tr>
      <w:tr>
        <w:trPr>
          <w:trHeight w:val="156"/>
        </w:trPr>
        <w:tc>
          <w:tcPr>
            <w:tcW w:w="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w:t>
            </w:r>
          </w:p>
        </w:tc>
        <w:tc>
          <w:tcPr>
            <w:tcW w:w="98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xx/xx/xxxx</w:t>
            </w:r>
          </w:p>
        </w:tc>
        <w:tc>
          <w:tcPr>
            <w:tcW w:w="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89"/>
              </w:rPr>
              <w:t>20</w:t>
            </w: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9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40" w:type="dxa"/>
            <w:vAlign w:val="bottom"/>
            <w:tcBorders>
              <w:bottom w:val="single" w:sz="8" w:color="auto"/>
              <w:right w:val="single" w:sz="8" w:color="auto"/>
            </w:tcBorders>
          </w:tcPr>
          <w:p>
            <w:pPr>
              <w:ind w:left="600"/>
              <w:spacing w:after="0" w:line="156" w:lineRule="exact"/>
              <w:rPr>
                <w:sz w:val="20"/>
                <w:szCs w:val="20"/>
                <w:color w:val="auto"/>
              </w:rPr>
            </w:pPr>
            <w:r>
              <w:rPr>
                <w:rFonts w:ascii="Arial" w:cs="Arial" w:eastAsia="Arial" w:hAnsi="Arial"/>
                <w:sz w:val="14"/>
                <w:szCs w:val="14"/>
                <w:color w:val="auto"/>
              </w:rPr>
              <w:t>xx.xx</w:t>
            </w:r>
          </w:p>
        </w:tc>
        <w:tc>
          <w:tcPr>
            <w:tcW w:w="940" w:type="dxa"/>
            <w:vAlign w:val="bottom"/>
            <w:tcBorders>
              <w:bottom w:val="single" w:sz="8" w:color="auto"/>
              <w:right w:val="single" w:sz="8" w:color="auto"/>
            </w:tcBorders>
          </w:tcPr>
          <w:p>
            <w:pPr>
              <w:ind w:left="520"/>
              <w:spacing w:after="0" w:line="156" w:lineRule="exact"/>
              <w:rPr>
                <w:sz w:val="20"/>
                <w:szCs w:val="20"/>
                <w:color w:val="auto"/>
              </w:rPr>
            </w:pPr>
            <w:r>
              <w:rPr>
                <w:rFonts w:ascii="Arial" w:cs="Arial" w:eastAsia="Arial" w:hAnsi="Arial"/>
                <w:sz w:val="14"/>
                <w:szCs w:val="14"/>
                <w:color w:val="auto"/>
              </w:rPr>
              <w:t>xx.xx</w:t>
            </w:r>
          </w:p>
        </w:tc>
        <w:tc>
          <w:tcPr>
            <w:tcW w:w="900" w:type="dxa"/>
            <w:vAlign w:val="bottom"/>
            <w:tcBorders>
              <w:bottom w:val="single" w:sz="8" w:color="auto"/>
              <w:right w:val="single" w:sz="8" w:color="auto"/>
            </w:tcBorders>
          </w:tcPr>
          <w:p>
            <w:pPr>
              <w:ind w:left="480"/>
              <w:spacing w:after="0" w:line="156" w:lineRule="exact"/>
              <w:rPr>
                <w:sz w:val="20"/>
                <w:szCs w:val="20"/>
                <w:color w:val="auto"/>
              </w:rPr>
            </w:pPr>
            <w:r>
              <w:rPr>
                <w:rFonts w:ascii="Arial" w:cs="Arial" w:eastAsia="Arial" w:hAnsi="Arial"/>
                <w:sz w:val="14"/>
                <w:szCs w:val="14"/>
                <w:color w:val="auto"/>
              </w:rPr>
              <w:t>xx.xx</w:t>
            </w:r>
          </w:p>
        </w:tc>
        <w:tc>
          <w:tcPr>
            <w:tcW w:w="0" w:type="dxa"/>
            <w:vAlign w:val="bottom"/>
          </w:tcPr>
          <w:p>
            <w:pPr>
              <w:spacing w:after="0"/>
              <w:rPr>
                <w:sz w:val="1"/>
                <w:szCs w:val="1"/>
                <w:color w:val="auto"/>
              </w:rPr>
            </w:pPr>
          </w:p>
        </w:tc>
      </w:tr>
      <w:tr>
        <w:trPr>
          <w:trHeight w:val="156"/>
        </w:trPr>
        <w:tc>
          <w:tcPr>
            <w:tcW w:w="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w:t>
            </w:r>
          </w:p>
        </w:tc>
        <w:tc>
          <w:tcPr>
            <w:tcW w:w="98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xx/xx/xxxx</w:t>
            </w:r>
          </w:p>
        </w:tc>
        <w:tc>
          <w:tcPr>
            <w:tcW w:w="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89"/>
              </w:rPr>
              <w:t>21</w:t>
            </w: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9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40" w:type="dxa"/>
            <w:vAlign w:val="bottom"/>
            <w:tcBorders>
              <w:bottom w:val="single" w:sz="8" w:color="auto"/>
              <w:right w:val="single" w:sz="8" w:color="auto"/>
            </w:tcBorders>
          </w:tcPr>
          <w:p>
            <w:pPr>
              <w:ind w:left="600"/>
              <w:spacing w:after="0" w:line="156" w:lineRule="exact"/>
              <w:rPr>
                <w:sz w:val="20"/>
                <w:szCs w:val="20"/>
                <w:color w:val="auto"/>
              </w:rPr>
            </w:pPr>
            <w:r>
              <w:rPr>
                <w:rFonts w:ascii="Arial" w:cs="Arial" w:eastAsia="Arial" w:hAnsi="Arial"/>
                <w:sz w:val="14"/>
                <w:szCs w:val="14"/>
                <w:color w:val="auto"/>
              </w:rPr>
              <w:t>xx.xx</w:t>
            </w:r>
          </w:p>
        </w:tc>
        <w:tc>
          <w:tcPr>
            <w:tcW w:w="940" w:type="dxa"/>
            <w:vAlign w:val="bottom"/>
            <w:tcBorders>
              <w:bottom w:val="single" w:sz="8" w:color="auto"/>
              <w:right w:val="single" w:sz="8" w:color="auto"/>
            </w:tcBorders>
          </w:tcPr>
          <w:p>
            <w:pPr>
              <w:ind w:left="520"/>
              <w:spacing w:after="0" w:line="156" w:lineRule="exact"/>
              <w:rPr>
                <w:sz w:val="20"/>
                <w:szCs w:val="20"/>
                <w:color w:val="auto"/>
              </w:rPr>
            </w:pPr>
            <w:r>
              <w:rPr>
                <w:rFonts w:ascii="Arial" w:cs="Arial" w:eastAsia="Arial" w:hAnsi="Arial"/>
                <w:sz w:val="14"/>
                <w:szCs w:val="14"/>
                <w:color w:val="auto"/>
              </w:rPr>
              <w:t>xx.xx</w:t>
            </w:r>
          </w:p>
        </w:tc>
        <w:tc>
          <w:tcPr>
            <w:tcW w:w="900" w:type="dxa"/>
            <w:vAlign w:val="bottom"/>
            <w:tcBorders>
              <w:bottom w:val="single" w:sz="8" w:color="auto"/>
              <w:right w:val="single" w:sz="8" w:color="auto"/>
            </w:tcBorders>
          </w:tcPr>
          <w:p>
            <w:pPr>
              <w:ind w:left="480"/>
              <w:spacing w:after="0" w:line="156" w:lineRule="exact"/>
              <w:rPr>
                <w:sz w:val="20"/>
                <w:szCs w:val="20"/>
                <w:color w:val="auto"/>
              </w:rPr>
            </w:pPr>
            <w:r>
              <w:rPr>
                <w:rFonts w:ascii="Arial" w:cs="Arial" w:eastAsia="Arial" w:hAnsi="Arial"/>
                <w:sz w:val="14"/>
                <w:szCs w:val="14"/>
                <w:color w:val="auto"/>
              </w:rPr>
              <w:t>xx.xx</w:t>
            </w:r>
          </w:p>
        </w:tc>
        <w:tc>
          <w:tcPr>
            <w:tcW w:w="0" w:type="dxa"/>
            <w:vAlign w:val="bottom"/>
          </w:tcPr>
          <w:p>
            <w:pPr>
              <w:spacing w:after="0"/>
              <w:rPr>
                <w:sz w:val="1"/>
                <w:szCs w:val="1"/>
                <w:color w:val="auto"/>
              </w:rPr>
            </w:pPr>
          </w:p>
        </w:tc>
      </w:tr>
      <w:tr>
        <w:trPr>
          <w:trHeight w:val="156"/>
        </w:trPr>
        <w:tc>
          <w:tcPr>
            <w:tcW w:w="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w:t>
            </w:r>
          </w:p>
        </w:tc>
        <w:tc>
          <w:tcPr>
            <w:tcW w:w="98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xx/xx/xxxx</w:t>
            </w:r>
          </w:p>
        </w:tc>
        <w:tc>
          <w:tcPr>
            <w:tcW w:w="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89"/>
              </w:rPr>
              <w:t>22</w:t>
            </w: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9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40" w:type="dxa"/>
            <w:vAlign w:val="bottom"/>
            <w:tcBorders>
              <w:bottom w:val="single" w:sz="8" w:color="auto"/>
              <w:right w:val="single" w:sz="8" w:color="auto"/>
            </w:tcBorders>
          </w:tcPr>
          <w:p>
            <w:pPr>
              <w:ind w:left="600"/>
              <w:spacing w:after="0" w:line="156" w:lineRule="exact"/>
              <w:rPr>
                <w:sz w:val="20"/>
                <w:szCs w:val="20"/>
                <w:color w:val="auto"/>
              </w:rPr>
            </w:pPr>
            <w:r>
              <w:rPr>
                <w:rFonts w:ascii="Arial" w:cs="Arial" w:eastAsia="Arial" w:hAnsi="Arial"/>
                <w:sz w:val="14"/>
                <w:szCs w:val="14"/>
                <w:color w:val="auto"/>
              </w:rPr>
              <w:t>xx.xx</w:t>
            </w:r>
          </w:p>
        </w:tc>
        <w:tc>
          <w:tcPr>
            <w:tcW w:w="940" w:type="dxa"/>
            <w:vAlign w:val="bottom"/>
            <w:tcBorders>
              <w:bottom w:val="single" w:sz="8" w:color="auto"/>
              <w:right w:val="single" w:sz="8" w:color="auto"/>
            </w:tcBorders>
          </w:tcPr>
          <w:p>
            <w:pPr>
              <w:ind w:left="520"/>
              <w:spacing w:after="0" w:line="156" w:lineRule="exact"/>
              <w:rPr>
                <w:sz w:val="20"/>
                <w:szCs w:val="20"/>
                <w:color w:val="auto"/>
              </w:rPr>
            </w:pPr>
            <w:r>
              <w:rPr>
                <w:rFonts w:ascii="Arial" w:cs="Arial" w:eastAsia="Arial" w:hAnsi="Arial"/>
                <w:sz w:val="14"/>
                <w:szCs w:val="14"/>
                <w:color w:val="auto"/>
              </w:rPr>
              <w:t>xx.xx</w:t>
            </w:r>
          </w:p>
        </w:tc>
        <w:tc>
          <w:tcPr>
            <w:tcW w:w="900" w:type="dxa"/>
            <w:vAlign w:val="bottom"/>
            <w:tcBorders>
              <w:bottom w:val="single" w:sz="8" w:color="auto"/>
              <w:right w:val="single" w:sz="8" w:color="auto"/>
            </w:tcBorders>
          </w:tcPr>
          <w:p>
            <w:pPr>
              <w:ind w:left="480"/>
              <w:spacing w:after="0" w:line="156" w:lineRule="exact"/>
              <w:rPr>
                <w:sz w:val="20"/>
                <w:szCs w:val="20"/>
                <w:color w:val="auto"/>
              </w:rPr>
            </w:pPr>
            <w:r>
              <w:rPr>
                <w:rFonts w:ascii="Arial" w:cs="Arial" w:eastAsia="Arial" w:hAnsi="Arial"/>
                <w:sz w:val="14"/>
                <w:szCs w:val="14"/>
                <w:color w:val="auto"/>
              </w:rPr>
              <w:t>xx.xx</w:t>
            </w:r>
          </w:p>
        </w:tc>
        <w:tc>
          <w:tcPr>
            <w:tcW w:w="0" w:type="dxa"/>
            <w:vAlign w:val="bottom"/>
          </w:tcPr>
          <w:p>
            <w:pPr>
              <w:spacing w:after="0"/>
              <w:rPr>
                <w:sz w:val="1"/>
                <w:szCs w:val="1"/>
                <w:color w:val="auto"/>
              </w:rPr>
            </w:pPr>
          </w:p>
        </w:tc>
      </w:tr>
      <w:tr>
        <w:trPr>
          <w:trHeight w:val="156"/>
        </w:trPr>
        <w:tc>
          <w:tcPr>
            <w:tcW w:w="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w:t>
            </w:r>
          </w:p>
        </w:tc>
        <w:tc>
          <w:tcPr>
            <w:tcW w:w="98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xx/xx/xxxx</w:t>
            </w:r>
          </w:p>
        </w:tc>
        <w:tc>
          <w:tcPr>
            <w:tcW w:w="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89"/>
              </w:rPr>
              <w:t>23</w:t>
            </w: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9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40" w:type="dxa"/>
            <w:vAlign w:val="bottom"/>
            <w:tcBorders>
              <w:bottom w:val="single" w:sz="8" w:color="auto"/>
              <w:right w:val="single" w:sz="8" w:color="auto"/>
            </w:tcBorders>
          </w:tcPr>
          <w:p>
            <w:pPr>
              <w:ind w:left="600"/>
              <w:spacing w:after="0" w:line="156" w:lineRule="exact"/>
              <w:rPr>
                <w:sz w:val="20"/>
                <w:szCs w:val="20"/>
                <w:color w:val="auto"/>
              </w:rPr>
            </w:pPr>
            <w:r>
              <w:rPr>
                <w:rFonts w:ascii="Arial" w:cs="Arial" w:eastAsia="Arial" w:hAnsi="Arial"/>
                <w:sz w:val="14"/>
                <w:szCs w:val="14"/>
                <w:color w:val="auto"/>
              </w:rPr>
              <w:t>xx.xx</w:t>
            </w:r>
          </w:p>
        </w:tc>
        <w:tc>
          <w:tcPr>
            <w:tcW w:w="940" w:type="dxa"/>
            <w:vAlign w:val="bottom"/>
            <w:tcBorders>
              <w:bottom w:val="single" w:sz="8" w:color="auto"/>
              <w:right w:val="single" w:sz="8" w:color="auto"/>
            </w:tcBorders>
          </w:tcPr>
          <w:p>
            <w:pPr>
              <w:ind w:left="520"/>
              <w:spacing w:after="0" w:line="156" w:lineRule="exact"/>
              <w:rPr>
                <w:sz w:val="20"/>
                <w:szCs w:val="20"/>
                <w:color w:val="auto"/>
              </w:rPr>
            </w:pPr>
            <w:r>
              <w:rPr>
                <w:rFonts w:ascii="Arial" w:cs="Arial" w:eastAsia="Arial" w:hAnsi="Arial"/>
                <w:sz w:val="14"/>
                <w:szCs w:val="14"/>
                <w:color w:val="auto"/>
              </w:rPr>
              <w:t>xx.xx</w:t>
            </w:r>
          </w:p>
        </w:tc>
        <w:tc>
          <w:tcPr>
            <w:tcW w:w="900" w:type="dxa"/>
            <w:vAlign w:val="bottom"/>
            <w:tcBorders>
              <w:bottom w:val="single" w:sz="8" w:color="auto"/>
              <w:right w:val="single" w:sz="8" w:color="auto"/>
            </w:tcBorders>
          </w:tcPr>
          <w:p>
            <w:pPr>
              <w:ind w:left="480"/>
              <w:spacing w:after="0" w:line="156" w:lineRule="exact"/>
              <w:rPr>
                <w:sz w:val="20"/>
                <w:szCs w:val="20"/>
                <w:color w:val="auto"/>
              </w:rPr>
            </w:pPr>
            <w:r>
              <w:rPr>
                <w:rFonts w:ascii="Arial" w:cs="Arial" w:eastAsia="Arial" w:hAnsi="Arial"/>
                <w:sz w:val="14"/>
                <w:szCs w:val="14"/>
                <w:color w:val="auto"/>
              </w:rPr>
              <w:t>xx.xx</w:t>
            </w:r>
          </w:p>
        </w:tc>
        <w:tc>
          <w:tcPr>
            <w:tcW w:w="0" w:type="dxa"/>
            <w:vAlign w:val="bottom"/>
          </w:tcPr>
          <w:p>
            <w:pPr>
              <w:spacing w:after="0"/>
              <w:rPr>
                <w:sz w:val="1"/>
                <w:szCs w:val="1"/>
                <w:color w:val="auto"/>
              </w:rPr>
            </w:pPr>
          </w:p>
        </w:tc>
      </w:tr>
      <w:tr>
        <w:trPr>
          <w:trHeight w:val="156"/>
        </w:trPr>
        <w:tc>
          <w:tcPr>
            <w:tcW w:w="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w:t>
            </w:r>
          </w:p>
        </w:tc>
        <w:tc>
          <w:tcPr>
            <w:tcW w:w="98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xx/xx/xxxx</w:t>
            </w:r>
          </w:p>
        </w:tc>
        <w:tc>
          <w:tcPr>
            <w:tcW w:w="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89"/>
              </w:rPr>
              <w:t>24</w:t>
            </w: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9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40" w:type="dxa"/>
            <w:vAlign w:val="bottom"/>
            <w:tcBorders>
              <w:bottom w:val="single" w:sz="8" w:color="auto"/>
              <w:right w:val="single" w:sz="8" w:color="auto"/>
            </w:tcBorders>
          </w:tcPr>
          <w:p>
            <w:pPr>
              <w:ind w:left="600"/>
              <w:spacing w:after="0" w:line="156" w:lineRule="exact"/>
              <w:rPr>
                <w:sz w:val="20"/>
                <w:szCs w:val="20"/>
                <w:color w:val="auto"/>
              </w:rPr>
            </w:pPr>
            <w:r>
              <w:rPr>
                <w:rFonts w:ascii="Arial" w:cs="Arial" w:eastAsia="Arial" w:hAnsi="Arial"/>
                <w:sz w:val="14"/>
                <w:szCs w:val="14"/>
                <w:color w:val="auto"/>
              </w:rPr>
              <w:t>xx.xx</w:t>
            </w:r>
          </w:p>
        </w:tc>
        <w:tc>
          <w:tcPr>
            <w:tcW w:w="940" w:type="dxa"/>
            <w:vAlign w:val="bottom"/>
            <w:tcBorders>
              <w:bottom w:val="single" w:sz="8" w:color="auto"/>
              <w:right w:val="single" w:sz="8" w:color="auto"/>
            </w:tcBorders>
          </w:tcPr>
          <w:p>
            <w:pPr>
              <w:ind w:left="520"/>
              <w:spacing w:after="0" w:line="156" w:lineRule="exact"/>
              <w:rPr>
                <w:sz w:val="20"/>
                <w:szCs w:val="20"/>
                <w:color w:val="auto"/>
              </w:rPr>
            </w:pPr>
            <w:r>
              <w:rPr>
                <w:rFonts w:ascii="Arial" w:cs="Arial" w:eastAsia="Arial" w:hAnsi="Arial"/>
                <w:sz w:val="14"/>
                <w:szCs w:val="14"/>
                <w:color w:val="auto"/>
              </w:rPr>
              <w:t>xx.xx</w:t>
            </w:r>
          </w:p>
        </w:tc>
        <w:tc>
          <w:tcPr>
            <w:tcW w:w="900" w:type="dxa"/>
            <w:vAlign w:val="bottom"/>
            <w:tcBorders>
              <w:bottom w:val="single" w:sz="8" w:color="auto"/>
              <w:right w:val="single" w:sz="8" w:color="auto"/>
            </w:tcBorders>
          </w:tcPr>
          <w:p>
            <w:pPr>
              <w:ind w:left="480"/>
              <w:spacing w:after="0" w:line="156" w:lineRule="exact"/>
              <w:rPr>
                <w:sz w:val="20"/>
                <w:szCs w:val="20"/>
                <w:color w:val="auto"/>
              </w:rPr>
            </w:pPr>
            <w:r>
              <w:rPr>
                <w:rFonts w:ascii="Arial" w:cs="Arial" w:eastAsia="Arial" w:hAnsi="Arial"/>
                <w:sz w:val="14"/>
                <w:szCs w:val="14"/>
                <w:color w:val="auto"/>
              </w:rPr>
              <w:t>xx.xx</w:t>
            </w:r>
          </w:p>
        </w:tc>
        <w:tc>
          <w:tcPr>
            <w:tcW w:w="0" w:type="dxa"/>
            <w:vAlign w:val="bottom"/>
          </w:tcPr>
          <w:p>
            <w:pPr>
              <w:spacing w:after="0"/>
              <w:rPr>
                <w:sz w:val="1"/>
                <w:szCs w:val="1"/>
                <w:color w:val="auto"/>
              </w:rPr>
            </w:pPr>
          </w:p>
        </w:tc>
      </w:tr>
      <w:tr>
        <w:trPr>
          <w:trHeight w:val="156"/>
        </w:trPr>
        <w:tc>
          <w:tcPr>
            <w:tcW w:w="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w:t>
            </w:r>
          </w:p>
        </w:tc>
        <w:tc>
          <w:tcPr>
            <w:tcW w:w="980" w:type="dxa"/>
            <w:vAlign w:val="bottom"/>
            <w:tcBorders>
              <w:bottom w:val="single" w:sz="8" w:color="auto"/>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xx/xx/xxxx</w:t>
            </w:r>
          </w:p>
        </w:tc>
        <w:tc>
          <w:tcPr>
            <w:tcW w:w="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89"/>
              </w:rPr>
              <w:t>25</w:t>
            </w: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82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9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40" w:type="dxa"/>
            <w:vAlign w:val="bottom"/>
            <w:tcBorders>
              <w:bottom w:val="single" w:sz="8" w:color="auto"/>
              <w:right w:val="single" w:sz="8" w:color="auto"/>
            </w:tcBorders>
          </w:tcPr>
          <w:p>
            <w:pPr>
              <w:ind w:left="600"/>
              <w:spacing w:after="0" w:line="156" w:lineRule="exact"/>
              <w:rPr>
                <w:sz w:val="20"/>
                <w:szCs w:val="20"/>
                <w:color w:val="auto"/>
              </w:rPr>
            </w:pPr>
            <w:r>
              <w:rPr>
                <w:rFonts w:ascii="Arial" w:cs="Arial" w:eastAsia="Arial" w:hAnsi="Arial"/>
                <w:sz w:val="14"/>
                <w:szCs w:val="14"/>
                <w:color w:val="auto"/>
              </w:rPr>
              <w:t>xx.xx</w:t>
            </w:r>
          </w:p>
        </w:tc>
        <w:tc>
          <w:tcPr>
            <w:tcW w:w="940" w:type="dxa"/>
            <w:vAlign w:val="bottom"/>
            <w:tcBorders>
              <w:bottom w:val="single" w:sz="8" w:color="auto"/>
              <w:right w:val="single" w:sz="8" w:color="auto"/>
            </w:tcBorders>
          </w:tcPr>
          <w:p>
            <w:pPr>
              <w:ind w:left="520"/>
              <w:spacing w:after="0" w:line="156" w:lineRule="exact"/>
              <w:rPr>
                <w:sz w:val="20"/>
                <w:szCs w:val="20"/>
                <w:color w:val="auto"/>
              </w:rPr>
            </w:pPr>
            <w:r>
              <w:rPr>
                <w:rFonts w:ascii="Arial" w:cs="Arial" w:eastAsia="Arial" w:hAnsi="Arial"/>
                <w:sz w:val="14"/>
                <w:szCs w:val="14"/>
                <w:color w:val="auto"/>
              </w:rPr>
              <w:t>xx.xx</w:t>
            </w:r>
          </w:p>
        </w:tc>
        <w:tc>
          <w:tcPr>
            <w:tcW w:w="900" w:type="dxa"/>
            <w:vAlign w:val="bottom"/>
            <w:tcBorders>
              <w:bottom w:val="single" w:sz="8" w:color="auto"/>
              <w:right w:val="single" w:sz="8" w:color="auto"/>
            </w:tcBorders>
          </w:tcPr>
          <w:p>
            <w:pPr>
              <w:ind w:left="480"/>
              <w:spacing w:after="0" w:line="156" w:lineRule="exact"/>
              <w:rPr>
                <w:sz w:val="20"/>
                <w:szCs w:val="20"/>
                <w:color w:val="auto"/>
              </w:rPr>
            </w:pPr>
            <w:r>
              <w:rPr>
                <w:rFonts w:ascii="Arial" w:cs="Arial" w:eastAsia="Arial" w:hAnsi="Arial"/>
                <w:sz w:val="14"/>
                <w:szCs w:val="14"/>
                <w:color w:val="auto"/>
              </w:rPr>
              <w:t>xx.xx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C-</w:t>
      </w:r>
    </w:p>
    <w:p>
      <w:pPr>
        <w:sectPr>
          <w:pgSz w:w="11900" w:h="16838" w:orient="portrait"/>
          <w:cols w:equalWidth="0" w:num="1">
            <w:col w:w="10239"/>
          </w:cols>
          <w:pgMar w:left="220" w:top="495" w:right="1440" w:bottom="1440" w:gutter="0" w:footer="0" w:header="0"/>
        </w:sectPr>
      </w:pPr>
    </w:p>
    <w:bookmarkStart w:id="150" w:name="page151"/>
    <w:bookmarkEnd w:id="150"/>
    <w:tbl>
      <w:tblPr>
        <w:tblLayout w:type="fixed"/>
        <w:tblInd w:w="10" w:type="dxa"/>
        <w:tblCellMar>
          <w:top w:w="0" w:type="dxa"/>
          <w:left w:w="0" w:type="dxa"/>
          <w:bottom w:w="0" w:type="dxa"/>
          <w:right w:w="0" w:type="dxa"/>
        </w:tblCellMar>
      </w:tblPr>
      <w:tr>
        <w:trPr>
          <w:trHeight w:val="196"/>
        </w:trPr>
        <w:tc>
          <w:tcPr>
            <w:tcW w:w="1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Trade Name</w:t>
            </w:r>
          </w:p>
        </w:tc>
        <w:tc>
          <w:tcPr>
            <w:tcW w:w="1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Trade Type</w:t>
            </w:r>
          </w:p>
        </w:tc>
        <w:tc>
          <w:tcPr>
            <w:tcW w:w="192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4"/>
                <w:szCs w:val="14"/>
                <w:b w:val="1"/>
                <w:bCs w:val="1"/>
                <w:color w:val="auto"/>
              </w:rPr>
              <w:t>Depend on Trade</w:t>
            </w:r>
          </w:p>
        </w:tc>
        <w:tc>
          <w:tcPr>
            <w:tcW w:w="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Submit SC</w:t>
            </w:r>
          </w:p>
        </w:tc>
        <w:tc>
          <w:tcPr>
            <w:tcW w:w="1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Trade Status</w:t>
            </w:r>
          </w:p>
        </w:tc>
        <w:tc>
          <w:tcPr>
            <w:tcW w:w="1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Submitted</w:t>
            </w:r>
          </w:p>
        </w:tc>
      </w:tr>
      <w:tr>
        <w:trPr>
          <w:trHeight w:val="141"/>
        </w:trPr>
        <w:tc>
          <w:tcPr>
            <w:tcW w:w="1920" w:type="dxa"/>
            <w:vAlign w:val="bottom"/>
            <w:tcBorders>
              <w:left w:val="single" w:sz="8" w:color="auto"/>
              <w:bottom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9"/>
              </w:rPr>
              <w:t>xxxxxxxxxx</w:t>
            </w:r>
          </w:p>
        </w:tc>
        <w:tc>
          <w:tcPr>
            <w:tcW w:w="1700" w:type="dxa"/>
            <w:vAlign w:val="bottom"/>
            <w:tcBorders>
              <w:bottom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7"/>
              </w:rPr>
              <w:t>xxxxx</w:t>
            </w:r>
          </w:p>
        </w:tc>
        <w:tc>
          <w:tcPr>
            <w:tcW w:w="192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9"/>
              </w:rPr>
              <w:t>xxxx</w:t>
            </w:r>
          </w:p>
        </w:tc>
        <w:tc>
          <w:tcPr>
            <w:tcW w:w="1080" w:type="dxa"/>
            <w:vAlign w:val="bottom"/>
            <w:tcBorders>
              <w:bottom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7"/>
              </w:rPr>
              <w:t>xxxxxxx</w:t>
            </w:r>
          </w:p>
        </w:tc>
        <w:tc>
          <w:tcPr>
            <w:tcW w:w="1260" w:type="dxa"/>
            <w:vAlign w:val="bottom"/>
            <w:tcBorders>
              <w:bottom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7"/>
              </w:rPr>
              <w:t>xxxxx</w:t>
            </w:r>
          </w:p>
        </w:tc>
      </w:tr>
      <w:tr>
        <w:trPr>
          <w:trHeight w:val="156"/>
        </w:trPr>
        <w:tc>
          <w:tcPr>
            <w:tcW w:w="1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xxxxxxxxxx</w:t>
            </w:r>
          </w:p>
        </w:tc>
        <w:tc>
          <w:tcPr>
            <w:tcW w:w="17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9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xxxxxxx</w:t>
            </w:r>
          </w:p>
        </w:tc>
        <w:tc>
          <w:tcPr>
            <w:tcW w:w="12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r>
      <w:tr>
        <w:trPr>
          <w:trHeight w:val="156"/>
        </w:trPr>
        <w:tc>
          <w:tcPr>
            <w:tcW w:w="1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xxxxxxxxxx</w:t>
            </w:r>
          </w:p>
        </w:tc>
        <w:tc>
          <w:tcPr>
            <w:tcW w:w="17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9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xxxxxxx</w:t>
            </w:r>
          </w:p>
        </w:tc>
        <w:tc>
          <w:tcPr>
            <w:tcW w:w="12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r>
      <w:tr>
        <w:trPr>
          <w:trHeight w:val="156"/>
        </w:trPr>
        <w:tc>
          <w:tcPr>
            <w:tcW w:w="1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xxxxxxxxxx</w:t>
            </w:r>
          </w:p>
        </w:tc>
        <w:tc>
          <w:tcPr>
            <w:tcW w:w="17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9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xxxxxxx</w:t>
            </w:r>
          </w:p>
        </w:tc>
        <w:tc>
          <w:tcPr>
            <w:tcW w:w="12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r>
      <w:tr>
        <w:trPr>
          <w:trHeight w:val="156"/>
        </w:trPr>
        <w:tc>
          <w:tcPr>
            <w:tcW w:w="1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xxxxxxxxxx</w:t>
            </w:r>
          </w:p>
        </w:tc>
        <w:tc>
          <w:tcPr>
            <w:tcW w:w="17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9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xxxxxxx</w:t>
            </w:r>
          </w:p>
        </w:tc>
        <w:tc>
          <w:tcPr>
            <w:tcW w:w="12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r>
      <w:tr>
        <w:trPr>
          <w:trHeight w:val="156"/>
        </w:trPr>
        <w:tc>
          <w:tcPr>
            <w:tcW w:w="1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xxxxxxxxxx</w:t>
            </w:r>
          </w:p>
        </w:tc>
        <w:tc>
          <w:tcPr>
            <w:tcW w:w="17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9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xxxxxxx</w:t>
            </w:r>
          </w:p>
        </w:tc>
        <w:tc>
          <w:tcPr>
            <w:tcW w:w="12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r>
      <w:tr>
        <w:trPr>
          <w:trHeight w:val="156"/>
        </w:trPr>
        <w:tc>
          <w:tcPr>
            <w:tcW w:w="1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xxxxxxxxxx</w:t>
            </w:r>
          </w:p>
        </w:tc>
        <w:tc>
          <w:tcPr>
            <w:tcW w:w="17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9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xxxxxxx</w:t>
            </w:r>
          </w:p>
        </w:tc>
        <w:tc>
          <w:tcPr>
            <w:tcW w:w="12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r>
      <w:tr>
        <w:trPr>
          <w:trHeight w:val="156"/>
        </w:trPr>
        <w:tc>
          <w:tcPr>
            <w:tcW w:w="1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xxxxxxxxxx</w:t>
            </w:r>
          </w:p>
        </w:tc>
        <w:tc>
          <w:tcPr>
            <w:tcW w:w="17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9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xxxxxxx</w:t>
            </w:r>
          </w:p>
        </w:tc>
        <w:tc>
          <w:tcPr>
            <w:tcW w:w="12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r>
      <w:tr>
        <w:trPr>
          <w:trHeight w:val="156"/>
        </w:trPr>
        <w:tc>
          <w:tcPr>
            <w:tcW w:w="1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xxxxxxxxxx</w:t>
            </w:r>
          </w:p>
        </w:tc>
        <w:tc>
          <w:tcPr>
            <w:tcW w:w="17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9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xxxxxxx</w:t>
            </w:r>
          </w:p>
        </w:tc>
        <w:tc>
          <w:tcPr>
            <w:tcW w:w="12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r>
      <w:tr>
        <w:trPr>
          <w:trHeight w:val="156"/>
        </w:trPr>
        <w:tc>
          <w:tcPr>
            <w:tcW w:w="1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xxxxxxxxxx</w:t>
            </w:r>
          </w:p>
        </w:tc>
        <w:tc>
          <w:tcPr>
            <w:tcW w:w="17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9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xxxxxxx</w:t>
            </w:r>
          </w:p>
        </w:tc>
        <w:tc>
          <w:tcPr>
            <w:tcW w:w="12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r>
      <w:tr>
        <w:trPr>
          <w:trHeight w:val="156"/>
        </w:trPr>
        <w:tc>
          <w:tcPr>
            <w:tcW w:w="1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xxxxxxxxxx</w:t>
            </w:r>
          </w:p>
        </w:tc>
        <w:tc>
          <w:tcPr>
            <w:tcW w:w="17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9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xxxxxxx</w:t>
            </w:r>
          </w:p>
        </w:tc>
        <w:tc>
          <w:tcPr>
            <w:tcW w:w="12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r>
      <w:tr>
        <w:trPr>
          <w:trHeight w:val="156"/>
        </w:trPr>
        <w:tc>
          <w:tcPr>
            <w:tcW w:w="1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xxxxxxxxxx</w:t>
            </w:r>
          </w:p>
        </w:tc>
        <w:tc>
          <w:tcPr>
            <w:tcW w:w="17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9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xxxxxxx</w:t>
            </w:r>
          </w:p>
        </w:tc>
        <w:tc>
          <w:tcPr>
            <w:tcW w:w="12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r>
      <w:tr>
        <w:trPr>
          <w:trHeight w:val="156"/>
        </w:trPr>
        <w:tc>
          <w:tcPr>
            <w:tcW w:w="1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xxxxxxxxxx</w:t>
            </w:r>
          </w:p>
        </w:tc>
        <w:tc>
          <w:tcPr>
            <w:tcW w:w="17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9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xxxxxxx</w:t>
            </w:r>
          </w:p>
        </w:tc>
        <w:tc>
          <w:tcPr>
            <w:tcW w:w="12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r>
      <w:tr>
        <w:trPr>
          <w:trHeight w:val="156"/>
        </w:trPr>
        <w:tc>
          <w:tcPr>
            <w:tcW w:w="1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xxxxxxxxxx</w:t>
            </w:r>
          </w:p>
        </w:tc>
        <w:tc>
          <w:tcPr>
            <w:tcW w:w="17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9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xxxxxxx</w:t>
            </w:r>
          </w:p>
        </w:tc>
        <w:tc>
          <w:tcPr>
            <w:tcW w:w="12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r>
      <w:tr>
        <w:trPr>
          <w:trHeight w:val="156"/>
        </w:trPr>
        <w:tc>
          <w:tcPr>
            <w:tcW w:w="1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xxxxxxxxxx</w:t>
            </w:r>
          </w:p>
        </w:tc>
        <w:tc>
          <w:tcPr>
            <w:tcW w:w="17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9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xxxxxxx</w:t>
            </w:r>
          </w:p>
        </w:tc>
        <w:tc>
          <w:tcPr>
            <w:tcW w:w="12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r>
      <w:tr>
        <w:trPr>
          <w:trHeight w:val="156"/>
        </w:trPr>
        <w:tc>
          <w:tcPr>
            <w:tcW w:w="1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xxxxxxxxxx</w:t>
            </w:r>
          </w:p>
        </w:tc>
        <w:tc>
          <w:tcPr>
            <w:tcW w:w="17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9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xxxxxxx</w:t>
            </w:r>
          </w:p>
        </w:tc>
        <w:tc>
          <w:tcPr>
            <w:tcW w:w="12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r>
      <w:tr>
        <w:trPr>
          <w:trHeight w:val="156"/>
        </w:trPr>
        <w:tc>
          <w:tcPr>
            <w:tcW w:w="1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xxxxxxxxxx</w:t>
            </w:r>
          </w:p>
        </w:tc>
        <w:tc>
          <w:tcPr>
            <w:tcW w:w="17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9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xxxxxxx</w:t>
            </w:r>
          </w:p>
        </w:tc>
        <w:tc>
          <w:tcPr>
            <w:tcW w:w="12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r>
      <w:tr>
        <w:trPr>
          <w:trHeight w:val="156"/>
        </w:trPr>
        <w:tc>
          <w:tcPr>
            <w:tcW w:w="1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xxxxxxxxxx</w:t>
            </w:r>
          </w:p>
        </w:tc>
        <w:tc>
          <w:tcPr>
            <w:tcW w:w="17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9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xxxxxxx</w:t>
            </w:r>
          </w:p>
        </w:tc>
        <w:tc>
          <w:tcPr>
            <w:tcW w:w="12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r>
      <w:tr>
        <w:trPr>
          <w:trHeight w:val="156"/>
        </w:trPr>
        <w:tc>
          <w:tcPr>
            <w:tcW w:w="1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xxxxxxxxxx</w:t>
            </w:r>
          </w:p>
        </w:tc>
        <w:tc>
          <w:tcPr>
            <w:tcW w:w="17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9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xxxxxxx</w:t>
            </w:r>
          </w:p>
        </w:tc>
        <w:tc>
          <w:tcPr>
            <w:tcW w:w="12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r>
      <w:tr>
        <w:trPr>
          <w:trHeight w:val="156"/>
        </w:trPr>
        <w:tc>
          <w:tcPr>
            <w:tcW w:w="1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xxxxxxxxxx</w:t>
            </w:r>
          </w:p>
        </w:tc>
        <w:tc>
          <w:tcPr>
            <w:tcW w:w="17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9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xxxxxxx</w:t>
            </w:r>
          </w:p>
        </w:tc>
        <w:tc>
          <w:tcPr>
            <w:tcW w:w="12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r>
      <w:tr>
        <w:trPr>
          <w:trHeight w:val="156"/>
        </w:trPr>
        <w:tc>
          <w:tcPr>
            <w:tcW w:w="1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xxxxxxxxxx</w:t>
            </w:r>
          </w:p>
        </w:tc>
        <w:tc>
          <w:tcPr>
            <w:tcW w:w="17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9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xxxxxxx</w:t>
            </w:r>
          </w:p>
        </w:tc>
        <w:tc>
          <w:tcPr>
            <w:tcW w:w="12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r>
      <w:tr>
        <w:trPr>
          <w:trHeight w:val="156"/>
        </w:trPr>
        <w:tc>
          <w:tcPr>
            <w:tcW w:w="1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xxxxxxxxxx</w:t>
            </w:r>
          </w:p>
        </w:tc>
        <w:tc>
          <w:tcPr>
            <w:tcW w:w="17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9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xxxxxxx</w:t>
            </w:r>
          </w:p>
        </w:tc>
        <w:tc>
          <w:tcPr>
            <w:tcW w:w="12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r>
      <w:tr>
        <w:trPr>
          <w:trHeight w:val="156"/>
        </w:trPr>
        <w:tc>
          <w:tcPr>
            <w:tcW w:w="1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xxxxxxxxxx</w:t>
            </w:r>
          </w:p>
        </w:tc>
        <w:tc>
          <w:tcPr>
            <w:tcW w:w="17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9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xxxxxxx</w:t>
            </w:r>
          </w:p>
        </w:tc>
        <w:tc>
          <w:tcPr>
            <w:tcW w:w="12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r>
      <w:tr>
        <w:trPr>
          <w:trHeight w:val="156"/>
        </w:trPr>
        <w:tc>
          <w:tcPr>
            <w:tcW w:w="1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xxxxxxxxxx</w:t>
            </w:r>
          </w:p>
        </w:tc>
        <w:tc>
          <w:tcPr>
            <w:tcW w:w="17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9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xxxxxxx</w:t>
            </w:r>
          </w:p>
        </w:tc>
        <w:tc>
          <w:tcPr>
            <w:tcW w:w="12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r>
      <w:tr>
        <w:trPr>
          <w:trHeight w:val="156"/>
        </w:trPr>
        <w:tc>
          <w:tcPr>
            <w:tcW w:w="192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xxxxxxxxxx</w:t>
            </w:r>
          </w:p>
        </w:tc>
        <w:tc>
          <w:tcPr>
            <w:tcW w:w="170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9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9"/>
              </w:rPr>
              <w:t>xxxx</w:t>
            </w:r>
          </w:p>
        </w:tc>
        <w:tc>
          <w:tcPr>
            <w:tcW w:w="108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xxxxxxx</w:t>
            </w:r>
          </w:p>
        </w:tc>
        <w:tc>
          <w:tcPr>
            <w:tcW w:w="126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C-</w:t>
      </w:r>
    </w:p>
    <w:p>
      <w:pPr>
        <w:sectPr>
          <w:pgSz w:w="11900" w:h="16838" w:orient="portrait"/>
          <w:cols w:equalWidth="0" w:num="1">
            <w:col w:w="10239"/>
          </w:cols>
          <w:pgMar w:left="220" w:top="693" w:right="1440" w:bottom="1440" w:gutter="0" w:footer="0" w:header="0"/>
        </w:sectPr>
      </w:pPr>
    </w:p>
    <w:bookmarkStart w:id="151" w:name="page152"/>
    <w:bookmarkEnd w:id="151"/>
    <w:tbl>
      <w:tblPr>
        <w:tblLayout w:type="fixed"/>
        <w:tblInd w:w="10" w:type="dxa"/>
        <w:tblCellMar>
          <w:top w:w="0" w:type="dxa"/>
          <w:left w:w="0" w:type="dxa"/>
          <w:bottom w:w="0" w:type="dxa"/>
          <w:right w:w="0" w:type="dxa"/>
        </w:tblCellMar>
      </w:tblPr>
      <w:tr>
        <w:trPr>
          <w:trHeight w:val="166"/>
        </w:trPr>
        <w:tc>
          <w:tcPr>
            <w:tcW w:w="10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Market</w:t>
            </w:r>
          </w:p>
        </w:tc>
        <w:tc>
          <w:tcPr>
            <w:tcW w:w="12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Physical/APN</w:t>
            </w:r>
          </w:p>
        </w:tc>
        <w:tc>
          <w:tcPr>
            <w:tcW w:w="820" w:type="dxa"/>
            <w:vAlign w:val="bottom"/>
            <w:tcBorders>
              <w:top w:val="single" w:sz="8" w:color="auto"/>
              <w:right w:val="single" w:sz="8" w:color="auto"/>
            </w:tcBorders>
          </w:tcPr>
          <w:p>
            <w:pPr>
              <w:spacing w:after="0"/>
              <w:rPr>
                <w:sz w:val="14"/>
                <w:szCs w:val="14"/>
                <w:color w:val="auto"/>
              </w:rPr>
            </w:pP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IST Quantities</w:t>
            </w:r>
          </w:p>
        </w:tc>
        <w:tc>
          <w:tcPr>
            <w:tcW w:w="14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IST Quantities for</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1000" w:type="dxa"/>
            <w:vAlign w:val="bottom"/>
            <w:tcBorders>
              <w:left w:val="single" w:sz="8" w:color="auto"/>
              <w:right w:val="single" w:sz="8" w:color="auto"/>
            </w:tcBorders>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8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CPTs</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NOT considered</w:t>
            </w:r>
          </w:p>
        </w:tc>
        <w:tc>
          <w:tcPr>
            <w:tcW w:w="1440" w:type="dxa"/>
            <w:vAlign w:val="bottom"/>
            <w:tcBorders>
              <w:right w:val="single" w:sz="8" w:color="auto"/>
            </w:tcBorders>
            <w:vMerge w:val="continue"/>
          </w:tcPr>
          <w:p>
            <w:pPr>
              <w:spacing w:after="0"/>
              <w:rPr>
                <w:sz w:val="7"/>
                <w:szCs w:val="7"/>
                <w:color w:val="auto"/>
              </w:rPr>
            </w:pPr>
          </w:p>
        </w:tc>
        <w:tc>
          <w:tcPr>
            <w:tcW w:w="1760" w:type="dxa"/>
            <w:vAlign w:val="bottom"/>
            <w:vMerge w:val="restart"/>
          </w:tcPr>
          <w:p>
            <w:pPr>
              <w:ind w:left="1120"/>
              <w:spacing w:after="0"/>
              <w:rPr>
                <w:sz w:val="20"/>
                <w:szCs w:val="20"/>
                <w:color w:val="auto"/>
              </w:rPr>
            </w:pPr>
            <w:r>
              <w:rPr>
                <w:rFonts w:ascii="Arial" w:cs="Arial" w:eastAsia="Arial" w:hAnsi="Arial"/>
                <w:sz w:val="14"/>
                <w:szCs w:val="14"/>
                <w:b w:val="1"/>
                <w:bCs w:val="1"/>
                <w:color w:val="auto"/>
                <w:w w:val="85"/>
              </w:rPr>
              <w:t>Comments</w:t>
            </w:r>
          </w:p>
        </w:tc>
        <w:tc>
          <w:tcPr>
            <w:tcW w:w="0" w:type="dxa"/>
            <w:vAlign w:val="bottom"/>
          </w:tcPr>
          <w:p>
            <w:pPr>
              <w:spacing w:after="0"/>
              <w:rPr>
                <w:sz w:val="1"/>
                <w:szCs w:val="1"/>
                <w:color w:val="auto"/>
              </w:rPr>
            </w:pPr>
          </w:p>
        </w:tc>
      </w:tr>
      <w:tr>
        <w:trPr>
          <w:trHeight w:val="83"/>
        </w:trPr>
        <w:tc>
          <w:tcPr>
            <w:tcW w:w="10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Status</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ISTs</w:t>
            </w:r>
          </w:p>
        </w:tc>
        <w:tc>
          <w:tcPr>
            <w:tcW w:w="82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Remittance Basis</w:t>
            </w:r>
          </w:p>
        </w:tc>
        <w:tc>
          <w:tcPr>
            <w:tcW w:w="1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000" w:type="dxa"/>
            <w:vAlign w:val="bottom"/>
            <w:tcBorders>
              <w:left w:val="single" w:sz="8" w:color="auto"/>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for Remittance</w:t>
            </w:r>
          </w:p>
        </w:tc>
        <w:tc>
          <w:tcPr>
            <w:tcW w:w="1440" w:type="dxa"/>
            <w:vAlign w:val="bottom"/>
            <w:tcBorders>
              <w:right w:val="single" w:sz="8" w:color="auto"/>
            </w:tcBorders>
            <w:vMerge w:val="continue"/>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000" w:type="dxa"/>
            <w:vAlign w:val="bottom"/>
            <w:tcBorders>
              <w:left w:val="single" w:sz="8" w:color="auto"/>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82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right w:val="single" w:sz="8" w:color="auto"/>
            </w:tcBorders>
            <w:vMerge w:val="continue"/>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1000" w:type="dxa"/>
            <w:vAlign w:val="bottom"/>
            <w:tcBorders>
              <w:left w:val="single" w:sz="8" w:color="auto"/>
              <w:bottom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7"/>
              </w:rPr>
              <w:t>xxxxx</w:t>
            </w:r>
          </w:p>
        </w:tc>
        <w:tc>
          <w:tcPr>
            <w:tcW w:w="1240" w:type="dxa"/>
            <w:vAlign w:val="bottom"/>
            <w:tcBorders>
              <w:bottom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rPr>
              <w:t>xxxxx</w:t>
            </w:r>
          </w:p>
        </w:tc>
        <w:tc>
          <w:tcPr>
            <w:tcW w:w="820" w:type="dxa"/>
            <w:vAlign w:val="bottom"/>
            <w:tcBorders>
              <w:bottom w:val="single" w:sz="8" w:color="auto"/>
              <w:right w:val="single" w:sz="8" w:color="auto"/>
            </w:tcBorders>
          </w:tcPr>
          <w:p>
            <w:pPr>
              <w:ind w:left="220"/>
              <w:spacing w:after="0" w:line="141" w:lineRule="exact"/>
              <w:rPr>
                <w:sz w:val="20"/>
                <w:szCs w:val="20"/>
                <w:color w:val="auto"/>
              </w:rPr>
            </w:pPr>
            <w:r>
              <w:rPr>
                <w:rFonts w:ascii="Arial" w:cs="Arial" w:eastAsia="Arial" w:hAnsi="Arial"/>
                <w:sz w:val="14"/>
                <w:szCs w:val="14"/>
                <w:color w:val="auto"/>
              </w:rPr>
              <w:t>xxxxx</w:t>
            </w:r>
          </w:p>
        </w:tc>
        <w:tc>
          <w:tcPr>
            <w:tcW w:w="134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7"/>
              </w:rPr>
              <w:t>xxxxx</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0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xxxxx</w:t>
            </w:r>
          </w:p>
        </w:tc>
        <w:tc>
          <w:tcPr>
            <w:tcW w:w="820" w:type="dxa"/>
            <w:vAlign w:val="bottom"/>
            <w:tcBorders>
              <w:bottom w:val="single" w:sz="8" w:color="auto"/>
              <w:right w:val="single" w:sz="8" w:color="auto"/>
            </w:tcBorders>
          </w:tcPr>
          <w:p>
            <w:pPr>
              <w:ind w:left="220"/>
              <w:spacing w:after="0" w:line="156" w:lineRule="exact"/>
              <w:rPr>
                <w:sz w:val="20"/>
                <w:szCs w:val="20"/>
                <w:color w:val="auto"/>
              </w:rPr>
            </w:pPr>
            <w:r>
              <w:rPr>
                <w:rFonts w:ascii="Arial" w:cs="Arial" w:eastAsia="Arial" w:hAnsi="Arial"/>
                <w:sz w:val="14"/>
                <w:szCs w:val="14"/>
                <w:color w:val="auto"/>
              </w:rPr>
              <w:t>xxxxx</w:t>
            </w:r>
          </w:p>
        </w:tc>
        <w:tc>
          <w:tcPr>
            <w:tcW w:w="134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xxxxx</w:t>
            </w:r>
          </w:p>
        </w:tc>
        <w:tc>
          <w:tcPr>
            <w:tcW w:w="820" w:type="dxa"/>
            <w:vAlign w:val="bottom"/>
            <w:tcBorders>
              <w:bottom w:val="single" w:sz="8" w:color="auto"/>
              <w:right w:val="single" w:sz="8" w:color="auto"/>
            </w:tcBorders>
          </w:tcPr>
          <w:p>
            <w:pPr>
              <w:ind w:left="220"/>
              <w:spacing w:after="0" w:line="156" w:lineRule="exact"/>
              <w:rPr>
                <w:sz w:val="20"/>
                <w:szCs w:val="20"/>
                <w:color w:val="auto"/>
              </w:rPr>
            </w:pPr>
            <w:r>
              <w:rPr>
                <w:rFonts w:ascii="Arial" w:cs="Arial" w:eastAsia="Arial" w:hAnsi="Arial"/>
                <w:sz w:val="14"/>
                <w:szCs w:val="14"/>
                <w:color w:val="auto"/>
              </w:rPr>
              <w:t>xxxxx</w:t>
            </w:r>
          </w:p>
        </w:tc>
        <w:tc>
          <w:tcPr>
            <w:tcW w:w="134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xxxxx</w:t>
            </w:r>
          </w:p>
        </w:tc>
        <w:tc>
          <w:tcPr>
            <w:tcW w:w="820" w:type="dxa"/>
            <w:vAlign w:val="bottom"/>
            <w:tcBorders>
              <w:bottom w:val="single" w:sz="8" w:color="auto"/>
              <w:right w:val="single" w:sz="8" w:color="auto"/>
            </w:tcBorders>
          </w:tcPr>
          <w:p>
            <w:pPr>
              <w:ind w:left="220"/>
              <w:spacing w:after="0" w:line="156" w:lineRule="exact"/>
              <w:rPr>
                <w:sz w:val="20"/>
                <w:szCs w:val="20"/>
                <w:color w:val="auto"/>
              </w:rPr>
            </w:pPr>
            <w:r>
              <w:rPr>
                <w:rFonts w:ascii="Arial" w:cs="Arial" w:eastAsia="Arial" w:hAnsi="Arial"/>
                <w:sz w:val="14"/>
                <w:szCs w:val="14"/>
                <w:color w:val="auto"/>
              </w:rPr>
              <w:t>xxxxx</w:t>
            </w:r>
          </w:p>
        </w:tc>
        <w:tc>
          <w:tcPr>
            <w:tcW w:w="134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xxxxx</w:t>
            </w:r>
          </w:p>
        </w:tc>
        <w:tc>
          <w:tcPr>
            <w:tcW w:w="820" w:type="dxa"/>
            <w:vAlign w:val="bottom"/>
            <w:tcBorders>
              <w:bottom w:val="single" w:sz="8" w:color="auto"/>
              <w:right w:val="single" w:sz="8" w:color="auto"/>
            </w:tcBorders>
          </w:tcPr>
          <w:p>
            <w:pPr>
              <w:ind w:left="220"/>
              <w:spacing w:after="0" w:line="156" w:lineRule="exact"/>
              <w:rPr>
                <w:sz w:val="20"/>
                <w:szCs w:val="20"/>
                <w:color w:val="auto"/>
              </w:rPr>
            </w:pPr>
            <w:r>
              <w:rPr>
                <w:rFonts w:ascii="Arial" w:cs="Arial" w:eastAsia="Arial" w:hAnsi="Arial"/>
                <w:sz w:val="14"/>
                <w:szCs w:val="14"/>
                <w:color w:val="auto"/>
              </w:rPr>
              <w:t>xxxxx</w:t>
            </w:r>
          </w:p>
        </w:tc>
        <w:tc>
          <w:tcPr>
            <w:tcW w:w="134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xxxxx</w:t>
            </w:r>
          </w:p>
        </w:tc>
        <w:tc>
          <w:tcPr>
            <w:tcW w:w="820" w:type="dxa"/>
            <w:vAlign w:val="bottom"/>
            <w:tcBorders>
              <w:bottom w:val="single" w:sz="8" w:color="auto"/>
              <w:right w:val="single" w:sz="8" w:color="auto"/>
            </w:tcBorders>
          </w:tcPr>
          <w:p>
            <w:pPr>
              <w:ind w:left="220"/>
              <w:spacing w:after="0" w:line="156" w:lineRule="exact"/>
              <w:rPr>
                <w:sz w:val="20"/>
                <w:szCs w:val="20"/>
                <w:color w:val="auto"/>
              </w:rPr>
            </w:pPr>
            <w:r>
              <w:rPr>
                <w:rFonts w:ascii="Arial" w:cs="Arial" w:eastAsia="Arial" w:hAnsi="Arial"/>
                <w:sz w:val="14"/>
                <w:szCs w:val="14"/>
                <w:color w:val="auto"/>
              </w:rPr>
              <w:t>xxxxx</w:t>
            </w:r>
          </w:p>
        </w:tc>
        <w:tc>
          <w:tcPr>
            <w:tcW w:w="134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xxxxx</w:t>
            </w:r>
          </w:p>
        </w:tc>
        <w:tc>
          <w:tcPr>
            <w:tcW w:w="820" w:type="dxa"/>
            <w:vAlign w:val="bottom"/>
            <w:tcBorders>
              <w:bottom w:val="single" w:sz="8" w:color="auto"/>
              <w:right w:val="single" w:sz="8" w:color="auto"/>
            </w:tcBorders>
          </w:tcPr>
          <w:p>
            <w:pPr>
              <w:ind w:left="220"/>
              <w:spacing w:after="0" w:line="156" w:lineRule="exact"/>
              <w:rPr>
                <w:sz w:val="20"/>
                <w:szCs w:val="20"/>
                <w:color w:val="auto"/>
              </w:rPr>
            </w:pPr>
            <w:r>
              <w:rPr>
                <w:rFonts w:ascii="Arial" w:cs="Arial" w:eastAsia="Arial" w:hAnsi="Arial"/>
                <w:sz w:val="14"/>
                <w:szCs w:val="14"/>
                <w:color w:val="auto"/>
              </w:rPr>
              <w:t>xxxxx</w:t>
            </w:r>
          </w:p>
        </w:tc>
        <w:tc>
          <w:tcPr>
            <w:tcW w:w="134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xxxxx</w:t>
            </w:r>
          </w:p>
        </w:tc>
        <w:tc>
          <w:tcPr>
            <w:tcW w:w="820" w:type="dxa"/>
            <w:vAlign w:val="bottom"/>
            <w:tcBorders>
              <w:bottom w:val="single" w:sz="8" w:color="auto"/>
              <w:right w:val="single" w:sz="8" w:color="auto"/>
            </w:tcBorders>
          </w:tcPr>
          <w:p>
            <w:pPr>
              <w:ind w:left="220"/>
              <w:spacing w:after="0" w:line="156" w:lineRule="exact"/>
              <w:rPr>
                <w:sz w:val="20"/>
                <w:szCs w:val="20"/>
                <w:color w:val="auto"/>
              </w:rPr>
            </w:pPr>
            <w:r>
              <w:rPr>
                <w:rFonts w:ascii="Arial" w:cs="Arial" w:eastAsia="Arial" w:hAnsi="Arial"/>
                <w:sz w:val="14"/>
                <w:szCs w:val="14"/>
                <w:color w:val="auto"/>
              </w:rPr>
              <w:t>xxxxx</w:t>
            </w:r>
          </w:p>
        </w:tc>
        <w:tc>
          <w:tcPr>
            <w:tcW w:w="134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xxxxx</w:t>
            </w:r>
          </w:p>
        </w:tc>
        <w:tc>
          <w:tcPr>
            <w:tcW w:w="820" w:type="dxa"/>
            <w:vAlign w:val="bottom"/>
            <w:tcBorders>
              <w:bottom w:val="single" w:sz="8" w:color="auto"/>
              <w:right w:val="single" w:sz="8" w:color="auto"/>
            </w:tcBorders>
          </w:tcPr>
          <w:p>
            <w:pPr>
              <w:ind w:left="220"/>
              <w:spacing w:after="0" w:line="156" w:lineRule="exact"/>
              <w:rPr>
                <w:sz w:val="20"/>
                <w:szCs w:val="20"/>
                <w:color w:val="auto"/>
              </w:rPr>
            </w:pPr>
            <w:r>
              <w:rPr>
                <w:rFonts w:ascii="Arial" w:cs="Arial" w:eastAsia="Arial" w:hAnsi="Arial"/>
                <w:sz w:val="14"/>
                <w:szCs w:val="14"/>
                <w:color w:val="auto"/>
              </w:rPr>
              <w:t>xxxxx</w:t>
            </w:r>
          </w:p>
        </w:tc>
        <w:tc>
          <w:tcPr>
            <w:tcW w:w="134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xxxxx</w:t>
            </w:r>
          </w:p>
        </w:tc>
        <w:tc>
          <w:tcPr>
            <w:tcW w:w="820" w:type="dxa"/>
            <w:vAlign w:val="bottom"/>
            <w:tcBorders>
              <w:bottom w:val="single" w:sz="8" w:color="auto"/>
              <w:right w:val="single" w:sz="8" w:color="auto"/>
            </w:tcBorders>
          </w:tcPr>
          <w:p>
            <w:pPr>
              <w:ind w:left="220"/>
              <w:spacing w:after="0" w:line="156" w:lineRule="exact"/>
              <w:rPr>
                <w:sz w:val="20"/>
                <w:szCs w:val="20"/>
                <w:color w:val="auto"/>
              </w:rPr>
            </w:pPr>
            <w:r>
              <w:rPr>
                <w:rFonts w:ascii="Arial" w:cs="Arial" w:eastAsia="Arial" w:hAnsi="Arial"/>
                <w:sz w:val="14"/>
                <w:szCs w:val="14"/>
                <w:color w:val="auto"/>
              </w:rPr>
              <w:t>xxxxx</w:t>
            </w:r>
          </w:p>
        </w:tc>
        <w:tc>
          <w:tcPr>
            <w:tcW w:w="134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xxxxx</w:t>
            </w:r>
          </w:p>
        </w:tc>
        <w:tc>
          <w:tcPr>
            <w:tcW w:w="820" w:type="dxa"/>
            <w:vAlign w:val="bottom"/>
            <w:tcBorders>
              <w:bottom w:val="single" w:sz="8" w:color="auto"/>
              <w:right w:val="single" w:sz="8" w:color="auto"/>
            </w:tcBorders>
          </w:tcPr>
          <w:p>
            <w:pPr>
              <w:ind w:left="220"/>
              <w:spacing w:after="0" w:line="156" w:lineRule="exact"/>
              <w:rPr>
                <w:sz w:val="20"/>
                <w:szCs w:val="20"/>
                <w:color w:val="auto"/>
              </w:rPr>
            </w:pPr>
            <w:r>
              <w:rPr>
                <w:rFonts w:ascii="Arial" w:cs="Arial" w:eastAsia="Arial" w:hAnsi="Arial"/>
                <w:sz w:val="14"/>
                <w:szCs w:val="14"/>
                <w:color w:val="auto"/>
              </w:rPr>
              <w:t>xxxxx</w:t>
            </w:r>
          </w:p>
        </w:tc>
        <w:tc>
          <w:tcPr>
            <w:tcW w:w="134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xxxxx</w:t>
            </w:r>
          </w:p>
        </w:tc>
        <w:tc>
          <w:tcPr>
            <w:tcW w:w="820" w:type="dxa"/>
            <w:vAlign w:val="bottom"/>
            <w:tcBorders>
              <w:bottom w:val="single" w:sz="8" w:color="auto"/>
              <w:right w:val="single" w:sz="8" w:color="auto"/>
            </w:tcBorders>
          </w:tcPr>
          <w:p>
            <w:pPr>
              <w:ind w:left="220"/>
              <w:spacing w:after="0" w:line="156" w:lineRule="exact"/>
              <w:rPr>
                <w:sz w:val="20"/>
                <w:szCs w:val="20"/>
                <w:color w:val="auto"/>
              </w:rPr>
            </w:pPr>
            <w:r>
              <w:rPr>
                <w:rFonts w:ascii="Arial" w:cs="Arial" w:eastAsia="Arial" w:hAnsi="Arial"/>
                <w:sz w:val="14"/>
                <w:szCs w:val="14"/>
                <w:color w:val="auto"/>
              </w:rPr>
              <w:t>xxxxx</w:t>
            </w:r>
          </w:p>
        </w:tc>
        <w:tc>
          <w:tcPr>
            <w:tcW w:w="134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xxxxx</w:t>
            </w:r>
          </w:p>
        </w:tc>
        <w:tc>
          <w:tcPr>
            <w:tcW w:w="820" w:type="dxa"/>
            <w:vAlign w:val="bottom"/>
            <w:tcBorders>
              <w:bottom w:val="single" w:sz="8" w:color="auto"/>
              <w:right w:val="single" w:sz="8" w:color="auto"/>
            </w:tcBorders>
          </w:tcPr>
          <w:p>
            <w:pPr>
              <w:ind w:left="220"/>
              <w:spacing w:after="0" w:line="156" w:lineRule="exact"/>
              <w:rPr>
                <w:sz w:val="20"/>
                <w:szCs w:val="20"/>
                <w:color w:val="auto"/>
              </w:rPr>
            </w:pPr>
            <w:r>
              <w:rPr>
                <w:rFonts w:ascii="Arial" w:cs="Arial" w:eastAsia="Arial" w:hAnsi="Arial"/>
                <w:sz w:val="14"/>
                <w:szCs w:val="14"/>
                <w:color w:val="auto"/>
              </w:rPr>
              <w:t>xxxxx</w:t>
            </w:r>
          </w:p>
        </w:tc>
        <w:tc>
          <w:tcPr>
            <w:tcW w:w="134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xxxxx</w:t>
            </w:r>
          </w:p>
        </w:tc>
        <w:tc>
          <w:tcPr>
            <w:tcW w:w="820" w:type="dxa"/>
            <w:vAlign w:val="bottom"/>
            <w:tcBorders>
              <w:bottom w:val="single" w:sz="8" w:color="auto"/>
              <w:right w:val="single" w:sz="8" w:color="auto"/>
            </w:tcBorders>
          </w:tcPr>
          <w:p>
            <w:pPr>
              <w:ind w:left="220"/>
              <w:spacing w:after="0" w:line="156" w:lineRule="exact"/>
              <w:rPr>
                <w:sz w:val="20"/>
                <w:szCs w:val="20"/>
                <w:color w:val="auto"/>
              </w:rPr>
            </w:pPr>
            <w:r>
              <w:rPr>
                <w:rFonts w:ascii="Arial" w:cs="Arial" w:eastAsia="Arial" w:hAnsi="Arial"/>
                <w:sz w:val="14"/>
                <w:szCs w:val="14"/>
                <w:color w:val="auto"/>
              </w:rPr>
              <w:t>xxxxx</w:t>
            </w:r>
          </w:p>
        </w:tc>
        <w:tc>
          <w:tcPr>
            <w:tcW w:w="134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xxxxx</w:t>
            </w:r>
          </w:p>
        </w:tc>
        <w:tc>
          <w:tcPr>
            <w:tcW w:w="820" w:type="dxa"/>
            <w:vAlign w:val="bottom"/>
            <w:tcBorders>
              <w:bottom w:val="single" w:sz="8" w:color="auto"/>
              <w:right w:val="single" w:sz="8" w:color="auto"/>
            </w:tcBorders>
          </w:tcPr>
          <w:p>
            <w:pPr>
              <w:ind w:left="220"/>
              <w:spacing w:after="0" w:line="156" w:lineRule="exact"/>
              <w:rPr>
                <w:sz w:val="20"/>
                <w:szCs w:val="20"/>
                <w:color w:val="auto"/>
              </w:rPr>
            </w:pPr>
            <w:r>
              <w:rPr>
                <w:rFonts w:ascii="Arial" w:cs="Arial" w:eastAsia="Arial" w:hAnsi="Arial"/>
                <w:sz w:val="14"/>
                <w:szCs w:val="14"/>
                <w:color w:val="auto"/>
              </w:rPr>
              <w:t>xxxxx</w:t>
            </w:r>
          </w:p>
        </w:tc>
        <w:tc>
          <w:tcPr>
            <w:tcW w:w="134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xxxxx</w:t>
            </w:r>
          </w:p>
        </w:tc>
        <w:tc>
          <w:tcPr>
            <w:tcW w:w="820" w:type="dxa"/>
            <w:vAlign w:val="bottom"/>
            <w:tcBorders>
              <w:bottom w:val="single" w:sz="8" w:color="auto"/>
              <w:right w:val="single" w:sz="8" w:color="auto"/>
            </w:tcBorders>
          </w:tcPr>
          <w:p>
            <w:pPr>
              <w:ind w:left="220"/>
              <w:spacing w:after="0" w:line="156" w:lineRule="exact"/>
              <w:rPr>
                <w:sz w:val="20"/>
                <w:szCs w:val="20"/>
                <w:color w:val="auto"/>
              </w:rPr>
            </w:pPr>
            <w:r>
              <w:rPr>
                <w:rFonts w:ascii="Arial" w:cs="Arial" w:eastAsia="Arial" w:hAnsi="Arial"/>
                <w:sz w:val="14"/>
                <w:szCs w:val="14"/>
                <w:color w:val="auto"/>
              </w:rPr>
              <w:t>xxxxx</w:t>
            </w:r>
          </w:p>
        </w:tc>
        <w:tc>
          <w:tcPr>
            <w:tcW w:w="134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xxxxx</w:t>
            </w:r>
          </w:p>
        </w:tc>
        <w:tc>
          <w:tcPr>
            <w:tcW w:w="820" w:type="dxa"/>
            <w:vAlign w:val="bottom"/>
            <w:tcBorders>
              <w:bottom w:val="single" w:sz="8" w:color="auto"/>
              <w:right w:val="single" w:sz="8" w:color="auto"/>
            </w:tcBorders>
          </w:tcPr>
          <w:p>
            <w:pPr>
              <w:ind w:left="220"/>
              <w:spacing w:after="0" w:line="156" w:lineRule="exact"/>
              <w:rPr>
                <w:sz w:val="20"/>
                <w:szCs w:val="20"/>
                <w:color w:val="auto"/>
              </w:rPr>
            </w:pPr>
            <w:r>
              <w:rPr>
                <w:rFonts w:ascii="Arial" w:cs="Arial" w:eastAsia="Arial" w:hAnsi="Arial"/>
                <w:sz w:val="14"/>
                <w:szCs w:val="14"/>
                <w:color w:val="auto"/>
              </w:rPr>
              <w:t>xxxxx</w:t>
            </w:r>
          </w:p>
        </w:tc>
        <w:tc>
          <w:tcPr>
            <w:tcW w:w="134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xxxxx</w:t>
            </w:r>
          </w:p>
        </w:tc>
        <w:tc>
          <w:tcPr>
            <w:tcW w:w="820" w:type="dxa"/>
            <w:vAlign w:val="bottom"/>
            <w:tcBorders>
              <w:bottom w:val="single" w:sz="8" w:color="auto"/>
              <w:right w:val="single" w:sz="8" w:color="auto"/>
            </w:tcBorders>
          </w:tcPr>
          <w:p>
            <w:pPr>
              <w:ind w:left="220"/>
              <w:spacing w:after="0" w:line="156" w:lineRule="exact"/>
              <w:rPr>
                <w:sz w:val="20"/>
                <w:szCs w:val="20"/>
                <w:color w:val="auto"/>
              </w:rPr>
            </w:pPr>
            <w:r>
              <w:rPr>
                <w:rFonts w:ascii="Arial" w:cs="Arial" w:eastAsia="Arial" w:hAnsi="Arial"/>
                <w:sz w:val="14"/>
                <w:szCs w:val="14"/>
                <w:color w:val="auto"/>
              </w:rPr>
              <w:t>xxxxx</w:t>
            </w:r>
          </w:p>
        </w:tc>
        <w:tc>
          <w:tcPr>
            <w:tcW w:w="134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xxxxx</w:t>
            </w:r>
          </w:p>
        </w:tc>
        <w:tc>
          <w:tcPr>
            <w:tcW w:w="820" w:type="dxa"/>
            <w:vAlign w:val="bottom"/>
            <w:tcBorders>
              <w:bottom w:val="single" w:sz="8" w:color="auto"/>
              <w:right w:val="single" w:sz="8" w:color="auto"/>
            </w:tcBorders>
          </w:tcPr>
          <w:p>
            <w:pPr>
              <w:ind w:left="220"/>
              <w:spacing w:after="0" w:line="156" w:lineRule="exact"/>
              <w:rPr>
                <w:sz w:val="20"/>
                <w:szCs w:val="20"/>
                <w:color w:val="auto"/>
              </w:rPr>
            </w:pPr>
            <w:r>
              <w:rPr>
                <w:rFonts w:ascii="Arial" w:cs="Arial" w:eastAsia="Arial" w:hAnsi="Arial"/>
                <w:sz w:val="14"/>
                <w:szCs w:val="14"/>
                <w:color w:val="auto"/>
              </w:rPr>
              <w:t>xxxxx</w:t>
            </w:r>
          </w:p>
        </w:tc>
        <w:tc>
          <w:tcPr>
            <w:tcW w:w="134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xxxxx</w:t>
            </w:r>
          </w:p>
        </w:tc>
        <w:tc>
          <w:tcPr>
            <w:tcW w:w="820" w:type="dxa"/>
            <w:vAlign w:val="bottom"/>
            <w:tcBorders>
              <w:bottom w:val="single" w:sz="8" w:color="auto"/>
              <w:right w:val="single" w:sz="8" w:color="auto"/>
            </w:tcBorders>
          </w:tcPr>
          <w:p>
            <w:pPr>
              <w:ind w:left="220"/>
              <w:spacing w:after="0" w:line="156" w:lineRule="exact"/>
              <w:rPr>
                <w:sz w:val="20"/>
                <w:szCs w:val="20"/>
                <w:color w:val="auto"/>
              </w:rPr>
            </w:pPr>
            <w:r>
              <w:rPr>
                <w:rFonts w:ascii="Arial" w:cs="Arial" w:eastAsia="Arial" w:hAnsi="Arial"/>
                <w:sz w:val="14"/>
                <w:szCs w:val="14"/>
                <w:color w:val="auto"/>
              </w:rPr>
              <w:t>xxxxx</w:t>
            </w:r>
          </w:p>
        </w:tc>
        <w:tc>
          <w:tcPr>
            <w:tcW w:w="134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xxxxx</w:t>
            </w:r>
          </w:p>
        </w:tc>
        <w:tc>
          <w:tcPr>
            <w:tcW w:w="820" w:type="dxa"/>
            <w:vAlign w:val="bottom"/>
            <w:tcBorders>
              <w:bottom w:val="single" w:sz="8" w:color="auto"/>
              <w:right w:val="single" w:sz="8" w:color="auto"/>
            </w:tcBorders>
          </w:tcPr>
          <w:p>
            <w:pPr>
              <w:ind w:left="220"/>
              <w:spacing w:after="0" w:line="156" w:lineRule="exact"/>
              <w:rPr>
                <w:sz w:val="20"/>
                <w:szCs w:val="20"/>
                <w:color w:val="auto"/>
              </w:rPr>
            </w:pPr>
            <w:r>
              <w:rPr>
                <w:rFonts w:ascii="Arial" w:cs="Arial" w:eastAsia="Arial" w:hAnsi="Arial"/>
                <w:sz w:val="14"/>
                <w:szCs w:val="14"/>
                <w:color w:val="auto"/>
              </w:rPr>
              <w:t>xxxxx</w:t>
            </w:r>
          </w:p>
        </w:tc>
        <w:tc>
          <w:tcPr>
            <w:tcW w:w="134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xxxxx</w:t>
            </w:r>
          </w:p>
        </w:tc>
        <w:tc>
          <w:tcPr>
            <w:tcW w:w="820" w:type="dxa"/>
            <w:vAlign w:val="bottom"/>
            <w:tcBorders>
              <w:bottom w:val="single" w:sz="8" w:color="auto"/>
              <w:right w:val="single" w:sz="8" w:color="auto"/>
            </w:tcBorders>
          </w:tcPr>
          <w:p>
            <w:pPr>
              <w:ind w:left="220"/>
              <w:spacing w:after="0" w:line="156" w:lineRule="exact"/>
              <w:rPr>
                <w:sz w:val="20"/>
                <w:szCs w:val="20"/>
                <w:color w:val="auto"/>
              </w:rPr>
            </w:pPr>
            <w:r>
              <w:rPr>
                <w:rFonts w:ascii="Arial" w:cs="Arial" w:eastAsia="Arial" w:hAnsi="Arial"/>
                <w:sz w:val="14"/>
                <w:szCs w:val="14"/>
                <w:color w:val="auto"/>
              </w:rPr>
              <w:t>xxxxx</w:t>
            </w:r>
          </w:p>
        </w:tc>
        <w:tc>
          <w:tcPr>
            <w:tcW w:w="134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xxxxx</w:t>
            </w:r>
          </w:p>
        </w:tc>
        <w:tc>
          <w:tcPr>
            <w:tcW w:w="820" w:type="dxa"/>
            <w:vAlign w:val="bottom"/>
            <w:tcBorders>
              <w:bottom w:val="single" w:sz="8" w:color="auto"/>
              <w:right w:val="single" w:sz="8" w:color="auto"/>
            </w:tcBorders>
          </w:tcPr>
          <w:p>
            <w:pPr>
              <w:ind w:left="220"/>
              <w:spacing w:after="0" w:line="156" w:lineRule="exact"/>
              <w:rPr>
                <w:sz w:val="20"/>
                <w:szCs w:val="20"/>
                <w:color w:val="auto"/>
              </w:rPr>
            </w:pPr>
            <w:r>
              <w:rPr>
                <w:rFonts w:ascii="Arial" w:cs="Arial" w:eastAsia="Arial" w:hAnsi="Arial"/>
                <w:sz w:val="14"/>
                <w:szCs w:val="14"/>
                <w:color w:val="auto"/>
              </w:rPr>
              <w:t>xxxxx</w:t>
            </w:r>
          </w:p>
        </w:tc>
        <w:tc>
          <w:tcPr>
            <w:tcW w:w="134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xxxxx</w:t>
            </w:r>
          </w:p>
        </w:tc>
        <w:tc>
          <w:tcPr>
            <w:tcW w:w="820" w:type="dxa"/>
            <w:vAlign w:val="bottom"/>
            <w:tcBorders>
              <w:bottom w:val="single" w:sz="8" w:color="auto"/>
              <w:right w:val="single" w:sz="8" w:color="auto"/>
            </w:tcBorders>
          </w:tcPr>
          <w:p>
            <w:pPr>
              <w:ind w:left="220"/>
              <w:spacing w:after="0" w:line="156" w:lineRule="exact"/>
              <w:rPr>
                <w:sz w:val="20"/>
                <w:szCs w:val="20"/>
                <w:color w:val="auto"/>
              </w:rPr>
            </w:pPr>
            <w:r>
              <w:rPr>
                <w:rFonts w:ascii="Arial" w:cs="Arial" w:eastAsia="Arial" w:hAnsi="Arial"/>
                <w:sz w:val="14"/>
                <w:szCs w:val="14"/>
                <w:color w:val="auto"/>
              </w:rPr>
              <w:t>xxxxx</w:t>
            </w:r>
          </w:p>
        </w:tc>
        <w:tc>
          <w:tcPr>
            <w:tcW w:w="134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left w:val="single" w:sz="8" w:color="auto"/>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2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rPr>
              <w:t>xxxxx</w:t>
            </w:r>
          </w:p>
        </w:tc>
        <w:tc>
          <w:tcPr>
            <w:tcW w:w="820" w:type="dxa"/>
            <w:vAlign w:val="bottom"/>
            <w:tcBorders>
              <w:bottom w:val="single" w:sz="8" w:color="auto"/>
              <w:right w:val="single" w:sz="8" w:color="auto"/>
            </w:tcBorders>
          </w:tcPr>
          <w:p>
            <w:pPr>
              <w:ind w:left="220"/>
              <w:spacing w:after="0" w:line="156" w:lineRule="exact"/>
              <w:rPr>
                <w:sz w:val="20"/>
                <w:szCs w:val="20"/>
                <w:color w:val="auto"/>
              </w:rPr>
            </w:pPr>
            <w:r>
              <w:rPr>
                <w:rFonts w:ascii="Arial" w:cs="Arial" w:eastAsia="Arial" w:hAnsi="Arial"/>
                <w:sz w:val="14"/>
                <w:szCs w:val="14"/>
                <w:color w:val="auto"/>
              </w:rPr>
              <w:t>xxxxx</w:t>
            </w:r>
          </w:p>
        </w:tc>
        <w:tc>
          <w:tcPr>
            <w:tcW w:w="134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7"/>
              </w:rPr>
              <w:t>xxxxx</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5541010</wp:posOffset>
            </wp:positionH>
            <wp:positionV relativeFrom="paragraph">
              <wp:posOffset>-3117215</wp:posOffset>
            </wp:positionV>
            <wp:extent cx="6350" cy="3282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50" cy="328295"/>
                    </a:xfrm>
                    <a:prstGeom prst="rect">
                      <a:avLst/>
                    </a:prstGeom>
                    <a:noFill/>
                  </pic:spPr>
                </pic:pic>
              </a:graphicData>
            </a:graphic>
          </wp:anchor>
        </w:drawing>
      </w:r>
    </w:p>
    <w:p>
      <w:pPr>
        <w:spacing w:after="0" w:line="321" w:lineRule="exact"/>
        <w:rPr>
          <w:sz w:val="20"/>
          <w:szCs w:val="20"/>
          <w:color w:val="auto"/>
        </w:rPr>
      </w:pPr>
    </w:p>
    <w:p>
      <w:pPr>
        <w:ind w:left="1000" w:hanging="501"/>
        <w:spacing w:after="0"/>
        <w:tabs>
          <w:tab w:leader="none" w:pos="1000" w:val="left"/>
        </w:tabs>
        <w:numPr>
          <w:ilvl w:val="0"/>
          <w:numId w:val="2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SDG&amp;E IST True-up Report</w:t>
      </w:r>
    </w:p>
    <w:p>
      <w:pPr>
        <w:spacing w:after="0" w:line="181" w:lineRule="exact"/>
        <w:rPr>
          <w:sz w:val="20"/>
          <w:szCs w:val="20"/>
          <w:color w:val="auto"/>
        </w:rPr>
      </w:pPr>
    </w:p>
    <w:p>
      <w:pPr>
        <w:ind w:left="500" w:right="440"/>
        <w:spacing w:after="0" w:line="245" w:lineRule="auto"/>
        <w:rPr>
          <w:sz w:val="20"/>
          <w:szCs w:val="20"/>
          <w:color w:val="auto"/>
        </w:rPr>
      </w:pPr>
      <w:r>
        <w:rPr>
          <w:rFonts w:ascii="Arial" w:cs="Arial" w:eastAsia="Arial" w:hAnsi="Arial"/>
          <w:sz w:val="17"/>
          <w:szCs w:val="17"/>
          <w:color w:val="auto"/>
        </w:rPr>
        <w:t>The IST True-up Report is to be submitted to DWR within 5 Utility Business Days after the end of each calendar month during the Term. This report is to be submitted for minor amount of corrections to previously submitted IST Reports.</w:t>
      </w:r>
    </w:p>
    <w:p>
      <w:pPr>
        <w:spacing w:after="0" w:line="155" w:lineRule="exact"/>
        <w:rPr>
          <w:sz w:val="20"/>
          <w:szCs w:val="20"/>
          <w:color w:val="auto"/>
        </w:rPr>
      </w:pPr>
    </w:p>
    <w:p>
      <w:pPr>
        <w:ind w:left="500" w:hanging="1"/>
        <w:spacing w:after="0" w:line="250" w:lineRule="auto"/>
        <w:tabs>
          <w:tab w:leader="none" w:pos="996" w:val="left"/>
        </w:tabs>
        <w:numPr>
          <w:ilvl w:val="0"/>
          <w:numId w:val="2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Delivery Mechanism and Naming Convention - </w:t>
      </w:r>
      <w:r>
        <w:rPr>
          <w:rFonts w:ascii="Arial" w:cs="Arial" w:eastAsia="Arial" w:hAnsi="Arial"/>
          <w:sz w:val="17"/>
          <w:szCs w:val="17"/>
          <w:color w:val="auto"/>
        </w:rPr>
        <w:t>This report should be sent by e-mail to the e-mail address “IOU_Remit@water.ca.gov” (or by such secure</w:t>
      </w:r>
      <w:r>
        <w:rPr>
          <w:rFonts w:ascii="Arial" w:cs="Arial" w:eastAsia="Arial" w:hAnsi="Arial"/>
          <w:sz w:val="17"/>
          <w:szCs w:val="17"/>
          <w:b w:val="1"/>
          <w:bCs w:val="1"/>
          <w:color w:val="auto"/>
        </w:rPr>
        <w:t xml:space="preserve"> </w:t>
      </w:r>
      <w:r>
        <w:rPr>
          <w:rFonts w:ascii="Arial" w:cs="Arial" w:eastAsia="Arial" w:hAnsi="Arial"/>
          <w:sz w:val="17"/>
          <w:szCs w:val="17"/>
          <w:color w:val="auto"/>
        </w:rPr>
        <w:t>electronic means as reasonably determined appropriate by SDG&amp;E) with the following filename and subject line:</w:t>
      </w:r>
    </w:p>
    <w:p>
      <w:pPr>
        <w:spacing w:after="0" w:line="145" w:lineRule="exact"/>
        <w:rPr>
          <w:sz w:val="20"/>
          <w:szCs w:val="20"/>
          <w:color w:val="auto"/>
        </w:rPr>
      </w:pPr>
    </w:p>
    <w:p>
      <w:pPr>
        <w:ind w:left="740" w:hanging="241"/>
        <w:spacing w:after="0"/>
        <w:tabs>
          <w:tab w:leader="none" w:pos="74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format of the filename: &lt;utility name&gt; - IST True-up Report yyyymm v#.xls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Example: SDG&amp;E - IST True-up Report 200904 v1.xls</w:t>
      </w:r>
    </w:p>
    <w:p>
      <w:pPr>
        <w:spacing w:after="0" w:line="166" w:lineRule="exact"/>
        <w:rPr>
          <w:sz w:val="20"/>
          <w:szCs w:val="20"/>
          <w:color w:val="auto"/>
        </w:rPr>
      </w:pPr>
    </w:p>
    <w:p>
      <w:pPr>
        <w:ind w:left="740" w:hanging="241"/>
        <w:spacing w:after="0"/>
        <w:tabs>
          <w:tab w:leader="none" w:pos="74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subject line of e-mail: &lt;utility name&gt; - IST Report for yyyymm</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Example: SDG&amp;E - IST True-up Report for 200904</w:t>
      </w:r>
    </w:p>
    <w:p>
      <w:pPr>
        <w:spacing w:after="0" w:line="177" w:lineRule="exact"/>
        <w:rPr>
          <w:sz w:val="20"/>
          <w:szCs w:val="20"/>
          <w:color w:val="auto"/>
        </w:rPr>
      </w:pPr>
    </w:p>
    <w:p>
      <w:pPr>
        <w:ind w:left="500" w:right="660"/>
        <w:spacing w:after="0" w:line="245" w:lineRule="auto"/>
        <w:rPr>
          <w:sz w:val="20"/>
          <w:szCs w:val="20"/>
          <w:color w:val="auto"/>
        </w:rPr>
      </w:pPr>
      <w:r>
        <w:rPr>
          <w:rFonts w:ascii="Arial" w:cs="Arial" w:eastAsia="Arial" w:hAnsi="Arial"/>
          <w:sz w:val="17"/>
          <w:szCs w:val="17"/>
          <w:color w:val="auto"/>
        </w:rPr>
        <w:t>Modifications to a submitted report will be accomplished by resending all the data including the necessary modifications and renaming the report with the subsequent version number.</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Example: SDG&amp;E - IST True-up Report 200904 v2.xls</w:t>
      </w:r>
    </w:p>
    <w:p>
      <w:pPr>
        <w:spacing w:after="0" w:line="173" w:lineRule="exact"/>
        <w:rPr>
          <w:sz w:val="20"/>
          <w:szCs w:val="20"/>
          <w:color w:val="auto"/>
        </w:rPr>
      </w:pPr>
    </w:p>
    <w:p>
      <w:pPr>
        <w:ind w:left="500" w:right="120" w:hanging="1"/>
        <w:spacing w:after="0" w:line="250" w:lineRule="auto"/>
        <w:tabs>
          <w:tab w:leader="none" w:pos="996" w:val="left"/>
        </w:tabs>
        <w:numPr>
          <w:ilvl w:val="0"/>
          <w:numId w:val="2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Required Information and Timeline - </w:t>
      </w:r>
      <w:r>
        <w:rPr>
          <w:rFonts w:ascii="Arial" w:cs="Arial" w:eastAsia="Arial" w:hAnsi="Arial"/>
          <w:sz w:val="16"/>
          <w:szCs w:val="16"/>
          <w:color w:val="auto"/>
        </w:rPr>
        <w:t>SDG&amp;E shall report the Inter-SC Trade amounts of DWR Contracts with a separate entry for each hour of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and for each Contract in the IST Reports where a correction is required. SDG&amp;E shall report the data columns specified in the following table for each Inter-SC Trade Amounts. The report should be consistent in form and substance to the following table in Excel format.</w:t>
      </w:r>
    </w:p>
    <w:p>
      <w:pPr>
        <w:spacing w:after="0" w:line="1" w:lineRule="exact"/>
        <w:rPr>
          <w:rFonts w:ascii="Arial" w:cs="Arial" w:eastAsia="Arial" w:hAnsi="Arial"/>
          <w:sz w:val="16"/>
          <w:szCs w:val="16"/>
          <w:b w:val="1"/>
          <w:bCs w:val="1"/>
          <w:color w:val="auto"/>
        </w:rPr>
      </w:pPr>
    </w:p>
    <w:p>
      <w:pPr>
        <w:ind w:left="500"/>
        <w:spacing w:after="0"/>
        <w:rPr>
          <w:rFonts w:ascii="Arial" w:cs="Arial" w:eastAsia="Arial" w:hAnsi="Arial"/>
          <w:sz w:val="16"/>
          <w:szCs w:val="16"/>
          <w:b w:val="1"/>
          <w:bCs w:val="1"/>
          <w:color w:val="auto"/>
        </w:rPr>
      </w:pPr>
      <w:r>
        <w:rPr>
          <w:rFonts w:ascii="Arial" w:cs="Arial" w:eastAsia="Arial" w:hAnsi="Arial"/>
          <w:sz w:val="17"/>
          <w:szCs w:val="17"/>
          <w:b w:val="1"/>
          <w:bCs w:val="1"/>
          <w:i w:val="1"/>
          <w:iCs w:val="1"/>
          <w:color w:val="auto"/>
        </w:rPr>
        <w:t>Example:</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1180" w:type="dxa"/>
            <w:vAlign w:val="bottom"/>
            <w:tcBorders>
              <w:top w:val="single" w:sz="8" w:color="auto"/>
              <w:left w:val="single" w:sz="8" w:color="auto"/>
              <w:right w:val="single" w:sz="8" w:color="auto"/>
            </w:tcBorders>
            <w:shd w:val="clear" w:color="auto" w:fill="C0C0C0"/>
          </w:tcPr>
          <w:p>
            <w:pPr>
              <w:spacing w:after="0"/>
              <w:rPr>
                <w:sz w:val="15"/>
                <w:szCs w:val="15"/>
                <w:color w:val="auto"/>
              </w:rPr>
            </w:pPr>
          </w:p>
        </w:tc>
        <w:tc>
          <w:tcPr>
            <w:tcW w:w="100" w:type="dxa"/>
            <w:vAlign w:val="bottom"/>
            <w:tcBorders>
              <w:top w:val="single" w:sz="8" w:color="auto"/>
              <w:right w:val="single" w:sz="8" w:color="C0C0C0"/>
            </w:tcBorders>
            <w:shd w:val="clear" w:color="auto" w:fill="C0C0C0"/>
          </w:tcPr>
          <w:p>
            <w:pPr>
              <w:spacing w:after="0"/>
              <w:rPr>
                <w:sz w:val="15"/>
                <w:szCs w:val="15"/>
                <w:color w:val="auto"/>
              </w:rPr>
            </w:pPr>
          </w:p>
        </w:tc>
        <w:tc>
          <w:tcPr>
            <w:tcW w:w="440" w:type="dxa"/>
            <w:vAlign w:val="bottom"/>
            <w:tcBorders>
              <w:top w:val="single" w:sz="8" w:color="auto"/>
            </w:tcBorders>
            <w:shd w:val="clear" w:color="auto" w:fill="C0C0C0"/>
          </w:tcPr>
          <w:p>
            <w:pPr>
              <w:spacing w:after="0"/>
              <w:rPr>
                <w:sz w:val="15"/>
                <w:szCs w:val="15"/>
                <w:color w:val="auto"/>
              </w:rPr>
            </w:pPr>
          </w:p>
        </w:tc>
        <w:tc>
          <w:tcPr>
            <w:tcW w:w="220" w:type="dxa"/>
            <w:vAlign w:val="bottom"/>
            <w:tcBorders>
              <w:top w:val="single" w:sz="8" w:color="auto"/>
              <w:right w:val="single" w:sz="8" w:color="auto"/>
            </w:tcBorders>
            <w:shd w:val="clear" w:color="auto" w:fill="C0C0C0"/>
          </w:tcPr>
          <w:p>
            <w:pPr>
              <w:spacing w:after="0"/>
              <w:rPr>
                <w:sz w:val="15"/>
                <w:szCs w:val="15"/>
                <w:color w:val="auto"/>
              </w:rPr>
            </w:pPr>
          </w:p>
        </w:tc>
        <w:tc>
          <w:tcPr>
            <w:tcW w:w="540" w:type="dxa"/>
            <w:vAlign w:val="bottom"/>
            <w:tcBorders>
              <w:top w:val="single" w:sz="8" w:color="auto"/>
              <w:right w:val="single" w:sz="8" w:color="C0C0C0"/>
            </w:tcBorders>
            <w:shd w:val="clear" w:color="auto" w:fill="C0C0C0"/>
          </w:tcPr>
          <w:p>
            <w:pPr>
              <w:spacing w:after="0"/>
              <w:rPr>
                <w:sz w:val="15"/>
                <w:szCs w:val="15"/>
                <w:color w:val="auto"/>
              </w:rPr>
            </w:pPr>
          </w:p>
        </w:tc>
        <w:tc>
          <w:tcPr>
            <w:tcW w:w="420" w:type="dxa"/>
            <w:vAlign w:val="bottom"/>
            <w:tcBorders>
              <w:top w:val="single" w:sz="8" w:color="auto"/>
            </w:tcBorders>
            <w:shd w:val="clear" w:color="auto" w:fill="C0C0C0"/>
          </w:tcPr>
          <w:p>
            <w:pPr>
              <w:spacing w:after="0"/>
              <w:rPr>
                <w:sz w:val="15"/>
                <w:szCs w:val="15"/>
                <w:color w:val="auto"/>
              </w:rPr>
            </w:pPr>
          </w:p>
        </w:tc>
        <w:tc>
          <w:tcPr>
            <w:tcW w:w="300" w:type="dxa"/>
            <w:vAlign w:val="bottom"/>
            <w:tcBorders>
              <w:top w:val="single" w:sz="8" w:color="auto"/>
              <w:right w:val="single" w:sz="8" w:color="auto"/>
            </w:tcBorders>
            <w:shd w:val="clear" w:color="auto" w:fill="C0C0C0"/>
          </w:tcPr>
          <w:p>
            <w:pPr>
              <w:spacing w:after="0"/>
              <w:rPr>
                <w:sz w:val="15"/>
                <w:szCs w:val="15"/>
                <w:color w:val="auto"/>
              </w:rPr>
            </w:pPr>
          </w:p>
        </w:tc>
        <w:tc>
          <w:tcPr>
            <w:tcW w:w="840" w:type="dxa"/>
            <w:vAlign w:val="bottom"/>
            <w:tcBorders>
              <w:top w:val="single" w:sz="8" w:color="auto"/>
              <w:right w:val="single" w:sz="8" w:color="C0C0C0"/>
            </w:tcBorders>
            <w:shd w:val="clear" w:color="auto" w:fill="C0C0C0"/>
          </w:tcPr>
          <w:p>
            <w:pPr>
              <w:spacing w:after="0"/>
              <w:rPr>
                <w:sz w:val="15"/>
                <w:szCs w:val="15"/>
                <w:color w:val="auto"/>
              </w:rPr>
            </w:pPr>
          </w:p>
        </w:tc>
        <w:tc>
          <w:tcPr>
            <w:tcW w:w="780" w:type="dxa"/>
            <w:vAlign w:val="bottom"/>
            <w:tcBorders>
              <w:top w:val="single" w:sz="8" w:color="auto"/>
              <w:right w:val="single" w:sz="8" w:color="auto"/>
            </w:tcBorders>
            <w:shd w:val="clear" w:color="auto" w:fill="C0C0C0"/>
          </w:tcPr>
          <w:p>
            <w:pPr>
              <w:spacing w:after="0"/>
              <w:rPr>
                <w:sz w:val="15"/>
                <w:szCs w:val="15"/>
                <w:color w:val="auto"/>
              </w:rPr>
            </w:pPr>
          </w:p>
        </w:tc>
        <w:tc>
          <w:tcPr>
            <w:tcW w:w="1640" w:type="dxa"/>
            <w:vAlign w:val="bottom"/>
            <w:tcBorders>
              <w:top w:val="single" w:sz="8" w:color="auto"/>
              <w:right w:val="single" w:sz="8" w:color="auto"/>
            </w:tcBorders>
            <w:shd w:val="clear" w:color="auto" w:fill="C0C0C0"/>
          </w:tcPr>
          <w:p>
            <w:pPr>
              <w:spacing w:after="0"/>
              <w:rPr>
                <w:sz w:val="15"/>
                <w:szCs w:val="15"/>
                <w:color w:val="auto"/>
              </w:rPr>
            </w:pPr>
          </w:p>
        </w:tc>
        <w:tc>
          <w:tcPr>
            <w:tcW w:w="1800" w:type="dxa"/>
            <w:vAlign w:val="bottom"/>
            <w:tcBorders>
              <w:top w:val="single" w:sz="8" w:color="auto"/>
              <w:right w:val="single" w:sz="8" w:color="auto"/>
            </w:tcBorders>
            <w:gridSpan w:val="2"/>
            <w:shd w:val="clear" w:color="auto" w:fill="C0C0C0"/>
          </w:tcPr>
          <w:p>
            <w:pPr>
              <w:jc w:val="center"/>
              <w:ind w:right="20"/>
              <w:spacing w:after="0"/>
              <w:rPr>
                <w:sz w:val="20"/>
                <w:szCs w:val="20"/>
                <w:color w:val="auto"/>
              </w:rPr>
            </w:pPr>
            <w:r>
              <w:rPr>
                <w:rFonts w:ascii="Arial" w:cs="Arial" w:eastAsia="Arial" w:hAnsi="Arial"/>
                <w:sz w:val="15"/>
                <w:szCs w:val="15"/>
                <w:b w:val="1"/>
                <w:bCs w:val="1"/>
                <w:color w:val="auto"/>
                <w:w w:val="92"/>
              </w:rPr>
              <w:t>Correction</w:t>
            </w:r>
          </w:p>
        </w:tc>
        <w:tc>
          <w:tcPr>
            <w:tcW w:w="0" w:type="dxa"/>
            <w:vAlign w:val="bottom"/>
          </w:tcPr>
          <w:p>
            <w:pPr>
              <w:spacing w:after="0"/>
              <w:rPr>
                <w:sz w:val="1"/>
                <w:szCs w:val="1"/>
                <w:color w:val="auto"/>
              </w:rPr>
            </w:pPr>
          </w:p>
        </w:tc>
      </w:tr>
      <w:tr>
        <w:trPr>
          <w:trHeight w:val="176"/>
        </w:trPr>
        <w:tc>
          <w:tcPr>
            <w:tcW w:w="1180" w:type="dxa"/>
            <w:vAlign w:val="bottom"/>
            <w:tcBorders>
              <w:left w:val="single" w:sz="8" w:color="auto"/>
              <w:right w:val="single" w:sz="8" w:color="auto"/>
            </w:tcBorders>
            <w:shd w:val="clear" w:color="auto" w:fill="C0C0C0"/>
          </w:tcPr>
          <w:p>
            <w:pPr>
              <w:spacing w:after="0"/>
              <w:rPr>
                <w:sz w:val="15"/>
                <w:szCs w:val="15"/>
                <w:color w:val="auto"/>
              </w:rPr>
            </w:pPr>
          </w:p>
        </w:tc>
        <w:tc>
          <w:tcPr>
            <w:tcW w:w="100" w:type="dxa"/>
            <w:vAlign w:val="bottom"/>
            <w:tcBorders>
              <w:right w:val="single" w:sz="8" w:color="C0C0C0"/>
            </w:tcBorders>
            <w:shd w:val="clear" w:color="auto" w:fill="C0C0C0"/>
          </w:tcPr>
          <w:p>
            <w:pPr>
              <w:spacing w:after="0"/>
              <w:rPr>
                <w:sz w:val="15"/>
                <w:szCs w:val="15"/>
                <w:color w:val="auto"/>
              </w:rPr>
            </w:pPr>
          </w:p>
        </w:tc>
        <w:tc>
          <w:tcPr>
            <w:tcW w:w="440" w:type="dxa"/>
            <w:vAlign w:val="bottom"/>
            <w:shd w:val="clear" w:color="auto" w:fill="C0C0C0"/>
          </w:tcPr>
          <w:p>
            <w:pPr>
              <w:spacing w:after="0"/>
              <w:rPr>
                <w:sz w:val="15"/>
                <w:szCs w:val="15"/>
                <w:color w:val="auto"/>
              </w:rPr>
            </w:pPr>
          </w:p>
        </w:tc>
        <w:tc>
          <w:tcPr>
            <w:tcW w:w="220" w:type="dxa"/>
            <w:vAlign w:val="bottom"/>
            <w:tcBorders>
              <w:right w:val="single" w:sz="8" w:color="auto"/>
            </w:tcBorders>
            <w:shd w:val="clear" w:color="auto" w:fill="C0C0C0"/>
          </w:tcPr>
          <w:p>
            <w:pPr>
              <w:spacing w:after="0"/>
              <w:rPr>
                <w:sz w:val="15"/>
                <w:szCs w:val="15"/>
                <w:color w:val="auto"/>
              </w:rPr>
            </w:pPr>
          </w:p>
        </w:tc>
        <w:tc>
          <w:tcPr>
            <w:tcW w:w="540" w:type="dxa"/>
            <w:vAlign w:val="bottom"/>
            <w:tcBorders>
              <w:right w:val="single" w:sz="8" w:color="C0C0C0"/>
            </w:tcBorders>
            <w:shd w:val="clear" w:color="auto" w:fill="C0C0C0"/>
          </w:tcPr>
          <w:p>
            <w:pPr>
              <w:spacing w:after="0"/>
              <w:rPr>
                <w:sz w:val="15"/>
                <w:szCs w:val="15"/>
                <w:color w:val="auto"/>
              </w:rPr>
            </w:pPr>
          </w:p>
        </w:tc>
        <w:tc>
          <w:tcPr>
            <w:tcW w:w="420" w:type="dxa"/>
            <w:vAlign w:val="bottom"/>
            <w:shd w:val="clear" w:color="auto" w:fill="C0C0C0"/>
          </w:tcPr>
          <w:p>
            <w:pPr>
              <w:spacing w:after="0"/>
              <w:rPr>
                <w:sz w:val="15"/>
                <w:szCs w:val="15"/>
                <w:color w:val="auto"/>
              </w:rPr>
            </w:pPr>
          </w:p>
        </w:tc>
        <w:tc>
          <w:tcPr>
            <w:tcW w:w="300" w:type="dxa"/>
            <w:vAlign w:val="bottom"/>
            <w:tcBorders>
              <w:right w:val="single" w:sz="8" w:color="auto"/>
            </w:tcBorders>
            <w:shd w:val="clear" w:color="auto" w:fill="C0C0C0"/>
          </w:tcPr>
          <w:p>
            <w:pPr>
              <w:spacing w:after="0"/>
              <w:rPr>
                <w:sz w:val="15"/>
                <w:szCs w:val="15"/>
                <w:color w:val="auto"/>
              </w:rPr>
            </w:pPr>
          </w:p>
        </w:tc>
        <w:tc>
          <w:tcPr>
            <w:tcW w:w="1620" w:type="dxa"/>
            <w:vAlign w:val="bottom"/>
            <w:tcBorders>
              <w:right w:val="single" w:sz="8" w:color="auto"/>
            </w:tcBorders>
            <w:gridSpan w:val="2"/>
            <w:shd w:val="clear" w:color="auto" w:fill="C0C0C0"/>
          </w:tcPr>
          <w:p>
            <w:pPr>
              <w:jc w:val="center"/>
              <w:spacing w:after="0"/>
              <w:rPr>
                <w:sz w:val="20"/>
                <w:szCs w:val="20"/>
                <w:color w:val="auto"/>
              </w:rPr>
            </w:pPr>
            <w:r>
              <w:rPr>
                <w:rFonts w:ascii="Arial" w:cs="Arial" w:eastAsia="Arial" w:hAnsi="Arial"/>
                <w:sz w:val="15"/>
                <w:szCs w:val="15"/>
                <w:b w:val="1"/>
                <w:bCs w:val="1"/>
                <w:color w:val="auto"/>
                <w:w w:val="95"/>
              </w:rPr>
              <w:t>Original Amount</w:t>
            </w:r>
          </w:p>
        </w:tc>
        <w:tc>
          <w:tcPr>
            <w:tcW w:w="16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5"/>
                <w:szCs w:val="15"/>
                <w:b w:val="1"/>
                <w:bCs w:val="1"/>
                <w:color w:val="auto"/>
                <w:w w:val="89"/>
              </w:rPr>
              <w:t>Revised Amount</w:t>
            </w:r>
          </w:p>
        </w:tc>
        <w:tc>
          <w:tcPr>
            <w:tcW w:w="1800" w:type="dxa"/>
            <w:vAlign w:val="bottom"/>
            <w:tcBorders>
              <w:right w:val="single" w:sz="8" w:color="auto"/>
            </w:tcBorders>
            <w:gridSpan w:val="2"/>
            <w:shd w:val="clear" w:color="auto" w:fill="C0C0C0"/>
          </w:tcPr>
          <w:p>
            <w:pPr>
              <w:jc w:val="center"/>
              <w:ind w:right="40"/>
              <w:spacing w:after="0"/>
              <w:rPr>
                <w:sz w:val="20"/>
                <w:szCs w:val="20"/>
                <w:color w:val="auto"/>
              </w:rPr>
            </w:pPr>
            <w:r>
              <w:rPr>
                <w:rFonts w:ascii="Arial" w:cs="Arial" w:eastAsia="Arial" w:hAnsi="Arial"/>
                <w:sz w:val="15"/>
                <w:szCs w:val="15"/>
                <w:b w:val="1"/>
                <w:bCs w:val="1"/>
                <w:color w:val="auto"/>
                <w:w w:val="89"/>
              </w:rPr>
              <w:t>Remittance Basis</w:t>
            </w:r>
          </w:p>
        </w:tc>
        <w:tc>
          <w:tcPr>
            <w:tcW w:w="0" w:type="dxa"/>
            <w:vAlign w:val="bottom"/>
          </w:tcPr>
          <w:p>
            <w:pPr>
              <w:spacing w:after="0"/>
              <w:rPr>
                <w:sz w:val="1"/>
                <w:szCs w:val="1"/>
                <w:color w:val="auto"/>
              </w:rPr>
            </w:pPr>
          </w:p>
        </w:tc>
      </w:tr>
      <w:tr>
        <w:trPr>
          <w:trHeight w:val="176"/>
        </w:trPr>
        <w:tc>
          <w:tcPr>
            <w:tcW w:w="1180" w:type="dxa"/>
            <w:vAlign w:val="bottom"/>
            <w:tcBorders>
              <w:left w:val="single" w:sz="8" w:color="auto"/>
              <w:right w:val="single" w:sz="8" w:color="auto"/>
            </w:tcBorders>
            <w:shd w:val="clear" w:color="auto" w:fill="C0C0C0"/>
          </w:tcPr>
          <w:p>
            <w:pPr>
              <w:spacing w:after="0"/>
              <w:rPr>
                <w:sz w:val="15"/>
                <w:szCs w:val="15"/>
                <w:color w:val="auto"/>
              </w:rPr>
            </w:pPr>
          </w:p>
        </w:tc>
        <w:tc>
          <w:tcPr>
            <w:tcW w:w="100" w:type="dxa"/>
            <w:vAlign w:val="bottom"/>
            <w:tcBorders>
              <w:right w:val="single" w:sz="8" w:color="C0C0C0"/>
            </w:tcBorders>
            <w:shd w:val="clear" w:color="auto" w:fill="C0C0C0"/>
          </w:tcPr>
          <w:p>
            <w:pPr>
              <w:spacing w:after="0"/>
              <w:rPr>
                <w:sz w:val="15"/>
                <w:szCs w:val="15"/>
                <w:color w:val="auto"/>
              </w:rPr>
            </w:pPr>
          </w:p>
        </w:tc>
        <w:tc>
          <w:tcPr>
            <w:tcW w:w="440" w:type="dxa"/>
            <w:vAlign w:val="bottom"/>
            <w:shd w:val="clear" w:color="auto" w:fill="C0C0C0"/>
          </w:tcPr>
          <w:p>
            <w:pPr>
              <w:spacing w:after="0"/>
              <w:rPr>
                <w:sz w:val="15"/>
                <w:szCs w:val="15"/>
                <w:color w:val="auto"/>
              </w:rPr>
            </w:pPr>
          </w:p>
        </w:tc>
        <w:tc>
          <w:tcPr>
            <w:tcW w:w="220" w:type="dxa"/>
            <w:vAlign w:val="bottom"/>
            <w:tcBorders>
              <w:right w:val="single" w:sz="8" w:color="auto"/>
            </w:tcBorders>
            <w:shd w:val="clear" w:color="auto" w:fill="C0C0C0"/>
          </w:tcPr>
          <w:p>
            <w:pPr>
              <w:spacing w:after="0"/>
              <w:rPr>
                <w:sz w:val="15"/>
                <w:szCs w:val="15"/>
                <w:color w:val="auto"/>
              </w:rPr>
            </w:pPr>
          </w:p>
        </w:tc>
        <w:tc>
          <w:tcPr>
            <w:tcW w:w="540" w:type="dxa"/>
            <w:vAlign w:val="bottom"/>
            <w:tcBorders>
              <w:right w:val="single" w:sz="8" w:color="C0C0C0"/>
            </w:tcBorders>
            <w:shd w:val="clear" w:color="auto" w:fill="C0C0C0"/>
          </w:tcPr>
          <w:p>
            <w:pPr>
              <w:spacing w:after="0"/>
              <w:rPr>
                <w:sz w:val="15"/>
                <w:szCs w:val="15"/>
                <w:color w:val="auto"/>
              </w:rPr>
            </w:pPr>
          </w:p>
        </w:tc>
        <w:tc>
          <w:tcPr>
            <w:tcW w:w="420" w:type="dxa"/>
            <w:vAlign w:val="bottom"/>
            <w:shd w:val="clear" w:color="auto" w:fill="C0C0C0"/>
          </w:tcPr>
          <w:p>
            <w:pPr>
              <w:spacing w:after="0"/>
              <w:rPr>
                <w:sz w:val="15"/>
                <w:szCs w:val="15"/>
                <w:color w:val="auto"/>
              </w:rPr>
            </w:pPr>
          </w:p>
        </w:tc>
        <w:tc>
          <w:tcPr>
            <w:tcW w:w="300" w:type="dxa"/>
            <w:vAlign w:val="bottom"/>
            <w:tcBorders>
              <w:right w:val="single" w:sz="8" w:color="auto"/>
            </w:tcBorders>
            <w:shd w:val="clear" w:color="auto" w:fill="C0C0C0"/>
          </w:tcPr>
          <w:p>
            <w:pPr>
              <w:spacing w:after="0"/>
              <w:rPr>
                <w:sz w:val="15"/>
                <w:szCs w:val="15"/>
                <w:color w:val="auto"/>
              </w:rPr>
            </w:pPr>
          </w:p>
        </w:tc>
        <w:tc>
          <w:tcPr>
            <w:tcW w:w="1620" w:type="dxa"/>
            <w:vAlign w:val="bottom"/>
            <w:tcBorders>
              <w:right w:val="single" w:sz="8" w:color="auto"/>
            </w:tcBorders>
            <w:gridSpan w:val="2"/>
            <w:shd w:val="clear" w:color="auto" w:fill="C0C0C0"/>
          </w:tcPr>
          <w:p>
            <w:pPr>
              <w:jc w:val="center"/>
              <w:spacing w:after="0"/>
              <w:rPr>
                <w:sz w:val="20"/>
                <w:szCs w:val="20"/>
                <w:color w:val="auto"/>
              </w:rPr>
            </w:pPr>
            <w:r>
              <w:rPr>
                <w:rFonts w:ascii="Arial" w:cs="Arial" w:eastAsia="Arial" w:hAnsi="Arial"/>
                <w:sz w:val="15"/>
                <w:szCs w:val="15"/>
                <w:b w:val="1"/>
                <w:bCs w:val="1"/>
                <w:color w:val="auto"/>
                <w:w w:val="89"/>
              </w:rPr>
              <w:t>(Remittance Basis</w:t>
            </w:r>
          </w:p>
        </w:tc>
        <w:tc>
          <w:tcPr>
            <w:tcW w:w="16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5"/>
                <w:szCs w:val="15"/>
                <w:b w:val="1"/>
                <w:bCs w:val="1"/>
                <w:color w:val="auto"/>
                <w:w w:val="90"/>
              </w:rPr>
              <w:t>(Remittance Basis</w:t>
            </w:r>
          </w:p>
        </w:tc>
        <w:tc>
          <w:tcPr>
            <w:tcW w:w="1800" w:type="dxa"/>
            <w:vAlign w:val="bottom"/>
            <w:tcBorders>
              <w:right w:val="single" w:sz="8" w:color="auto"/>
            </w:tcBorders>
            <w:gridSpan w:val="2"/>
            <w:shd w:val="clear" w:color="auto" w:fill="C0C0C0"/>
          </w:tcPr>
          <w:p>
            <w:pPr>
              <w:jc w:val="center"/>
              <w:ind w:right="20"/>
              <w:spacing w:after="0"/>
              <w:rPr>
                <w:sz w:val="20"/>
                <w:szCs w:val="20"/>
                <w:color w:val="auto"/>
              </w:rPr>
            </w:pPr>
            <w:r>
              <w:rPr>
                <w:rFonts w:ascii="Arial" w:cs="Arial" w:eastAsia="Arial" w:hAnsi="Arial"/>
                <w:sz w:val="15"/>
                <w:szCs w:val="15"/>
                <w:b w:val="1"/>
                <w:bCs w:val="1"/>
                <w:color w:val="auto"/>
                <w:w w:val="95"/>
              </w:rPr>
              <w:t>Report</w:t>
            </w:r>
          </w:p>
        </w:tc>
        <w:tc>
          <w:tcPr>
            <w:tcW w:w="0" w:type="dxa"/>
            <w:vAlign w:val="bottom"/>
          </w:tcPr>
          <w:p>
            <w:pPr>
              <w:spacing w:after="0"/>
              <w:rPr>
                <w:sz w:val="1"/>
                <w:szCs w:val="1"/>
                <w:color w:val="auto"/>
              </w:rPr>
            </w:pPr>
          </w:p>
        </w:tc>
      </w:tr>
      <w:tr>
        <w:trPr>
          <w:trHeight w:val="213"/>
        </w:trPr>
        <w:tc>
          <w:tcPr>
            <w:tcW w:w="1180" w:type="dxa"/>
            <w:vAlign w:val="bottom"/>
            <w:tcBorders>
              <w:left w:val="single" w:sz="8" w:color="auto"/>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5"/>
                <w:szCs w:val="15"/>
                <w:b w:val="1"/>
                <w:bCs w:val="1"/>
                <w:color w:val="auto"/>
                <w:w w:val="92"/>
              </w:rPr>
              <w:t>Date</w:t>
            </w:r>
          </w:p>
        </w:tc>
        <w:tc>
          <w:tcPr>
            <w:tcW w:w="100" w:type="dxa"/>
            <w:vAlign w:val="bottom"/>
            <w:tcBorders>
              <w:bottom w:val="single" w:sz="8" w:color="auto"/>
              <w:right w:val="single" w:sz="8" w:color="C0C0C0"/>
            </w:tcBorders>
            <w:shd w:val="clear" w:color="auto" w:fill="C0C0C0"/>
          </w:tcPr>
          <w:p>
            <w:pPr>
              <w:spacing w:after="0"/>
              <w:rPr>
                <w:sz w:val="18"/>
                <w:szCs w:val="18"/>
                <w:color w:val="auto"/>
              </w:rPr>
            </w:pPr>
          </w:p>
        </w:tc>
        <w:tc>
          <w:tcPr>
            <w:tcW w:w="440" w:type="dxa"/>
            <w:vAlign w:val="bottom"/>
            <w:tcBorders>
              <w:bottom w:val="single" w:sz="8" w:color="auto"/>
            </w:tcBorders>
            <w:shd w:val="clear" w:color="auto" w:fill="C0C0C0"/>
          </w:tcPr>
          <w:p>
            <w:pPr>
              <w:ind w:left="100"/>
              <w:spacing w:after="0"/>
              <w:rPr>
                <w:sz w:val="20"/>
                <w:szCs w:val="20"/>
                <w:color w:val="auto"/>
              </w:rPr>
            </w:pPr>
            <w:r>
              <w:rPr>
                <w:rFonts w:ascii="Arial" w:cs="Arial" w:eastAsia="Arial" w:hAnsi="Arial"/>
                <w:sz w:val="15"/>
                <w:szCs w:val="15"/>
                <w:b w:val="1"/>
                <w:bCs w:val="1"/>
                <w:color w:val="auto"/>
                <w:w w:val="91"/>
              </w:rPr>
              <w:t>Hour</w:t>
            </w:r>
          </w:p>
        </w:tc>
        <w:tc>
          <w:tcPr>
            <w:tcW w:w="220" w:type="dxa"/>
            <w:vAlign w:val="bottom"/>
            <w:tcBorders>
              <w:bottom w:val="single" w:sz="8" w:color="auto"/>
              <w:right w:val="single" w:sz="8" w:color="auto"/>
            </w:tcBorders>
            <w:shd w:val="clear" w:color="auto" w:fill="C0C0C0"/>
          </w:tcPr>
          <w:p>
            <w:pPr>
              <w:spacing w:after="0"/>
              <w:rPr>
                <w:sz w:val="18"/>
                <w:szCs w:val="18"/>
                <w:color w:val="auto"/>
              </w:rPr>
            </w:pPr>
          </w:p>
        </w:tc>
        <w:tc>
          <w:tcPr>
            <w:tcW w:w="960" w:type="dxa"/>
            <w:vAlign w:val="bottom"/>
            <w:tcBorders>
              <w:bottom w:val="single" w:sz="8" w:color="auto"/>
            </w:tcBorders>
            <w:gridSpan w:val="2"/>
            <w:shd w:val="clear" w:color="auto" w:fill="C0C0C0"/>
          </w:tcPr>
          <w:p>
            <w:pPr>
              <w:jc w:val="center"/>
              <w:ind w:left="224"/>
              <w:spacing w:after="0"/>
              <w:rPr>
                <w:sz w:val="20"/>
                <w:szCs w:val="20"/>
                <w:color w:val="auto"/>
              </w:rPr>
            </w:pPr>
            <w:r>
              <w:rPr>
                <w:rFonts w:ascii="Arial" w:cs="Arial" w:eastAsia="Arial" w:hAnsi="Arial"/>
                <w:sz w:val="15"/>
                <w:szCs w:val="15"/>
                <w:b w:val="1"/>
                <w:bCs w:val="1"/>
                <w:color w:val="auto"/>
                <w:w w:val="93"/>
              </w:rPr>
              <w:t>Contract</w:t>
            </w:r>
          </w:p>
        </w:tc>
        <w:tc>
          <w:tcPr>
            <w:tcW w:w="300" w:type="dxa"/>
            <w:vAlign w:val="bottom"/>
            <w:tcBorders>
              <w:bottom w:val="single" w:sz="8" w:color="auto"/>
              <w:right w:val="single" w:sz="8" w:color="auto"/>
            </w:tcBorders>
            <w:shd w:val="clear" w:color="auto" w:fill="C0C0C0"/>
          </w:tcPr>
          <w:p>
            <w:pPr>
              <w:spacing w:after="0"/>
              <w:rPr>
                <w:sz w:val="18"/>
                <w:szCs w:val="18"/>
                <w:color w:val="auto"/>
              </w:rPr>
            </w:pPr>
          </w:p>
        </w:tc>
        <w:tc>
          <w:tcPr>
            <w:tcW w:w="1620" w:type="dxa"/>
            <w:vAlign w:val="bottom"/>
            <w:tcBorders>
              <w:bottom w:val="single" w:sz="8" w:color="auto"/>
              <w:right w:val="single" w:sz="8" w:color="auto"/>
            </w:tcBorders>
            <w:gridSpan w:val="2"/>
            <w:shd w:val="clear" w:color="auto" w:fill="C0C0C0"/>
          </w:tcPr>
          <w:p>
            <w:pPr>
              <w:jc w:val="center"/>
              <w:spacing w:after="0"/>
              <w:rPr>
                <w:sz w:val="20"/>
                <w:szCs w:val="20"/>
                <w:color w:val="auto"/>
              </w:rPr>
            </w:pPr>
            <w:r>
              <w:rPr>
                <w:rFonts w:ascii="Arial" w:cs="Arial" w:eastAsia="Arial" w:hAnsi="Arial"/>
                <w:sz w:val="15"/>
                <w:szCs w:val="15"/>
                <w:b w:val="1"/>
                <w:bCs w:val="1"/>
                <w:color w:val="auto"/>
                <w:w w:val="93"/>
              </w:rPr>
              <w:t>Report)</w:t>
            </w:r>
          </w:p>
        </w:tc>
        <w:tc>
          <w:tcPr>
            <w:tcW w:w="16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5"/>
                <w:szCs w:val="15"/>
                <w:b w:val="1"/>
                <w:bCs w:val="1"/>
                <w:color w:val="auto"/>
                <w:w w:val="93"/>
              </w:rPr>
              <w:t>Report)</w:t>
            </w:r>
          </w:p>
        </w:tc>
        <w:tc>
          <w:tcPr>
            <w:tcW w:w="1800" w:type="dxa"/>
            <w:vAlign w:val="bottom"/>
            <w:tcBorders>
              <w:bottom w:val="single" w:sz="8" w:color="auto"/>
              <w:right w:val="single" w:sz="8" w:color="auto"/>
            </w:tcBorders>
            <w:gridSpan w:val="2"/>
            <w:shd w:val="clear" w:color="auto" w:fill="C0C0C0"/>
          </w:tcPr>
          <w:p>
            <w:pPr>
              <w:jc w:val="center"/>
              <w:ind w:right="40"/>
              <w:spacing w:after="0"/>
              <w:rPr>
                <w:sz w:val="20"/>
                <w:szCs w:val="20"/>
                <w:color w:val="auto"/>
              </w:rPr>
            </w:pPr>
            <w:r>
              <w:rPr>
                <w:rFonts w:ascii="Arial" w:cs="Arial" w:eastAsia="Arial" w:hAnsi="Arial"/>
                <w:sz w:val="15"/>
                <w:szCs w:val="15"/>
                <w:b w:val="1"/>
                <w:bCs w:val="1"/>
                <w:color w:val="auto"/>
              </w:rPr>
              <w:t>(E - D)</w:t>
            </w:r>
          </w:p>
        </w:tc>
        <w:tc>
          <w:tcPr>
            <w:tcW w:w="0" w:type="dxa"/>
            <w:vAlign w:val="bottom"/>
          </w:tcPr>
          <w:p>
            <w:pPr>
              <w:spacing w:after="0"/>
              <w:rPr>
                <w:sz w:val="1"/>
                <w:szCs w:val="1"/>
                <w:color w:val="auto"/>
              </w:rPr>
            </w:pPr>
          </w:p>
        </w:tc>
      </w:tr>
      <w:tr>
        <w:trPr>
          <w:trHeight w:val="151"/>
        </w:trPr>
        <w:tc>
          <w:tcPr>
            <w:tcW w:w="1180" w:type="dxa"/>
            <w:vAlign w:val="bottom"/>
            <w:tcBorders>
              <w:top w:val="single" w:sz="8" w:color="C0C0C0"/>
              <w:left w:val="single" w:sz="8" w:color="auto"/>
              <w:bottom w:val="single" w:sz="8" w:color="auto"/>
              <w:right w:val="single" w:sz="8" w:color="auto"/>
            </w:tcBorders>
            <w:shd w:val="clear" w:color="auto" w:fill="C0C0C0"/>
          </w:tcPr>
          <w:p>
            <w:pPr>
              <w:jc w:val="center"/>
              <w:spacing w:after="0" w:line="151" w:lineRule="exact"/>
              <w:rPr>
                <w:sz w:val="20"/>
                <w:szCs w:val="20"/>
                <w:color w:val="auto"/>
              </w:rPr>
            </w:pPr>
            <w:r>
              <w:rPr>
                <w:rFonts w:ascii="Arial" w:cs="Arial" w:eastAsia="Arial" w:hAnsi="Arial"/>
                <w:sz w:val="15"/>
                <w:szCs w:val="15"/>
                <w:b w:val="1"/>
                <w:bCs w:val="1"/>
                <w:color w:val="auto"/>
              </w:rPr>
              <w:t>A</w:t>
            </w:r>
          </w:p>
        </w:tc>
        <w:tc>
          <w:tcPr>
            <w:tcW w:w="100" w:type="dxa"/>
            <w:vAlign w:val="bottom"/>
            <w:tcBorders>
              <w:top w:val="single" w:sz="8" w:color="C0C0C0"/>
              <w:bottom w:val="single" w:sz="8" w:color="auto"/>
              <w:right w:val="single" w:sz="8" w:color="C0C0C0"/>
            </w:tcBorders>
            <w:shd w:val="clear" w:color="auto" w:fill="C0C0C0"/>
          </w:tcPr>
          <w:p>
            <w:pPr>
              <w:spacing w:after="0"/>
              <w:rPr>
                <w:sz w:val="13"/>
                <w:szCs w:val="13"/>
                <w:color w:val="auto"/>
              </w:rPr>
            </w:pPr>
          </w:p>
        </w:tc>
        <w:tc>
          <w:tcPr>
            <w:tcW w:w="440" w:type="dxa"/>
            <w:vAlign w:val="bottom"/>
            <w:tcBorders>
              <w:top w:val="single" w:sz="8" w:color="C0C0C0"/>
              <w:bottom w:val="single" w:sz="8" w:color="auto"/>
            </w:tcBorders>
            <w:shd w:val="clear" w:color="auto" w:fill="C0C0C0"/>
          </w:tcPr>
          <w:p>
            <w:pPr>
              <w:ind w:left="220"/>
              <w:spacing w:after="0" w:line="151" w:lineRule="exact"/>
              <w:rPr>
                <w:sz w:val="20"/>
                <w:szCs w:val="20"/>
                <w:color w:val="auto"/>
              </w:rPr>
            </w:pPr>
            <w:r>
              <w:rPr>
                <w:rFonts w:ascii="Arial" w:cs="Arial" w:eastAsia="Arial" w:hAnsi="Arial"/>
                <w:sz w:val="15"/>
                <w:szCs w:val="15"/>
                <w:b w:val="1"/>
                <w:bCs w:val="1"/>
                <w:color w:val="auto"/>
              </w:rPr>
              <w:t>B</w:t>
            </w:r>
          </w:p>
        </w:tc>
        <w:tc>
          <w:tcPr>
            <w:tcW w:w="220" w:type="dxa"/>
            <w:vAlign w:val="bottom"/>
            <w:tcBorders>
              <w:top w:val="single" w:sz="8" w:color="C0C0C0"/>
              <w:bottom w:val="single" w:sz="8" w:color="auto"/>
              <w:right w:val="single" w:sz="8" w:color="auto"/>
            </w:tcBorders>
            <w:shd w:val="clear" w:color="auto" w:fill="C0C0C0"/>
          </w:tcPr>
          <w:p>
            <w:pPr>
              <w:spacing w:after="0"/>
              <w:rPr>
                <w:sz w:val="13"/>
                <w:szCs w:val="13"/>
                <w:color w:val="auto"/>
              </w:rPr>
            </w:pPr>
          </w:p>
        </w:tc>
        <w:tc>
          <w:tcPr>
            <w:tcW w:w="540" w:type="dxa"/>
            <w:vAlign w:val="bottom"/>
            <w:tcBorders>
              <w:top w:val="single" w:sz="8" w:color="C0C0C0"/>
              <w:bottom w:val="single" w:sz="8" w:color="auto"/>
              <w:right w:val="single" w:sz="8" w:color="C0C0C0"/>
            </w:tcBorders>
            <w:shd w:val="clear" w:color="auto" w:fill="C0C0C0"/>
          </w:tcPr>
          <w:p>
            <w:pPr>
              <w:spacing w:after="0"/>
              <w:rPr>
                <w:sz w:val="13"/>
                <w:szCs w:val="13"/>
                <w:color w:val="auto"/>
              </w:rPr>
            </w:pPr>
          </w:p>
        </w:tc>
        <w:tc>
          <w:tcPr>
            <w:tcW w:w="420" w:type="dxa"/>
            <w:vAlign w:val="bottom"/>
            <w:tcBorders>
              <w:top w:val="single" w:sz="8" w:color="C0C0C0"/>
              <w:bottom w:val="single" w:sz="8" w:color="auto"/>
            </w:tcBorders>
            <w:shd w:val="clear" w:color="auto" w:fill="C0C0C0"/>
          </w:tcPr>
          <w:p>
            <w:pPr>
              <w:jc w:val="center"/>
              <w:ind w:right="190"/>
              <w:spacing w:after="0" w:line="151" w:lineRule="exact"/>
              <w:rPr>
                <w:sz w:val="20"/>
                <w:szCs w:val="20"/>
                <w:color w:val="auto"/>
              </w:rPr>
            </w:pPr>
            <w:r>
              <w:rPr>
                <w:rFonts w:ascii="Arial" w:cs="Arial" w:eastAsia="Arial" w:hAnsi="Arial"/>
                <w:sz w:val="15"/>
                <w:szCs w:val="15"/>
                <w:b w:val="1"/>
                <w:bCs w:val="1"/>
                <w:color w:val="auto"/>
              </w:rPr>
              <w:t>C</w:t>
            </w:r>
          </w:p>
        </w:tc>
        <w:tc>
          <w:tcPr>
            <w:tcW w:w="300" w:type="dxa"/>
            <w:vAlign w:val="bottom"/>
            <w:tcBorders>
              <w:top w:val="single" w:sz="8" w:color="C0C0C0"/>
              <w:bottom w:val="single" w:sz="8" w:color="auto"/>
              <w:right w:val="single" w:sz="8" w:color="auto"/>
            </w:tcBorders>
            <w:shd w:val="clear" w:color="auto" w:fill="C0C0C0"/>
          </w:tcPr>
          <w:p>
            <w:pPr>
              <w:spacing w:after="0"/>
              <w:rPr>
                <w:sz w:val="13"/>
                <w:szCs w:val="13"/>
                <w:color w:val="auto"/>
              </w:rPr>
            </w:pPr>
          </w:p>
        </w:tc>
        <w:tc>
          <w:tcPr>
            <w:tcW w:w="1620" w:type="dxa"/>
            <w:vAlign w:val="bottom"/>
            <w:tcBorders>
              <w:top w:val="single" w:sz="8" w:color="C0C0C0"/>
              <w:bottom w:val="single" w:sz="8" w:color="auto"/>
              <w:right w:val="single" w:sz="8" w:color="auto"/>
            </w:tcBorders>
            <w:gridSpan w:val="2"/>
            <w:shd w:val="clear" w:color="auto" w:fill="C0C0C0"/>
          </w:tcPr>
          <w:p>
            <w:pPr>
              <w:jc w:val="center"/>
              <w:spacing w:after="0" w:line="151" w:lineRule="exact"/>
              <w:rPr>
                <w:sz w:val="20"/>
                <w:szCs w:val="20"/>
                <w:color w:val="auto"/>
              </w:rPr>
            </w:pPr>
            <w:r>
              <w:rPr>
                <w:rFonts w:ascii="Arial" w:cs="Arial" w:eastAsia="Arial" w:hAnsi="Arial"/>
                <w:sz w:val="15"/>
                <w:szCs w:val="15"/>
                <w:b w:val="1"/>
                <w:bCs w:val="1"/>
                <w:color w:val="auto"/>
              </w:rPr>
              <w:t>D</w:t>
            </w:r>
          </w:p>
        </w:tc>
        <w:tc>
          <w:tcPr>
            <w:tcW w:w="1640" w:type="dxa"/>
            <w:vAlign w:val="bottom"/>
            <w:tcBorders>
              <w:top w:val="single" w:sz="8" w:color="C0C0C0"/>
              <w:bottom w:val="single" w:sz="8" w:color="auto"/>
              <w:right w:val="single" w:sz="8" w:color="auto"/>
            </w:tcBorders>
            <w:shd w:val="clear" w:color="auto" w:fill="C0C0C0"/>
          </w:tcPr>
          <w:p>
            <w:pPr>
              <w:jc w:val="center"/>
              <w:spacing w:after="0" w:line="151" w:lineRule="exact"/>
              <w:rPr>
                <w:sz w:val="20"/>
                <w:szCs w:val="20"/>
                <w:color w:val="auto"/>
              </w:rPr>
            </w:pPr>
            <w:r>
              <w:rPr>
                <w:rFonts w:ascii="Arial" w:cs="Arial" w:eastAsia="Arial" w:hAnsi="Arial"/>
                <w:sz w:val="15"/>
                <w:szCs w:val="15"/>
                <w:b w:val="1"/>
                <w:bCs w:val="1"/>
                <w:color w:val="auto"/>
                <w:w w:val="99"/>
              </w:rPr>
              <w:t>E</w:t>
            </w:r>
          </w:p>
        </w:tc>
        <w:tc>
          <w:tcPr>
            <w:tcW w:w="1800" w:type="dxa"/>
            <w:vAlign w:val="bottom"/>
            <w:tcBorders>
              <w:top w:val="single" w:sz="8" w:color="C0C0C0"/>
              <w:bottom w:val="single" w:sz="8" w:color="auto"/>
              <w:right w:val="single" w:sz="8" w:color="auto"/>
            </w:tcBorders>
            <w:gridSpan w:val="2"/>
            <w:shd w:val="clear" w:color="auto" w:fill="C0C0C0"/>
          </w:tcPr>
          <w:p>
            <w:pPr>
              <w:jc w:val="center"/>
              <w:ind w:right="20"/>
              <w:spacing w:after="0" w:line="151" w:lineRule="exact"/>
              <w:rPr>
                <w:sz w:val="20"/>
                <w:szCs w:val="20"/>
                <w:color w:val="auto"/>
              </w:rPr>
            </w:pPr>
            <w:r>
              <w:rPr>
                <w:rFonts w:ascii="Arial" w:cs="Arial" w:eastAsia="Arial" w:hAnsi="Arial"/>
                <w:sz w:val="15"/>
                <w:szCs w:val="15"/>
                <w:b w:val="1"/>
                <w:bCs w:val="1"/>
                <w:color w:val="auto"/>
              </w:rPr>
              <w:t>F</w:t>
            </w:r>
          </w:p>
        </w:tc>
        <w:tc>
          <w:tcPr>
            <w:tcW w:w="0" w:type="dxa"/>
            <w:vAlign w:val="bottom"/>
          </w:tcPr>
          <w:p>
            <w:pPr>
              <w:spacing w:after="0"/>
              <w:rPr>
                <w:sz w:val="1"/>
                <w:szCs w:val="1"/>
                <w:color w:val="auto"/>
              </w:rPr>
            </w:pPr>
          </w:p>
        </w:tc>
      </w:tr>
      <w:tr>
        <w:trPr>
          <w:trHeight w:val="166"/>
        </w:trPr>
        <w:tc>
          <w:tcPr>
            <w:tcW w:w="1180" w:type="dxa"/>
            <w:vAlign w:val="bottom"/>
            <w:tcBorders>
              <w:left w:val="single" w:sz="8" w:color="auto"/>
              <w:bottom w:val="single" w:sz="8" w:color="auto"/>
              <w:right w:val="single" w:sz="8" w:color="auto"/>
            </w:tcBorders>
          </w:tcPr>
          <w:p>
            <w:pPr>
              <w:jc w:val="center"/>
              <w:spacing w:after="0" w:line="167" w:lineRule="exact"/>
              <w:rPr>
                <w:sz w:val="20"/>
                <w:szCs w:val="20"/>
                <w:color w:val="auto"/>
              </w:rPr>
            </w:pPr>
            <w:r>
              <w:rPr>
                <w:rFonts w:ascii="Arial" w:cs="Arial" w:eastAsia="Arial" w:hAnsi="Arial"/>
                <w:sz w:val="15"/>
                <w:szCs w:val="15"/>
                <w:color w:val="auto"/>
                <w:w w:val="94"/>
              </w:rPr>
              <w:t>mm/dd/yyyy</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xx</w:t>
            </w:r>
          </w:p>
        </w:tc>
        <w:tc>
          <w:tcPr>
            <w:tcW w:w="22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224"/>
              <w:spacing w:after="0" w:line="167" w:lineRule="exact"/>
              <w:rPr>
                <w:sz w:val="20"/>
                <w:szCs w:val="20"/>
                <w:color w:val="auto"/>
              </w:rPr>
            </w:pPr>
            <w:r>
              <w:rPr>
                <w:rFonts w:ascii="Arial" w:cs="Arial" w:eastAsia="Arial" w:hAnsi="Arial"/>
                <w:sz w:val="15"/>
                <w:szCs w:val="15"/>
                <w:color w:val="auto"/>
              </w:rPr>
              <w:t>xxxxx</w:t>
            </w:r>
          </w:p>
        </w:tc>
        <w:tc>
          <w:tcPr>
            <w:tcW w:w="3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xxx,xxx.xx</w:t>
            </w:r>
          </w:p>
        </w:tc>
        <w:tc>
          <w:tcPr>
            <w:tcW w:w="1640" w:type="dxa"/>
            <w:vAlign w:val="bottom"/>
            <w:tcBorders>
              <w:bottom w:val="single" w:sz="8" w:color="auto"/>
              <w:right w:val="single" w:sz="8" w:color="auto"/>
            </w:tcBorders>
          </w:tcPr>
          <w:p>
            <w:pPr>
              <w:ind w:left="900"/>
              <w:spacing w:after="0"/>
              <w:rPr>
                <w:sz w:val="20"/>
                <w:szCs w:val="20"/>
                <w:color w:val="auto"/>
              </w:rPr>
            </w:pPr>
            <w:r>
              <w:rPr>
                <w:rFonts w:ascii="Arial" w:cs="Arial" w:eastAsia="Arial" w:hAnsi="Arial"/>
                <w:sz w:val="14"/>
                <w:szCs w:val="14"/>
                <w:color w:val="auto"/>
              </w:rPr>
              <w:t>xxx,xxx.xx</w:t>
            </w:r>
          </w:p>
        </w:tc>
        <w:tc>
          <w:tcPr>
            <w:tcW w:w="1800" w:type="dxa"/>
            <w:vAlign w:val="bottom"/>
            <w:tcBorders>
              <w:bottom w:val="single" w:sz="8" w:color="auto"/>
              <w:right w:val="single" w:sz="8" w:color="auto"/>
            </w:tcBorders>
            <w:gridSpan w:val="2"/>
          </w:tcPr>
          <w:p>
            <w:pPr>
              <w:ind w:left="106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66"/>
        </w:trPr>
        <w:tc>
          <w:tcPr>
            <w:tcW w:w="1180" w:type="dxa"/>
            <w:vAlign w:val="bottom"/>
            <w:tcBorders>
              <w:left w:val="single" w:sz="8" w:color="auto"/>
              <w:bottom w:val="single" w:sz="8" w:color="auto"/>
              <w:right w:val="single" w:sz="8" w:color="auto"/>
            </w:tcBorders>
          </w:tcPr>
          <w:p>
            <w:pPr>
              <w:jc w:val="center"/>
              <w:spacing w:after="0" w:line="167" w:lineRule="exact"/>
              <w:rPr>
                <w:sz w:val="20"/>
                <w:szCs w:val="20"/>
                <w:color w:val="auto"/>
              </w:rPr>
            </w:pPr>
            <w:r>
              <w:rPr>
                <w:rFonts w:ascii="Arial" w:cs="Arial" w:eastAsia="Arial" w:hAnsi="Arial"/>
                <w:sz w:val="15"/>
                <w:szCs w:val="15"/>
                <w:color w:val="auto"/>
                <w:w w:val="94"/>
              </w:rPr>
              <w:t>mm/dd/yyyy</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xx</w:t>
            </w:r>
          </w:p>
        </w:tc>
        <w:tc>
          <w:tcPr>
            <w:tcW w:w="22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224"/>
              <w:spacing w:after="0" w:line="167" w:lineRule="exact"/>
              <w:rPr>
                <w:sz w:val="20"/>
                <w:szCs w:val="20"/>
                <w:color w:val="auto"/>
              </w:rPr>
            </w:pPr>
            <w:r>
              <w:rPr>
                <w:rFonts w:ascii="Arial" w:cs="Arial" w:eastAsia="Arial" w:hAnsi="Arial"/>
                <w:sz w:val="15"/>
                <w:szCs w:val="15"/>
                <w:color w:val="auto"/>
              </w:rPr>
              <w:t>xxxxx</w:t>
            </w:r>
          </w:p>
        </w:tc>
        <w:tc>
          <w:tcPr>
            <w:tcW w:w="3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xxx,xxx.xx</w:t>
            </w:r>
          </w:p>
        </w:tc>
        <w:tc>
          <w:tcPr>
            <w:tcW w:w="1640" w:type="dxa"/>
            <w:vAlign w:val="bottom"/>
            <w:tcBorders>
              <w:bottom w:val="single" w:sz="8" w:color="auto"/>
              <w:right w:val="single" w:sz="8" w:color="auto"/>
            </w:tcBorders>
          </w:tcPr>
          <w:p>
            <w:pPr>
              <w:ind w:left="900"/>
              <w:spacing w:after="0"/>
              <w:rPr>
                <w:sz w:val="20"/>
                <w:szCs w:val="20"/>
                <w:color w:val="auto"/>
              </w:rPr>
            </w:pPr>
            <w:r>
              <w:rPr>
                <w:rFonts w:ascii="Arial" w:cs="Arial" w:eastAsia="Arial" w:hAnsi="Arial"/>
                <w:sz w:val="14"/>
                <w:szCs w:val="14"/>
                <w:color w:val="auto"/>
              </w:rPr>
              <w:t>xxx,xxx.xx</w:t>
            </w:r>
          </w:p>
        </w:tc>
        <w:tc>
          <w:tcPr>
            <w:tcW w:w="1800" w:type="dxa"/>
            <w:vAlign w:val="bottom"/>
            <w:tcBorders>
              <w:bottom w:val="single" w:sz="8" w:color="auto"/>
              <w:right w:val="single" w:sz="8" w:color="auto"/>
            </w:tcBorders>
            <w:gridSpan w:val="2"/>
          </w:tcPr>
          <w:p>
            <w:pPr>
              <w:ind w:left="106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66"/>
        </w:trPr>
        <w:tc>
          <w:tcPr>
            <w:tcW w:w="1180" w:type="dxa"/>
            <w:vAlign w:val="bottom"/>
            <w:tcBorders>
              <w:left w:val="single" w:sz="8" w:color="auto"/>
              <w:bottom w:val="single" w:sz="8" w:color="auto"/>
              <w:right w:val="single" w:sz="8" w:color="auto"/>
            </w:tcBorders>
          </w:tcPr>
          <w:p>
            <w:pPr>
              <w:jc w:val="center"/>
              <w:spacing w:after="0" w:line="167" w:lineRule="exact"/>
              <w:rPr>
                <w:sz w:val="20"/>
                <w:szCs w:val="20"/>
                <w:color w:val="auto"/>
              </w:rPr>
            </w:pPr>
            <w:r>
              <w:rPr>
                <w:rFonts w:ascii="Arial" w:cs="Arial" w:eastAsia="Arial" w:hAnsi="Arial"/>
                <w:sz w:val="15"/>
                <w:szCs w:val="15"/>
                <w:color w:val="auto"/>
                <w:w w:val="94"/>
              </w:rPr>
              <w:t>mm/dd/yyyy</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xx</w:t>
            </w:r>
          </w:p>
        </w:tc>
        <w:tc>
          <w:tcPr>
            <w:tcW w:w="22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224"/>
              <w:spacing w:after="0" w:line="167" w:lineRule="exact"/>
              <w:rPr>
                <w:sz w:val="20"/>
                <w:szCs w:val="20"/>
                <w:color w:val="auto"/>
              </w:rPr>
            </w:pPr>
            <w:r>
              <w:rPr>
                <w:rFonts w:ascii="Arial" w:cs="Arial" w:eastAsia="Arial" w:hAnsi="Arial"/>
                <w:sz w:val="15"/>
                <w:szCs w:val="15"/>
                <w:color w:val="auto"/>
              </w:rPr>
              <w:t>xxxxx</w:t>
            </w:r>
          </w:p>
        </w:tc>
        <w:tc>
          <w:tcPr>
            <w:tcW w:w="3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xxx,xxx.xx</w:t>
            </w:r>
          </w:p>
        </w:tc>
        <w:tc>
          <w:tcPr>
            <w:tcW w:w="1640" w:type="dxa"/>
            <w:vAlign w:val="bottom"/>
            <w:tcBorders>
              <w:bottom w:val="single" w:sz="8" w:color="auto"/>
              <w:right w:val="single" w:sz="8" w:color="auto"/>
            </w:tcBorders>
          </w:tcPr>
          <w:p>
            <w:pPr>
              <w:ind w:left="900"/>
              <w:spacing w:after="0"/>
              <w:rPr>
                <w:sz w:val="20"/>
                <w:szCs w:val="20"/>
                <w:color w:val="auto"/>
              </w:rPr>
            </w:pPr>
            <w:r>
              <w:rPr>
                <w:rFonts w:ascii="Arial" w:cs="Arial" w:eastAsia="Arial" w:hAnsi="Arial"/>
                <w:sz w:val="14"/>
                <w:szCs w:val="14"/>
                <w:color w:val="auto"/>
              </w:rPr>
              <w:t>xxx,xxx.xx</w:t>
            </w:r>
          </w:p>
        </w:tc>
        <w:tc>
          <w:tcPr>
            <w:tcW w:w="1800" w:type="dxa"/>
            <w:vAlign w:val="bottom"/>
            <w:tcBorders>
              <w:bottom w:val="single" w:sz="8" w:color="auto"/>
              <w:right w:val="single" w:sz="8" w:color="auto"/>
            </w:tcBorders>
            <w:gridSpan w:val="2"/>
          </w:tcPr>
          <w:p>
            <w:pPr>
              <w:ind w:left="106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66"/>
        </w:trPr>
        <w:tc>
          <w:tcPr>
            <w:tcW w:w="1180" w:type="dxa"/>
            <w:vAlign w:val="bottom"/>
            <w:tcBorders>
              <w:left w:val="single" w:sz="8" w:color="auto"/>
              <w:bottom w:val="single" w:sz="8" w:color="auto"/>
              <w:right w:val="single" w:sz="8" w:color="auto"/>
            </w:tcBorders>
          </w:tcPr>
          <w:p>
            <w:pPr>
              <w:jc w:val="center"/>
              <w:spacing w:after="0" w:line="167" w:lineRule="exact"/>
              <w:rPr>
                <w:sz w:val="20"/>
                <w:szCs w:val="20"/>
                <w:color w:val="auto"/>
              </w:rPr>
            </w:pPr>
            <w:r>
              <w:rPr>
                <w:rFonts w:ascii="Arial" w:cs="Arial" w:eastAsia="Arial" w:hAnsi="Arial"/>
                <w:sz w:val="15"/>
                <w:szCs w:val="15"/>
                <w:color w:val="auto"/>
                <w:w w:val="94"/>
              </w:rPr>
              <w:t>mm/dd/yyyy</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xx</w:t>
            </w:r>
          </w:p>
        </w:tc>
        <w:tc>
          <w:tcPr>
            <w:tcW w:w="22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224"/>
              <w:spacing w:after="0" w:line="167" w:lineRule="exact"/>
              <w:rPr>
                <w:sz w:val="20"/>
                <w:szCs w:val="20"/>
                <w:color w:val="auto"/>
              </w:rPr>
            </w:pPr>
            <w:r>
              <w:rPr>
                <w:rFonts w:ascii="Arial" w:cs="Arial" w:eastAsia="Arial" w:hAnsi="Arial"/>
                <w:sz w:val="15"/>
                <w:szCs w:val="15"/>
                <w:color w:val="auto"/>
              </w:rPr>
              <w:t>xxxxx</w:t>
            </w:r>
          </w:p>
        </w:tc>
        <w:tc>
          <w:tcPr>
            <w:tcW w:w="3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xxx,xxx.xx</w:t>
            </w:r>
          </w:p>
        </w:tc>
        <w:tc>
          <w:tcPr>
            <w:tcW w:w="1640" w:type="dxa"/>
            <w:vAlign w:val="bottom"/>
            <w:tcBorders>
              <w:bottom w:val="single" w:sz="8" w:color="auto"/>
              <w:right w:val="single" w:sz="8" w:color="auto"/>
            </w:tcBorders>
          </w:tcPr>
          <w:p>
            <w:pPr>
              <w:ind w:left="900"/>
              <w:spacing w:after="0"/>
              <w:rPr>
                <w:sz w:val="20"/>
                <w:szCs w:val="20"/>
                <w:color w:val="auto"/>
              </w:rPr>
            </w:pPr>
            <w:r>
              <w:rPr>
                <w:rFonts w:ascii="Arial" w:cs="Arial" w:eastAsia="Arial" w:hAnsi="Arial"/>
                <w:sz w:val="14"/>
                <w:szCs w:val="14"/>
                <w:color w:val="auto"/>
              </w:rPr>
              <w:t>xxx,xxx.xx</w:t>
            </w:r>
          </w:p>
        </w:tc>
        <w:tc>
          <w:tcPr>
            <w:tcW w:w="1800" w:type="dxa"/>
            <w:vAlign w:val="bottom"/>
            <w:tcBorders>
              <w:bottom w:val="single" w:sz="8" w:color="auto"/>
              <w:right w:val="single" w:sz="8" w:color="auto"/>
            </w:tcBorders>
            <w:gridSpan w:val="2"/>
          </w:tcPr>
          <w:p>
            <w:pPr>
              <w:ind w:left="106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66"/>
        </w:trPr>
        <w:tc>
          <w:tcPr>
            <w:tcW w:w="1180" w:type="dxa"/>
            <w:vAlign w:val="bottom"/>
            <w:tcBorders>
              <w:left w:val="single" w:sz="8" w:color="auto"/>
              <w:bottom w:val="single" w:sz="8" w:color="auto"/>
              <w:right w:val="single" w:sz="8" w:color="auto"/>
            </w:tcBorders>
          </w:tcPr>
          <w:p>
            <w:pPr>
              <w:jc w:val="center"/>
              <w:spacing w:after="0" w:line="167" w:lineRule="exact"/>
              <w:rPr>
                <w:sz w:val="20"/>
                <w:szCs w:val="20"/>
                <w:color w:val="auto"/>
              </w:rPr>
            </w:pPr>
            <w:r>
              <w:rPr>
                <w:rFonts w:ascii="Arial" w:cs="Arial" w:eastAsia="Arial" w:hAnsi="Arial"/>
                <w:sz w:val="15"/>
                <w:szCs w:val="15"/>
                <w:color w:val="auto"/>
                <w:w w:val="94"/>
              </w:rPr>
              <w:t>mm/dd/yyyy</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xx</w:t>
            </w:r>
          </w:p>
        </w:tc>
        <w:tc>
          <w:tcPr>
            <w:tcW w:w="22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224"/>
              <w:spacing w:after="0" w:line="167" w:lineRule="exact"/>
              <w:rPr>
                <w:sz w:val="20"/>
                <w:szCs w:val="20"/>
                <w:color w:val="auto"/>
              </w:rPr>
            </w:pPr>
            <w:r>
              <w:rPr>
                <w:rFonts w:ascii="Arial" w:cs="Arial" w:eastAsia="Arial" w:hAnsi="Arial"/>
                <w:sz w:val="15"/>
                <w:szCs w:val="15"/>
                <w:color w:val="auto"/>
              </w:rPr>
              <w:t>xxxxx</w:t>
            </w:r>
          </w:p>
        </w:tc>
        <w:tc>
          <w:tcPr>
            <w:tcW w:w="3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xxx,xxx.xx</w:t>
            </w:r>
          </w:p>
        </w:tc>
        <w:tc>
          <w:tcPr>
            <w:tcW w:w="1640" w:type="dxa"/>
            <w:vAlign w:val="bottom"/>
            <w:tcBorders>
              <w:bottom w:val="single" w:sz="8" w:color="auto"/>
              <w:right w:val="single" w:sz="8" w:color="auto"/>
            </w:tcBorders>
          </w:tcPr>
          <w:p>
            <w:pPr>
              <w:ind w:left="900"/>
              <w:spacing w:after="0"/>
              <w:rPr>
                <w:sz w:val="20"/>
                <w:szCs w:val="20"/>
                <w:color w:val="auto"/>
              </w:rPr>
            </w:pPr>
            <w:r>
              <w:rPr>
                <w:rFonts w:ascii="Arial" w:cs="Arial" w:eastAsia="Arial" w:hAnsi="Arial"/>
                <w:sz w:val="14"/>
                <w:szCs w:val="14"/>
                <w:color w:val="auto"/>
              </w:rPr>
              <w:t>xxx,xxx.xx</w:t>
            </w:r>
          </w:p>
        </w:tc>
        <w:tc>
          <w:tcPr>
            <w:tcW w:w="1800" w:type="dxa"/>
            <w:vAlign w:val="bottom"/>
            <w:tcBorders>
              <w:bottom w:val="single" w:sz="8" w:color="auto"/>
              <w:right w:val="single" w:sz="8" w:color="auto"/>
            </w:tcBorders>
            <w:gridSpan w:val="2"/>
          </w:tcPr>
          <w:p>
            <w:pPr>
              <w:ind w:left="106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609"/>
        </w:trPr>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80" w:type="dxa"/>
            <w:vAlign w:val="bottom"/>
            <w:tcBorders>
              <w:top w:val="single" w:sz="8" w:color="auto"/>
              <w:left w:val="single" w:sz="8" w:color="auto"/>
              <w:right w:val="single" w:sz="8" w:color="C0C0C0"/>
            </w:tcBorders>
            <w:shd w:val="clear" w:color="auto" w:fill="C0C0C0"/>
          </w:tcPr>
          <w:p>
            <w:pPr>
              <w:spacing w:after="0"/>
              <w:rPr>
                <w:sz w:val="9"/>
                <w:szCs w:val="9"/>
                <w:color w:val="auto"/>
              </w:rPr>
            </w:pPr>
          </w:p>
        </w:tc>
        <w:tc>
          <w:tcPr>
            <w:tcW w:w="100" w:type="dxa"/>
            <w:vAlign w:val="bottom"/>
            <w:tcBorders>
              <w:top w:val="single" w:sz="8" w:color="auto"/>
              <w:right w:val="single" w:sz="8" w:color="auto"/>
            </w:tcBorders>
            <w:shd w:val="clear" w:color="auto" w:fill="C0C0C0"/>
          </w:tcPr>
          <w:p>
            <w:pPr>
              <w:spacing w:after="0"/>
              <w:rPr>
                <w:sz w:val="9"/>
                <w:szCs w:val="9"/>
                <w:color w:val="auto"/>
              </w:rPr>
            </w:pPr>
          </w:p>
        </w:tc>
        <w:tc>
          <w:tcPr>
            <w:tcW w:w="440" w:type="dxa"/>
            <w:vAlign w:val="bottom"/>
            <w:tcBorders>
              <w:top w:val="single" w:sz="8" w:color="C0C0C0"/>
            </w:tcBorders>
            <w:shd w:val="clear" w:color="auto" w:fill="C0C0C0"/>
          </w:tcPr>
          <w:p>
            <w:pPr>
              <w:spacing w:after="0"/>
              <w:rPr>
                <w:sz w:val="9"/>
                <w:szCs w:val="9"/>
                <w:color w:val="auto"/>
              </w:rPr>
            </w:pPr>
          </w:p>
        </w:tc>
        <w:tc>
          <w:tcPr>
            <w:tcW w:w="220" w:type="dxa"/>
            <w:vAlign w:val="bottom"/>
            <w:tcBorders>
              <w:top w:val="single" w:sz="8" w:color="C0C0C0"/>
              <w:right w:val="single" w:sz="8" w:color="C0C0C0"/>
            </w:tcBorders>
            <w:shd w:val="clear" w:color="auto" w:fill="C0C0C0"/>
          </w:tcPr>
          <w:p>
            <w:pPr>
              <w:spacing w:after="0"/>
              <w:rPr>
                <w:sz w:val="9"/>
                <w:szCs w:val="9"/>
                <w:color w:val="auto"/>
              </w:rPr>
            </w:pPr>
          </w:p>
        </w:tc>
        <w:tc>
          <w:tcPr>
            <w:tcW w:w="540" w:type="dxa"/>
            <w:vAlign w:val="bottom"/>
            <w:tcBorders>
              <w:top w:val="single" w:sz="8" w:color="C0C0C0"/>
              <w:right w:val="single" w:sz="8" w:color="auto"/>
            </w:tcBorders>
            <w:shd w:val="clear" w:color="auto" w:fill="C0C0C0"/>
          </w:tcPr>
          <w:p>
            <w:pPr>
              <w:spacing w:after="0"/>
              <w:rPr>
                <w:sz w:val="9"/>
                <w:szCs w:val="9"/>
                <w:color w:val="auto"/>
              </w:rPr>
            </w:pPr>
          </w:p>
        </w:tc>
        <w:tc>
          <w:tcPr>
            <w:tcW w:w="1560" w:type="dxa"/>
            <w:vAlign w:val="bottom"/>
            <w:tcBorders>
              <w:top w:val="single" w:sz="8" w:color="C0C0C0"/>
              <w:right w:val="single" w:sz="8" w:color="auto"/>
            </w:tcBorders>
            <w:gridSpan w:val="3"/>
            <w:shd w:val="clear" w:color="auto" w:fill="C0C0C0"/>
          </w:tcPr>
          <w:p>
            <w:pPr>
              <w:jc w:val="center"/>
              <w:spacing w:after="0" w:line="114" w:lineRule="exact"/>
              <w:rPr>
                <w:sz w:val="20"/>
                <w:szCs w:val="20"/>
                <w:color w:val="auto"/>
              </w:rPr>
            </w:pPr>
            <w:r>
              <w:rPr>
                <w:rFonts w:ascii="Arial" w:cs="Arial" w:eastAsia="Arial" w:hAnsi="Arial"/>
                <w:sz w:val="13"/>
                <w:szCs w:val="13"/>
                <w:b w:val="1"/>
                <w:bCs w:val="1"/>
                <w:color w:val="auto"/>
              </w:rPr>
              <w:t>Correction to IST</w:t>
            </w:r>
          </w:p>
        </w:tc>
        <w:tc>
          <w:tcPr>
            <w:tcW w:w="780" w:type="dxa"/>
            <w:vAlign w:val="bottom"/>
            <w:tcBorders>
              <w:top w:val="single" w:sz="8" w:color="C0C0C0"/>
              <w:right w:val="single" w:sz="8" w:color="C0C0C0"/>
            </w:tcBorders>
            <w:shd w:val="clear" w:color="auto" w:fill="C0C0C0"/>
          </w:tcPr>
          <w:p>
            <w:pPr>
              <w:spacing w:after="0"/>
              <w:rPr>
                <w:sz w:val="9"/>
                <w:szCs w:val="9"/>
                <w:color w:val="auto"/>
              </w:rPr>
            </w:pPr>
          </w:p>
        </w:tc>
        <w:tc>
          <w:tcPr>
            <w:tcW w:w="1640" w:type="dxa"/>
            <w:vAlign w:val="bottom"/>
            <w:tcBorders>
              <w:top w:val="single" w:sz="8" w:color="C0C0C0"/>
              <w:right w:val="single" w:sz="8" w:color="C0C0C0"/>
            </w:tcBorders>
            <w:shd w:val="clear" w:color="auto" w:fill="C0C0C0"/>
          </w:tcPr>
          <w:p>
            <w:pPr>
              <w:spacing w:after="0"/>
              <w:rPr>
                <w:sz w:val="9"/>
                <w:szCs w:val="9"/>
                <w:color w:val="auto"/>
              </w:rPr>
            </w:pPr>
          </w:p>
        </w:tc>
        <w:tc>
          <w:tcPr>
            <w:tcW w:w="1640" w:type="dxa"/>
            <w:vAlign w:val="bottom"/>
            <w:tcBorders>
              <w:top w:val="single" w:sz="8" w:color="C0C0C0"/>
              <w:right w:val="single" w:sz="8" w:color="auto"/>
            </w:tcBorders>
            <w:shd w:val="clear" w:color="auto" w:fill="C0C0C0"/>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180" w:type="dxa"/>
            <w:vAlign w:val="bottom"/>
            <w:tcBorders>
              <w:left w:val="single" w:sz="8" w:color="auto"/>
              <w:right w:val="single" w:sz="8" w:color="C0C0C0"/>
            </w:tcBorders>
            <w:shd w:val="clear" w:color="auto" w:fill="C0C0C0"/>
          </w:tcPr>
          <w:p>
            <w:pPr>
              <w:jc w:val="center"/>
              <w:ind w:left="27"/>
              <w:spacing w:after="0"/>
              <w:rPr>
                <w:sz w:val="20"/>
                <w:szCs w:val="20"/>
                <w:color w:val="auto"/>
              </w:rPr>
            </w:pPr>
            <w:r>
              <w:rPr>
                <w:rFonts w:ascii="Arial" w:cs="Arial" w:eastAsia="Arial" w:hAnsi="Arial"/>
                <w:sz w:val="15"/>
                <w:szCs w:val="15"/>
                <w:b w:val="1"/>
                <w:bCs w:val="1"/>
                <w:color w:val="auto"/>
                <w:w w:val="99"/>
              </w:rPr>
              <w:t>Original IST</w:t>
            </w:r>
          </w:p>
        </w:tc>
        <w:tc>
          <w:tcPr>
            <w:tcW w:w="100" w:type="dxa"/>
            <w:vAlign w:val="bottom"/>
            <w:tcBorders>
              <w:right w:val="single" w:sz="8" w:color="auto"/>
            </w:tcBorders>
            <w:shd w:val="clear" w:color="auto" w:fill="C0C0C0"/>
          </w:tcPr>
          <w:p>
            <w:pPr>
              <w:spacing w:after="0"/>
              <w:rPr>
                <w:sz w:val="15"/>
                <w:szCs w:val="15"/>
                <w:color w:val="auto"/>
              </w:rPr>
            </w:pPr>
          </w:p>
        </w:tc>
        <w:tc>
          <w:tcPr>
            <w:tcW w:w="1200" w:type="dxa"/>
            <w:vAlign w:val="bottom"/>
            <w:tcBorders>
              <w:right w:val="single" w:sz="8" w:color="auto"/>
            </w:tcBorders>
            <w:gridSpan w:val="3"/>
            <w:shd w:val="clear" w:color="auto" w:fill="C0C0C0"/>
          </w:tcPr>
          <w:p>
            <w:pPr>
              <w:ind w:left="200"/>
              <w:spacing w:after="0"/>
              <w:rPr>
                <w:sz w:val="20"/>
                <w:szCs w:val="20"/>
                <w:color w:val="auto"/>
              </w:rPr>
            </w:pPr>
            <w:r>
              <w:rPr>
                <w:rFonts w:ascii="Arial" w:cs="Arial" w:eastAsia="Arial" w:hAnsi="Arial"/>
                <w:sz w:val="15"/>
                <w:szCs w:val="15"/>
                <w:b w:val="1"/>
                <w:bCs w:val="1"/>
                <w:color w:val="auto"/>
              </w:rPr>
              <w:t>Revised IST</w:t>
            </w:r>
          </w:p>
        </w:tc>
        <w:tc>
          <w:tcPr>
            <w:tcW w:w="420" w:type="dxa"/>
            <w:vAlign w:val="bottom"/>
            <w:shd w:val="clear" w:color="auto" w:fill="C0C0C0"/>
          </w:tcPr>
          <w:p>
            <w:pPr>
              <w:spacing w:after="0"/>
              <w:rPr>
                <w:sz w:val="15"/>
                <w:szCs w:val="15"/>
                <w:color w:val="auto"/>
              </w:rPr>
            </w:pPr>
          </w:p>
        </w:tc>
        <w:tc>
          <w:tcPr>
            <w:tcW w:w="1140" w:type="dxa"/>
            <w:vAlign w:val="bottom"/>
            <w:tcBorders>
              <w:right w:val="single" w:sz="8" w:color="auto"/>
            </w:tcBorders>
            <w:gridSpan w:val="2"/>
            <w:shd w:val="clear" w:color="auto" w:fill="C0C0C0"/>
          </w:tcPr>
          <w:p>
            <w:pPr>
              <w:jc w:val="center"/>
              <w:ind w:right="408"/>
              <w:spacing w:after="0"/>
              <w:rPr>
                <w:sz w:val="20"/>
                <w:szCs w:val="20"/>
                <w:color w:val="auto"/>
              </w:rPr>
            </w:pPr>
            <w:r>
              <w:rPr>
                <w:rFonts w:ascii="Arial" w:cs="Arial" w:eastAsia="Arial" w:hAnsi="Arial"/>
                <w:sz w:val="15"/>
                <w:szCs w:val="15"/>
                <w:b w:val="1"/>
                <w:bCs w:val="1"/>
                <w:color w:val="auto"/>
                <w:w w:val="95"/>
              </w:rPr>
              <w:t>Report</w:t>
            </w:r>
          </w:p>
        </w:tc>
        <w:tc>
          <w:tcPr>
            <w:tcW w:w="780" w:type="dxa"/>
            <w:vAlign w:val="bottom"/>
            <w:tcBorders>
              <w:right w:val="single" w:sz="8" w:color="C0C0C0"/>
            </w:tcBorders>
            <w:shd w:val="clear" w:color="auto" w:fill="C0C0C0"/>
          </w:tcPr>
          <w:p>
            <w:pPr>
              <w:spacing w:after="0"/>
              <w:rPr>
                <w:sz w:val="15"/>
                <w:szCs w:val="15"/>
                <w:color w:val="auto"/>
              </w:rPr>
            </w:pPr>
          </w:p>
        </w:tc>
        <w:tc>
          <w:tcPr>
            <w:tcW w:w="1640" w:type="dxa"/>
            <w:vAlign w:val="bottom"/>
            <w:tcBorders>
              <w:right w:val="single" w:sz="8" w:color="C0C0C0"/>
            </w:tcBorders>
            <w:shd w:val="clear" w:color="auto" w:fill="C0C0C0"/>
          </w:tcPr>
          <w:p>
            <w:pPr>
              <w:spacing w:after="0"/>
              <w:rPr>
                <w:sz w:val="15"/>
                <w:szCs w:val="15"/>
                <w:color w:val="auto"/>
              </w:rPr>
            </w:pPr>
          </w:p>
        </w:tc>
        <w:tc>
          <w:tcPr>
            <w:tcW w:w="1640" w:type="dxa"/>
            <w:vAlign w:val="bottom"/>
            <w:tcBorders>
              <w:right w:val="single" w:sz="8" w:color="auto"/>
            </w:tcBorders>
            <w:shd w:val="clear" w:color="auto" w:fill="C0C0C0"/>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80" w:type="dxa"/>
            <w:vAlign w:val="bottom"/>
            <w:tcBorders>
              <w:left w:val="single" w:sz="8" w:color="auto"/>
              <w:bottom w:val="single" w:sz="8" w:color="auto"/>
              <w:right w:val="single" w:sz="8" w:color="C0C0C0"/>
            </w:tcBorders>
            <w:shd w:val="clear" w:color="auto" w:fill="C0C0C0"/>
          </w:tcPr>
          <w:p>
            <w:pPr>
              <w:jc w:val="center"/>
              <w:ind w:left="27"/>
              <w:spacing w:after="0"/>
              <w:rPr>
                <w:sz w:val="20"/>
                <w:szCs w:val="20"/>
                <w:color w:val="auto"/>
              </w:rPr>
            </w:pPr>
            <w:r>
              <w:rPr>
                <w:rFonts w:ascii="Arial" w:cs="Arial" w:eastAsia="Arial" w:hAnsi="Arial"/>
                <w:sz w:val="15"/>
                <w:szCs w:val="15"/>
                <w:b w:val="1"/>
                <w:bCs w:val="1"/>
                <w:color w:val="auto"/>
                <w:w w:val="90"/>
              </w:rPr>
              <w:t>Report</w:t>
            </w:r>
          </w:p>
        </w:tc>
        <w:tc>
          <w:tcPr>
            <w:tcW w:w="100" w:type="dxa"/>
            <w:vAlign w:val="bottom"/>
            <w:tcBorders>
              <w:bottom w:val="single" w:sz="8" w:color="auto"/>
              <w:right w:val="single" w:sz="8" w:color="auto"/>
            </w:tcBorders>
            <w:shd w:val="clear" w:color="auto" w:fill="C0C0C0"/>
          </w:tcPr>
          <w:p>
            <w:pPr>
              <w:spacing w:after="0"/>
              <w:rPr>
                <w:sz w:val="16"/>
                <w:szCs w:val="16"/>
                <w:color w:val="auto"/>
              </w:rPr>
            </w:pPr>
          </w:p>
        </w:tc>
        <w:tc>
          <w:tcPr>
            <w:tcW w:w="1200" w:type="dxa"/>
            <w:vAlign w:val="bottom"/>
            <w:tcBorders>
              <w:bottom w:val="single" w:sz="8" w:color="auto"/>
              <w:right w:val="single" w:sz="8" w:color="auto"/>
            </w:tcBorders>
            <w:gridSpan w:val="3"/>
            <w:shd w:val="clear" w:color="auto" w:fill="C0C0C0"/>
          </w:tcPr>
          <w:p>
            <w:pPr>
              <w:ind w:left="360"/>
              <w:spacing w:after="0"/>
              <w:rPr>
                <w:sz w:val="20"/>
                <w:szCs w:val="20"/>
                <w:color w:val="auto"/>
              </w:rPr>
            </w:pPr>
            <w:r>
              <w:rPr>
                <w:rFonts w:ascii="Arial" w:cs="Arial" w:eastAsia="Arial" w:hAnsi="Arial"/>
                <w:sz w:val="15"/>
                <w:szCs w:val="15"/>
                <w:b w:val="1"/>
                <w:bCs w:val="1"/>
                <w:color w:val="auto"/>
              </w:rPr>
              <w:t>Report</w:t>
            </w:r>
          </w:p>
        </w:tc>
        <w:tc>
          <w:tcPr>
            <w:tcW w:w="420" w:type="dxa"/>
            <w:vAlign w:val="bottom"/>
            <w:tcBorders>
              <w:bottom w:val="single" w:sz="8" w:color="auto"/>
            </w:tcBorders>
            <w:shd w:val="clear" w:color="auto" w:fill="C0C0C0"/>
          </w:tcPr>
          <w:p>
            <w:pPr>
              <w:spacing w:after="0"/>
              <w:rPr>
                <w:sz w:val="16"/>
                <w:szCs w:val="16"/>
                <w:color w:val="auto"/>
              </w:rPr>
            </w:pPr>
          </w:p>
        </w:tc>
        <w:tc>
          <w:tcPr>
            <w:tcW w:w="1140" w:type="dxa"/>
            <w:vAlign w:val="bottom"/>
            <w:tcBorders>
              <w:bottom w:val="single" w:sz="8" w:color="auto"/>
              <w:right w:val="single" w:sz="8" w:color="auto"/>
            </w:tcBorders>
            <w:gridSpan w:val="2"/>
            <w:shd w:val="clear" w:color="auto" w:fill="C0C0C0"/>
          </w:tcPr>
          <w:p>
            <w:pPr>
              <w:jc w:val="center"/>
              <w:ind w:right="368"/>
              <w:spacing w:after="0"/>
              <w:rPr>
                <w:sz w:val="20"/>
                <w:szCs w:val="20"/>
                <w:color w:val="auto"/>
              </w:rPr>
            </w:pPr>
            <w:r>
              <w:rPr>
                <w:rFonts w:ascii="Arial" w:cs="Arial" w:eastAsia="Arial" w:hAnsi="Arial"/>
                <w:sz w:val="15"/>
                <w:szCs w:val="15"/>
                <w:b w:val="1"/>
                <w:bCs w:val="1"/>
                <w:color w:val="auto"/>
              </w:rPr>
              <w:t>(I = H-G)</w:t>
            </w:r>
          </w:p>
        </w:tc>
        <w:tc>
          <w:tcPr>
            <w:tcW w:w="780" w:type="dxa"/>
            <w:vAlign w:val="bottom"/>
            <w:tcBorders>
              <w:bottom w:val="single" w:sz="8" w:color="auto"/>
              <w:right w:val="single" w:sz="8" w:color="C0C0C0"/>
            </w:tcBorders>
            <w:shd w:val="clear" w:color="auto" w:fill="C0C0C0"/>
          </w:tcPr>
          <w:p>
            <w:pPr>
              <w:spacing w:after="0"/>
              <w:rPr>
                <w:sz w:val="16"/>
                <w:szCs w:val="16"/>
                <w:color w:val="auto"/>
              </w:rPr>
            </w:pPr>
          </w:p>
        </w:tc>
        <w:tc>
          <w:tcPr>
            <w:tcW w:w="1640" w:type="dxa"/>
            <w:vAlign w:val="bottom"/>
            <w:tcBorders>
              <w:bottom w:val="single" w:sz="8" w:color="auto"/>
              <w:right w:val="single" w:sz="8" w:color="C0C0C0"/>
            </w:tcBorders>
            <w:shd w:val="clear" w:color="auto" w:fill="C0C0C0"/>
          </w:tcPr>
          <w:p>
            <w:pPr>
              <w:ind w:left="900"/>
              <w:spacing w:after="0"/>
              <w:rPr>
                <w:sz w:val="20"/>
                <w:szCs w:val="20"/>
                <w:color w:val="auto"/>
              </w:rPr>
            </w:pPr>
            <w:r>
              <w:rPr>
                <w:rFonts w:ascii="Arial" w:cs="Arial" w:eastAsia="Arial" w:hAnsi="Arial"/>
                <w:sz w:val="15"/>
                <w:szCs w:val="15"/>
                <w:b w:val="1"/>
                <w:bCs w:val="1"/>
                <w:color w:val="auto"/>
                <w:w w:val="90"/>
              </w:rPr>
              <w:t>Comments</w:t>
            </w:r>
          </w:p>
        </w:tc>
        <w:tc>
          <w:tcPr>
            <w:tcW w:w="1640" w:type="dxa"/>
            <w:vAlign w:val="bottom"/>
            <w:tcBorders>
              <w:bottom w:val="single" w:sz="8" w:color="auto"/>
              <w:right w:val="single" w:sz="8" w:color="auto"/>
            </w:tcBorders>
            <w:shd w:val="clear" w:color="auto" w:fill="C0C0C0"/>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80" w:type="dxa"/>
            <w:vAlign w:val="bottom"/>
            <w:tcBorders>
              <w:left w:val="single" w:sz="8" w:color="auto"/>
              <w:right w:val="single" w:sz="8" w:color="C0C0C0"/>
            </w:tcBorders>
            <w:vMerge w:val="restart"/>
            <w:shd w:val="clear" w:color="auto" w:fill="C0C0C0"/>
          </w:tcPr>
          <w:p>
            <w:pPr>
              <w:jc w:val="center"/>
              <w:ind w:left="27"/>
              <w:spacing w:after="0" w:line="171" w:lineRule="exact"/>
              <w:rPr>
                <w:sz w:val="20"/>
                <w:szCs w:val="20"/>
                <w:color w:val="auto"/>
              </w:rPr>
            </w:pPr>
            <w:r>
              <w:rPr>
                <w:rFonts w:ascii="Arial" w:cs="Arial" w:eastAsia="Arial" w:hAnsi="Arial"/>
                <w:sz w:val="15"/>
                <w:szCs w:val="15"/>
                <w:b w:val="1"/>
                <w:bCs w:val="1"/>
                <w:color w:val="auto"/>
              </w:rPr>
              <w:t>G</w:t>
            </w:r>
          </w:p>
        </w:tc>
        <w:tc>
          <w:tcPr>
            <w:tcW w:w="100" w:type="dxa"/>
            <w:vAlign w:val="bottom"/>
            <w:tcBorders>
              <w:right w:val="single" w:sz="8" w:color="auto"/>
            </w:tcBorders>
            <w:shd w:val="clear" w:color="auto" w:fill="C0C0C0"/>
          </w:tcPr>
          <w:p>
            <w:pPr>
              <w:spacing w:after="0" w:line="20" w:lineRule="exact"/>
              <w:rPr>
                <w:sz w:val="1"/>
                <w:szCs w:val="1"/>
                <w:color w:val="auto"/>
              </w:rPr>
            </w:pPr>
          </w:p>
        </w:tc>
        <w:tc>
          <w:tcPr>
            <w:tcW w:w="440" w:type="dxa"/>
            <w:vAlign w:val="bottom"/>
            <w:shd w:val="clear" w:color="auto" w:fill="C0C0C0"/>
          </w:tcPr>
          <w:p>
            <w:pPr>
              <w:spacing w:after="0" w:line="20" w:lineRule="exact"/>
              <w:rPr>
                <w:sz w:val="1"/>
                <w:szCs w:val="1"/>
                <w:color w:val="auto"/>
              </w:rPr>
            </w:pPr>
          </w:p>
        </w:tc>
        <w:tc>
          <w:tcPr>
            <w:tcW w:w="760" w:type="dxa"/>
            <w:vAlign w:val="bottom"/>
            <w:tcBorders>
              <w:right w:val="single" w:sz="8" w:color="auto"/>
            </w:tcBorders>
            <w:gridSpan w:val="2"/>
            <w:vMerge w:val="restart"/>
            <w:shd w:val="clear" w:color="auto" w:fill="C0C0C0"/>
          </w:tcPr>
          <w:p>
            <w:pPr>
              <w:ind w:left="80"/>
              <w:spacing w:after="0" w:line="171" w:lineRule="exact"/>
              <w:rPr>
                <w:sz w:val="20"/>
                <w:szCs w:val="20"/>
                <w:color w:val="auto"/>
              </w:rPr>
            </w:pPr>
            <w:r>
              <w:rPr>
                <w:rFonts w:ascii="Arial" w:cs="Arial" w:eastAsia="Arial" w:hAnsi="Arial"/>
                <w:sz w:val="15"/>
                <w:szCs w:val="15"/>
                <w:b w:val="1"/>
                <w:bCs w:val="1"/>
                <w:color w:val="auto"/>
              </w:rPr>
              <w:t>H</w:t>
            </w:r>
          </w:p>
        </w:tc>
        <w:tc>
          <w:tcPr>
            <w:tcW w:w="420" w:type="dxa"/>
            <w:vAlign w:val="bottom"/>
            <w:vMerge w:val="restart"/>
            <w:shd w:val="clear" w:color="auto" w:fill="C0C0C0"/>
          </w:tcPr>
          <w:p>
            <w:pPr>
              <w:spacing w:after="0" w:line="20" w:lineRule="exact"/>
              <w:rPr>
                <w:sz w:val="1"/>
                <w:szCs w:val="1"/>
                <w:color w:val="auto"/>
              </w:rPr>
            </w:pPr>
          </w:p>
        </w:tc>
        <w:tc>
          <w:tcPr>
            <w:tcW w:w="300" w:type="dxa"/>
            <w:vAlign w:val="bottom"/>
            <w:tcBorders>
              <w:right w:val="single" w:sz="8" w:color="C0C0C0"/>
            </w:tcBorders>
            <w:shd w:val="clear" w:color="auto" w:fill="C0C0C0"/>
          </w:tcPr>
          <w:p>
            <w:pPr>
              <w:spacing w:after="0" w:line="20" w:lineRule="exact"/>
              <w:rPr>
                <w:sz w:val="1"/>
                <w:szCs w:val="1"/>
                <w:color w:val="auto"/>
              </w:rPr>
            </w:pPr>
          </w:p>
        </w:tc>
        <w:tc>
          <w:tcPr>
            <w:tcW w:w="840" w:type="dxa"/>
            <w:vAlign w:val="bottom"/>
            <w:tcBorders>
              <w:right w:val="single" w:sz="8" w:color="auto"/>
            </w:tcBorders>
            <w:vMerge w:val="restart"/>
            <w:shd w:val="clear" w:color="auto" w:fill="C0C0C0"/>
          </w:tcPr>
          <w:p>
            <w:pPr>
              <w:jc w:val="center"/>
              <w:ind w:right="668"/>
              <w:spacing w:after="0" w:line="171" w:lineRule="exact"/>
              <w:rPr>
                <w:sz w:val="20"/>
                <w:szCs w:val="20"/>
                <w:color w:val="auto"/>
              </w:rPr>
            </w:pPr>
            <w:r>
              <w:rPr>
                <w:rFonts w:ascii="Arial" w:cs="Arial" w:eastAsia="Arial" w:hAnsi="Arial"/>
                <w:sz w:val="15"/>
                <w:szCs w:val="15"/>
                <w:b w:val="1"/>
                <w:bCs w:val="1"/>
                <w:color w:val="auto"/>
              </w:rPr>
              <w:t>I</w:t>
            </w:r>
          </w:p>
        </w:tc>
        <w:tc>
          <w:tcPr>
            <w:tcW w:w="780" w:type="dxa"/>
            <w:vAlign w:val="bottom"/>
            <w:tcBorders>
              <w:right w:val="single" w:sz="8" w:color="C0C0C0"/>
            </w:tcBorders>
            <w:vMerge w:val="restart"/>
            <w:shd w:val="clear" w:color="auto" w:fill="C0C0C0"/>
          </w:tcPr>
          <w:p>
            <w:pPr>
              <w:spacing w:after="0" w:line="20" w:lineRule="exact"/>
              <w:rPr>
                <w:sz w:val="1"/>
                <w:szCs w:val="1"/>
                <w:color w:val="auto"/>
              </w:rPr>
            </w:pPr>
          </w:p>
        </w:tc>
        <w:tc>
          <w:tcPr>
            <w:tcW w:w="1640" w:type="dxa"/>
            <w:vAlign w:val="bottom"/>
            <w:tcBorders>
              <w:right w:val="single" w:sz="8" w:color="C0C0C0"/>
            </w:tcBorders>
            <w:vMerge w:val="restart"/>
            <w:shd w:val="clear" w:color="auto" w:fill="C0C0C0"/>
          </w:tcPr>
          <w:p>
            <w:pPr>
              <w:ind w:left="1200"/>
              <w:spacing w:after="0" w:line="171" w:lineRule="exact"/>
              <w:rPr>
                <w:sz w:val="20"/>
                <w:szCs w:val="20"/>
                <w:color w:val="auto"/>
              </w:rPr>
            </w:pPr>
            <w:r>
              <w:rPr>
                <w:rFonts w:ascii="Arial" w:cs="Arial" w:eastAsia="Arial" w:hAnsi="Arial"/>
                <w:sz w:val="15"/>
                <w:szCs w:val="15"/>
                <w:b w:val="1"/>
                <w:bCs w:val="1"/>
                <w:color w:val="auto"/>
              </w:rPr>
              <w:t>J</w:t>
            </w:r>
          </w:p>
        </w:tc>
        <w:tc>
          <w:tcPr>
            <w:tcW w:w="1640" w:type="dxa"/>
            <w:vAlign w:val="bottom"/>
            <w:tcBorders>
              <w:right w:val="single" w:sz="8" w:color="auto"/>
            </w:tcBorders>
            <w:shd w:val="clear" w:color="auto" w:fill="C0C0C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80" w:type="dxa"/>
            <w:vAlign w:val="bottom"/>
            <w:tcBorders>
              <w:left w:val="single" w:sz="8" w:color="auto"/>
              <w:bottom w:val="single" w:sz="8" w:color="auto"/>
              <w:right w:val="single" w:sz="8" w:color="C0C0C0"/>
            </w:tcBorders>
            <w:vMerge w:val="continue"/>
            <w:shd w:val="clear" w:color="auto" w:fill="C0C0C0"/>
          </w:tcPr>
          <w:p>
            <w:pPr>
              <w:spacing w:after="0"/>
              <w:rPr>
                <w:sz w:val="13"/>
                <w:szCs w:val="13"/>
                <w:color w:val="auto"/>
              </w:rPr>
            </w:pPr>
          </w:p>
        </w:tc>
        <w:tc>
          <w:tcPr>
            <w:tcW w:w="100" w:type="dxa"/>
            <w:vAlign w:val="bottom"/>
            <w:tcBorders>
              <w:bottom w:val="single" w:sz="8" w:color="auto"/>
              <w:right w:val="single" w:sz="8" w:color="auto"/>
            </w:tcBorders>
            <w:shd w:val="clear" w:color="auto" w:fill="C0C0C0"/>
          </w:tcPr>
          <w:p>
            <w:pPr>
              <w:spacing w:after="0"/>
              <w:rPr>
                <w:sz w:val="13"/>
                <w:szCs w:val="13"/>
                <w:color w:val="auto"/>
              </w:rPr>
            </w:pPr>
          </w:p>
        </w:tc>
        <w:tc>
          <w:tcPr>
            <w:tcW w:w="440" w:type="dxa"/>
            <w:vAlign w:val="bottom"/>
            <w:tcBorders>
              <w:bottom w:val="single" w:sz="8" w:color="auto"/>
            </w:tcBorders>
            <w:shd w:val="clear" w:color="auto" w:fill="C0C0C0"/>
          </w:tcPr>
          <w:p>
            <w:pPr>
              <w:spacing w:after="0"/>
              <w:rPr>
                <w:sz w:val="13"/>
                <w:szCs w:val="13"/>
                <w:color w:val="auto"/>
              </w:rPr>
            </w:pPr>
          </w:p>
        </w:tc>
        <w:tc>
          <w:tcPr>
            <w:tcW w:w="760" w:type="dxa"/>
            <w:vAlign w:val="bottom"/>
            <w:tcBorders>
              <w:bottom w:val="single" w:sz="8" w:color="auto"/>
              <w:right w:val="single" w:sz="8" w:color="auto"/>
            </w:tcBorders>
            <w:gridSpan w:val="2"/>
            <w:vMerge w:val="continue"/>
            <w:shd w:val="clear" w:color="auto" w:fill="C0C0C0"/>
          </w:tcPr>
          <w:p>
            <w:pPr>
              <w:spacing w:after="0"/>
              <w:rPr>
                <w:sz w:val="13"/>
                <w:szCs w:val="13"/>
                <w:color w:val="auto"/>
              </w:rPr>
            </w:pPr>
          </w:p>
        </w:tc>
        <w:tc>
          <w:tcPr>
            <w:tcW w:w="420" w:type="dxa"/>
            <w:vAlign w:val="bottom"/>
            <w:tcBorders>
              <w:bottom w:val="single" w:sz="8" w:color="auto"/>
            </w:tcBorders>
            <w:vMerge w:val="continue"/>
            <w:shd w:val="clear" w:color="auto" w:fill="C0C0C0"/>
          </w:tcPr>
          <w:p>
            <w:pPr>
              <w:spacing w:after="0"/>
              <w:rPr>
                <w:sz w:val="13"/>
                <w:szCs w:val="13"/>
                <w:color w:val="auto"/>
              </w:rPr>
            </w:pPr>
          </w:p>
        </w:tc>
        <w:tc>
          <w:tcPr>
            <w:tcW w:w="300" w:type="dxa"/>
            <w:vAlign w:val="bottom"/>
            <w:tcBorders>
              <w:bottom w:val="single" w:sz="8" w:color="auto"/>
              <w:right w:val="single" w:sz="8" w:color="C0C0C0"/>
            </w:tcBorders>
            <w:shd w:val="clear" w:color="auto" w:fill="C0C0C0"/>
          </w:tcPr>
          <w:p>
            <w:pPr>
              <w:spacing w:after="0"/>
              <w:rPr>
                <w:sz w:val="13"/>
                <w:szCs w:val="13"/>
                <w:color w:val="auto"/>
              </w:rPr>
            </w:pPr>
          </w:p>
        </w:tc>
        <w:tc>
          <w:tcPr>
            <w:tcW w:w="840" w:type="dxa"/>
            <w:vAlign w:val="bottom"/>
            <w:tcBorders>
              <w:bottom w:val="single" w:sz="8" w:color="auto"/>
              <w:right w:val="single" w:sz="8" w:color="auto"/>
            </w:tcBorders>
            <w:vMerge w:val="continue"/>
            <w:shd w:val="clear" w:color="auto" w:fill="C0C0C0"/>
          </w:tcPr>
          <w:p>
            <w:pPr>
              <w:spacing w:after="0"/>
              <w:rPr>
                <w:sz w:val="13"/>
                <w:szCs w:val="13"/>
                <w:color w:val="auto"/>
              </w:rPr>
            </w:pPr>
          </w:p>
        </w:tc>
        <w:tc>
          <w:tcPr>
            <w:tcW w:w="780" w:type="dxa"/>
            <w:vAlign w:val="bottom"/>
            <w:tcBorders>
              <w:bottom w:val="single" w:sz="8" w:color="auto"/>
              <w:right w:val="single" w:sz="8" w:color="C0C0C0"/>
            </w:tcBorders>
            <w:vMerge w:val="continue"/>
            <w:shd w:val="clear" w:color="auto" w:fill="C0C0C0"/>
          </w:tcPr>
          <w:p>
            <w:pPr>
              <w:spacing w:after="0"/>
              <w:rPr>
                <w:sz w:val="13"/>
                <w:szCs w:val="13"/>
                <w:color w:val="auto"/>
              </w:rPr>
            </w:pPr>
          </w:p>
        </w:tc>
        <w:tc>
          <w:tcPr>
            <w:tcW w:w="1640" w:type="dxa"/>
            <w:vAlign w:val="bottom"/>
            <w:tcBorders>
              <w:bottom w:val="single" w:sz="8" w:color="auto"/>
              <w:right w:val="single" w:sz="8" w:color="C0C0C0"/>
            </w:tcBorders>
            <w:vMerge w:val="continue"/>
            <w:shd w:val="clear" w:color="auto" w:fill="C0C0C0"/>
          </w:tcPr>
          <w:p>
            <w:pPr>
              <w:spacing w:after="0"/>
              <w:rPr>
                <w:sz w:val="13"/>
                <w:szCs w:val="13"/>
                <w:color w:val="auto"/>
              </w:rPr>
            </w:pPr>
          </w:p>
        </w:tc>
        <w:tc>
          <w:tcPr>
            <w:tcW w:w="1640" w:type="dxa"/>
            <w:vAlign w:val="bottom"/>
            <w:tcBorders>
              <w:bottom w:val="single" w:sz="8" w:color="auto"/>
              <w:right w:val="single" w:sz="8" w:color="auto"/>
            </w:tcBorders>
            <w:shd w:val="clear" w:color="auto" w:fill="C0C0C0"/>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180" w:type="dxa"/>
            <w:vAlign w:val="bottom"/>
            <w:tcBorders>
              <w:left w:val="single" w:sz="8" w:color="auto"/>
              <w:bottom w:val="single" w:sz="8" w:color="auto"/>
            </w:tcBorders>
          </w:tcPr>
          <w:p>
            <w:pPr>
              <w:ind w:left="540"/>
              <w:spacing w:after="0"/>
              <w:rPr>
                <w:sz w:val="20"/>
                <w:szCs w:val="20"/>
                <w:color w:val="auto"/>
              </w:rPr>
            </w:pPr>
            <w:r>
              <w:rPr>
                <w:rFonts w:ascii="Arial" w:cs="Arial" w:eastAsia="Arial" w:hAnsi="Arial"/>
                <w:sz w:val="14"/>
                <w:szCs w:val="14"/>
                <w:color w:val="auto"/>
                <w:w w:val="93"/>
              </w:rPr>
              <w:t>xxx,xxx.xx</w:t>
            </w:r>
          </w:p>
        </w:tc>
        <w:tc>
          <w:tcPr>
            <w:tcW w:w="10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xxx,xxx.xx</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xxx,xxx.xx</w:t>
            </w:r>
          </w:p>
        </w:tc>
        <w:tc>
          <w:tcPr>
            <w:tcW w:w="7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640" w:type="dxa"/>
            <w:vAlign w:val="bottom"/>
            <w:tcBorders>
              <w:bottom w:val="single" w:sz="8" w:color="auto"/>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Borders>
              <w:left w:val="single" w:sz="8" w:color="auto"/>
              <w:bottom w:val="single" w:sz="8" w:color="auto"/>
            </w:tcBorders>
          </w:tcPr>
          <w:p>
            <w:pPr>
              <w:ind w:left="540"/>
              <w:spacing w:after="0"/>
              <w:rPr>
                <w:sz w:val="20"/>
                <w:szCs w:val="20"/>
                <w:color w:val="auto"/>
              </w:rPr>
            </w:pPr>
            <w:r>
              <w:rPr>
                <w:rFonts w:ascii="Arial" w:cs="Arial" w:eastAsia="Arial" w:hAnsi="Arial"/>
                <w:sz w:val="14"/>
                <w:szCs w:val="14"/>
                <w:color w:val="auto"/>
                <w:w w:val="93"/>
              </w:rPr>
              <w:t>xxx,xxx.xx</w:t>
            </w:r>
          </w:p>
        </w:tc>
        <w:tc>
          <w:tcPr>
            <w:tcW w:w="10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xxx,xxx.xx</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xxx,xxx.xx</w:t>
            </w:r>
          </w:p>
        </w:tc>
        <w:tc>
          <w:tcPr>
            <w:tcW w:w="7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640" w:type="dxa"/>
            <w:vAlign w:val="bottom"/>
            <w:tcBorders>
              <w:bottom w:val="single" w:sz="8" w:color="auto"/>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Borders>
              <w:left w:val="single" w:sz="8" w:color="auto"/>
              <w:bottom w:val="single" w:sz="8" w:color="auto"/>
            </w:tcBorders>
          </w:tcPr>
          <w:p>
            <w:pPr>
              <w:ind w:left="540"/>
              <w:spacing w:after="0"/>
              <w:rPr>
                <w:sz w:val="20"/>
                <w:szCs w:val="20"/>
                <w:color w:val="auto"/>
              </w:rPr>
            </w:pPr>
            <w:r>
              <w:rPr>
                <w:rFonts w:ascii="Arial" w:cs="Arial" w:eastAsia="Arial" w:hAnsi="Arial"/>
                <w:sz w:val="14"/>
                <w:szCs w:val="14"/>
                <w:color w:val="auto"/>
                <w:w w:val="93"/>
              </w:rPr>
              <w:t>xxx,xxx.xx</w:t>
            </w:r>
          </w:p>
        </w:tc>
        <w:tc>
          <w:tcPr>
            <w:tcW w:w="10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xxx,xxx.xx</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xxx,xxx.xx</w:t>
            </w:r>
          </w:p>
        </w:tc>
        <w:tc>
          <w:tcPr>
            <w:tcW w:w="7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640" w:type="dxa"/>
            <w:vAlign w:val="bottom"/>
            <w:tcBorders>
              <w:bottom w:val="single" w:sz="8" w:color="auto"/>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Borders>
              <w:left w:val="single" w:sz="8" w:color="auto"/>
              <w:bottom w:val="single" w:sz="8" w:color="auto"/>
            </w:tcBorders>
          </w:tcPr>
          <w:p>
            <w:pPr>
              <w:ind w:left="540"/>
              <w:spacing w:after="0"/>
              <w:rPr>
                <w:sz w:val="20"/>
                <w:szCs w:val="20"/>
                <w:color w:val="auto"/>
              </w:rPr>
            </w:pPr>
            <w:r>
              <w:rPr>
                <w:rFonts w:ascii="Arial" w:cs="Arial" w:eastAsia="Arial" w:hAnsi="Arial"/>
                <w:sz w:val="14"/>
                <w:szCs w:val="14"/>
                <w:color w:val="auto"/>
                <w:w w:val="93"/>
              </w:rPr>
              <w:t>xxx,xxx.xx</w:t>
            </w:r>
          </w:p>
        </w:tc>
        <w:tc>
          <w:tcPr>
            <w:tcW w:w="10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xxx,xxx.xx</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xxx,xxx.xx</w:t>
            </w:r>
          </w:p>
        </w:tc>
        <w:tc>
          <w:tcPr>
            <w:tcW w:w="7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640" w:type="dxa"/>
            <w:vAlign w:val="bottom"/>
            <w:tcBorders>
              <w:bottom w:val="single" w:sz="8" w:color="auto"/>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Borders>
              <w:left w:val="single" w:sz="8" w:color="auto"/>
              <w:bottom w:val="single" w:sz="8" w:color="auto"/>
            </w:tcBorders>
          </w:tcPr>
          <w:p>
            <w:pPr>
              <w:ind w:left="540"/>
              <w:spacing w:after="0"/>
              <w:rPr>
                <w:sz w:val="20"/>
                <w:szCs w:val="20"/>
                <w:color w:val="auto"/>
              </w:rPr>
            </w:pPr>
            <w:r>
              <w:rPr>
                <w:rFonts w:ascii="Arial" w:cs="Arial" w:eastAsia="Arial" w:hAnsi="Arial"/>
                <w:sz w:val="14"/>
                <w:szCs w:val="14"/>
                <w:color w:val="auto"/>
                <w:w w:val="93"/>
              </w:rPr>
              <w:t>xxx,xxx.xx</w:t>
            </w:r>
          </w:p>
        </w:tc>
        <w:tc>
          <w:tcPr>
            <w:tcW w:w="10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xxx,xxx.xx</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xxx,xxx.xx</w:t>
            </w:r>
          </w:p>
        </w:tc>
        <w:tc>
          <w:tcPr>
            <w:tcW w:w="7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640" w:type="dxa"/>
            <w:vAlign w:val="bottom"/>
            <w:tcBorders>
              <w:bottom w:val="single" w:sz="8" w:color="auto"/>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20" w:top="694" w:right="319" w:bottom="855" w:gutter="0" w:footer="0" w:header="0"/>
        </w:sectPr>
      </w:pP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C-</w:t>
      </w:r>
    </w:p>
    <w:p>
      <w:pPr>
        <w:sectPr>
          <w:pgSz w:w="11900" w:h="16838" w:orient="portrait"/>
          <w:cols w:equalWidth="0" w:num="1">
            <w:col w:w="11360"/>
          </w:cols>
          <w:pgMar w:left="220" w:top="694" w:right="319" w:bottom="855" w:gutter="0" w:footer="0" w:header="0"/>
          <w:type w:val="continuous"/>
        </w:sectPr>
      </w:pPr>
    </w:p>
    <w:bookmarkStart w:id="152" w:name="page153"/>
    <w:bookmarkEnd w:id="152"/>
    <w:p>
      <w:pPr>
        <w:ind w:left="501" w:hanging="501"/>
        <w:spacing w:after="0"/>
        <w:tabs>
          <w:tab w:leader="none" w:pos="501"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DWR Remittance Basis Calculation Report</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14"/>
          <w:szCs w:val="14"/>
          <w:color w:val="auto"/>
        </w:rPr>
        <w:t>The DWR Remittance Basis Calculation Report is to be submitted to DWR within 15 Utility Business Days after the end of each calendar month during the Term.</w:t>
      </w:r>
    </w:p>
    <w:p>
      <w:pPr>
        <w:spacing w:after="0" w:line="207" w:lineRule="exact"/>
        <w:rPr>
          <w:sz w:val="20"/>
          <w:szCs w:val="20"/>
          <w:color w:val="auto"/>
        </w:rPr>
      </w:pPr>
    </w:p>
    <w:p>
      <w:pPr>
        <w:ind w:left="1" w:hanging="1"/>
        <w:spacing w:after="0" w:line="250" w:lineRule="auto"/>
        <w:tabs>
          <w:tab w:leader="none" w:pos="497" w:val="left"/>
        </w:tabs>
        <w:numPr>
          <w:ilvl w:val="0"/>
          <w:numId w:val="2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Delivery Mechanism and Naming Convention - </w:t>
      </w:r>
      <w:r>
        <w:rPr>
          <w:rFonts w:ascii="Arial" w:cs="Arial" w:eastAsia="Arial" w:hAnsi="Arial"/>
          <w:sz w:val="17"/>
          <w:szCs w:val="17"/>
          <w:color w:val="auto"/>
        </w:rPr>
        <w:t>This report should be sent by e-mail to the e-mail address “IOU_Remit@water.ca.gov” (or by such secure</w:t>
      </w:r>
      <w:r>
        <w:rPr>
          <w:rFonts w:ascii="Arial" w:cs="Arial" w:eastAsia="Arial" w:hAnsi="Arial"/>
          <w:sz w:val="17"/>
          <w:szCs w:val="17"/>
          <w:b w:val="1"/>
          <w:bCs w:val="1"/>
          <w:color w:val="auto"/>
        </w:rPr>
        <w:t xml:space="preserve"> </w:t>
      </w:r>
      <w:r>
        <w:rPr>
          <w:rFonts w:ascii="Arial" w:cs="Arial" w:eastAsia="Arial" w:hAnsi="Arial"/>
          <w:sz w:val="17"/>
          <w:szCs w:val="17"/>
          <w:color w:val="auto"/>
        </w:rPr>
        <w:t>electronic means as reasonably determined appropriate by SDG&amp;E) with the following filename and subject line:</w:t>
      </w:r>
    </w:p>
    <w:p>
      <w:pPr>
        <w:spacing w:after="0" w:line="145" w:lineRule="exact"/>
        <w:rPr>
          <w:sz w:val="20"/>
          <w:szCs w:val="20"/>
          <w:color w:val="auto"/>
        </w:rPr>
      </w:pPr>
    </w:p>
    <w:p>
      <w:pPr>
        <w:ind w:left="241" w:hanging="241"/>
        <w:spacing w:after="0"/>
        <w:tabs>
          <w:tab w:leader="none" w:pos="241"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format of the filename: &lt;utility name&gt; - DWR Remittance Basis Calculation Report yyyymm v#.xls</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Example: SDG&amp;E - DWR Remittance Basis Calculation Report 200904 v1.xls</w:t>
      </w:r>
    </w:p>
    <w:p>
      <w:pPr>
        <w:spacing w:after="0" w:line="166" w:lineRule="exact"/>
        <w:rPr>
          <w:sz w:val="20"/>
          <w:szCs w:val="20"/>
          <w:color w:val="auto"/>
        </w:rPr>
      </w:pPr>
    </w:p>
    <w:p>
      <w:pPr>
        <w:ind w:left="241" w:hanging="241"/>
        <w:spacing w:after="0"/>
        <w:tabs>
          <w:tab w:leader="none" w:pos="241"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The subject line of e-mail: &lt;utility name&gt; - DWR Remittance Basis Calculation Report for yyyymm</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Example: SDG&amp;E - DWR Remittance Basis Calculation Report for 200904</w:t>
      </w:r>
    </w:p>
    <w:p>
      <w:pPr>
        <w:spacing w:after="0" w:line="177" w:lineRule="exact"/>
        <w:rPr>
          <w:sz w:val="20"/>
          <w:szCs w:val="20"/>
          <w:color w:val="auto"/>
        </w:rPr>
      </w:pPr>
    </w:p>
    <w:p>
      <w:pPr>
        <w:ind w:left="1" w:right="80"/>
        <w:spacing w:after="0" w:line="245" w:lineRule="auto"/>
        <w:rPr>
          <w:sz w:val="20"/>
          <w:szCs w:val="20"/>
          <w:color w:val="auto"/>
        </w:rPr>
      </w:pPr>
      <w:r>
        <w:rPr>
          <w:rFonts w:ascii="Arial" w:cs="Arial" w:eastAsia="Arial" w:hAnsi="Arial"/>
          <w:sz w:val="17"/>
          <w:szCs w:val="17"/>
          <w:color w:val="auto"/>
        </w:rPr>
        <w:t>Modifications to a submitted report will be accomplished by resending all the data including the necessary modifications and renaming the monthly report with the subsequent version number.</w:t>
      </w:r>
    </w:p>
    <w:p>
      <w:pPr>
        <w:spacing w:after="0" w:line="159"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Example: SDG&amp;E - DWR Remittance Basis Calculation Report 200904 v2.xls</w:t>
      </w:r>
    </w:p>
    <w:p>
      <w:pPr>
        <w:spacing w:after="0" w:line="173" w:lineRule="exact"/>
        <w:rPr>
          <w:sz w:val="20"/>
          <w:szCs w:val="20"/>
          <w:color w:val="auto"/>
        </w:rPr>
      </w:pPr>
    </w:p>
    <w:p>
      <w:pPr>
        <w:ind w:left="1" w:right="200" w:hanging="1"/>
        <w:spacing w:after="0" w:line="236" w:lineRule="auto"/>
        <w:tabs>
          <w:tab w:leader="none" w:pos="497" w:val="left"/>
        </w:tabs>
        <w:numPr>
          <w:ilvl w:val="0"/>
          <w:numId w:val="2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Required Information and Timeline - </w:t>
      </w:r>
      <w:r>
        <w:rPr>
          <w:rFonts w:ascii="Arial" w:cs="Arial" w:eastAsia="Arial" w:hAnsi="Arial"/>
          <w:sz w:val="17"/>
          <w:szCs w:val="17"/>
          <w:color w:val="auto"/>
        </w:rPr>
        <w:t>SDG&amp;E shall report the daily Remittance Basis and Estimated Bundled Customer Load amounts for Bundled</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Customers in the DWR Remittance Basis Calculation Reports. SDG&amp;E shall report the data columns specified in the following table for the hourly quantities of each DWR Contract, the Estimated Bundled Customer Load and the DWR Percentage Calculation. The report should be consistent in form and substance to the following table in Excel format.</w:t>
      </w:r>
    </w:p>
    <w:p>
      <w:pPr>
        <w:spacing w:after="0" w:line="200" w:lineRule="exact"/>
        <w:rPr>
          <w:sz w:val="20"/>
          <w:szCs w:val="20"/>
          <w:color w:val="auto"/>
        </w:rPr>
      </w:pPr>
    </w:p>
    <w:p>
      <w:pPr>
        <w:spacing w:after="0" w:line="341" w:lineRule="exact"/>
        <w:rPr>
          <w:sz w:val="20"/>
          <w:szCs w:val="20"/>
          <w:color w:val="auto"/>
        </w:rPr>
      </w:pPr>
    </w:p>
    <w:p>
      <w:pPr>
        <w:jc w:val="center"/>
        <w:ind w:right="399"/>
        <w:spacing w:after="0"/>
        <w:rPr>
          <w:sz w:val="20"/>
          <w:szCs w:val="20"/>
          <w:color w:val="auto"/>
        </w:rPr>
      </w:pPr>
      <w:r>
        <w:rPr>
          <w:rFonts w:ascii="Arial" w:cs="Arial" w:eastAsia="Arial" w:hAnsi="Arial"/>
          <w:sz w:val="15"/>
          <w:szCs w:val="15"/>
          <w:color w:val="auto"/>
        </w:rPr>
        <w:t>C-</w:t>
      </w:r>
    </w:p>
    <w:p>
      <w:pPr>
        <w:sectPr>
          <w:pgSz w:w="11900" w:h="16838" w:orient="portrait"/>
          <w:cols w:equalWidth="0" w:num="1">
            <w:col w:w="10861"/>
          </w:cols>
          <w:pgMar w:left="719" w:top="667" w:right="319" w:bottom="1440" w:gutter="0" w:footer="0" w:header="0"/>
        </w:sectPr>
      </w:pPr>
    </w:p>
    <w:bookmarkStart w:id="153" w:name="page154"/>
    <w:bookmarkEnd w:id="153"/>
    <w:p>
      <w:pPr>
        <w:spacing w:after="0"/>
        <w:rPr>
          <w:sz w:val="20"/>
          <w:szCs w:val="20"/>
          <w:color w:val="auto"/>
        </w:rPr>
      </w:pPr>
      <w:r>
        <w:rPr>
          <w:rFonts w:ascii="Arial" w:cs="Arial" w:eastAsia="Arial" w:hAnsi="Arial"/>
          <w:sz w:val="17"/>
          <w:szCs w:val="17"/>
          <w:i w:val="1"/>
          <w:iCs w:val="1"/>
          <w:color w:val="auto"/>
        </w:rPr>
        <w:t>Example:</w:t>
      </w:r>
    </w:p>
    <w:p>
      <w:pPr>
        <w:spacing w:after="0" w:line="19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DWR Remittance Basis Calculation Report</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Date</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148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Col 1</w:t>
            </w:r>
          </w:p>
        </w:tc>
        <w:tc>
          <w:tcPr>
            <w:tcW w:w="1220" w:type="dxa"/>
            <w:vAlign w:val="bottom"/>
            <w:tcBorders>
              <w:bottom w:val="single" w:sz="8" w:color="auto"/>
            </w:tcBorders>
            <w:gridSpan w:val="2"/>
          </w:tcPr>
          <w:p>
            <w:pPr>
              <w:ind w:left="340"/>
              <w:spacing w:after="0"/>
              <w:rPr>
                <w:sz w:val="20"/>
                <w:szCs w:val="20"/>
                <w:color w:val="auto"/>
              </w:rPr>
            </w:pPr>
            <w:r>
              <w:rPr>
                <w:rFonts w:ascii="Arial" w:cs="Arial" w:eastAsia="Arial" w:hAnsi="Arial"/>
                <w:sz w:val="15"/>
                <w:szCs w:val="15"/>
                <w:b w:val="1"/>
                <w:bCs w:val="1"/>
                <w:color w:val="auto"/>
              </w:rPr>
              <w:t>Col 2</w:t>
            </w: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Col 3</w:t>
            </w: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Col 4</w:t>
            </w:r>
          </w:p>
        </w:tc>
        <w:tc>
          <w:tcPr>
            <w:tcW w:w="1180" w:type="dxa"/>
            <w:vAlign w:val="bottom"/>
            <w:tcBorders>
              <w:bottom w:val="single" w:sz="8" w:color="auto"/>
            </w:tcBorders>
            <w:gridSpan w:val="2"/>
          </w:tcPr>
          <w:p>
            <w:pPr>
              <w:ind w:left="300"/>
              <w:spacing w:after="0"/>
              <w:rPr>
                <w:sz w:val="20"/>
                <w:szCs w:val="20"/>
                <w:color w:val="auto"/>
              </w:rPr>
            </w:pPr>
            <w:r>
              <w:rPr>
                <w:rFonts w:ascii="Arial" w:cs="Arial" w:eastAsia="Arial" w:hAnsi="Arial"/>
                <w:sz w:val="15"/>
                <w:szCs w:val="15"/>
                <w:b w:val="1"/>
                <w:bCs w:val="1"/>
                <w:color w:val="auto"/>
              </w:rPr>
              <w:t>Col 5</w:t>
            </w: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Col 6</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Col 7</w:t>
            </w:r>
          </w:p>
        </w:tc>
        <w:tc>
          <w:tcPr>
            <w:tcW w:w="1100" w:type="dxa"/>
            <w:vAlign w:val="bottom"/>
            <w:tcBorders>
              <w:bottom w:val="single" w:sz="8" w:color="auto"/>
            </w:tcBorders>
          </w:tcPr>
          <w:p>
            <w:pPr>
              <w:ind w:left="380"/>
              <w:spacing w:after="0"/>
              <w:rPr>
                <w:sz w:val="20"/>
                <w:szCs w:val="20"/>
                <w:color w:val="auto"/>
              </w:rPr>
            </w:pPr>
            <w:r>
              <w:rPr>
                <w:rFonts w:ascii="Arial" w:cs="Arial" w:eastAsia="Arial" w:hAnsi="Arial"/>
                <w:sz w:val="15"/>
                <w:szCs w:val="15"/>
                <w:b w:val="1"/>
                <w:bCs w:val="1"/>
                <w:color w:val="auto"/>
              </w:rPr>
              <w:t>Col 8</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Col 9</w:t>
            </w:r>
          </w:p>
        </w:tc>
        <w:tc>
          <w:tcPr>
            <w:tcW w:w="0" w:type="dxa"/>
            <w:vAlign w:val="bottom"/>
          </w:tcPr>
          <w:p>
            <w:pPr>
              <w:spacing w:after="0"/>
              <w:rPr>
                <w:sz w:val="1"/>
                <w:szCs w:val="1"/>
                <w:color w:val="auto"/>
              </w:rPr>
            </w:pPr>
          </w:p>
        </w:tc>
      </w:tr>
      <w:tr>
        <w:trPr>
          <w:trHeight w:val="136"/>
        </w:trPr>
        <w:tc>
          <w:tcPr>
            <w:tcW w:w="148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gridSpan w:val="3"/>
            <w:vMerge w:val="restart"/>
          </w:tcPr>
          <w:p>
            <w:pPr>
              <w:ind w:left="480"/>
              <w:spacing w:after="0"/>
              <w:rPr>
                <w:sz w:val="20"/>
                <w:szCs w:val="20"/>
                <w:color w:val="auto"/>
              </w:rPr>
            </w:pPr>
            <w:r>
              <w:rPr>
                <w:rFonts w:ascii="Arial" w:cs="Arial" w:eastAsia="Arial" w:hAnsi="Arial"/>
                <w:sz w:val="17"/>
                <w:szCs w:val="17"/>
                <w:b w:val="1"/>
                <w:bCs w:val="1"/>
                <w:color w:val="auto"/>
              </w:rPr>
              <w:t>Bear - Energy</w:t>
            </w:r>
          </w:p>
        </w:tc>
        <w:tc>
          <w:tcPr>
            <w:tcW w:w="260" w:type="dxa"/>
            <w:vAlign w:val="bottom"/>
          </w:tcPr>
          <w:p>
            <w:pPr>
              <w:spacing w:after="0"/>
              <w:rPr>
                <w:sz w:val="11"/>
                <w:szCs w:val="11"/>
                <w:color w:val="auto"/>
              </w:rPr>
            </w:pPr>
          </w:p>
        </w:tc>
        <w:tc>
          <w:tcPr>
            <w:tcW w:w="2060" w:type="dxa"/>
            <w:vAlign w:val="bottom"/>
            <w:gridSpan w:val="3"/>
            <w:vMerge w:val="restart"/>
          </w:tcPr>
          <w:p>
            <w:pPr>
              <w:ind w:left="500"/>
              <w:spacing w:after="0"/>
              <w:rPr>
                <w:sz w:val="20"/>
                <w:szCs w:val="20"/>
                <w:color w:val="auto"/>
              </w:rPr>
            </w:pPr>
            <w:r>
              <w:rPr>
                <w:rFonts w:ascii="Arial" w:cs="Arial" w:eastAsia="Arial" w:hAnsi="Arial"/>
                <w:sz w:val="17"/>
                <w:szCs w:val="17"/>
                <w:b w:val="1"/>
                <w:bCs w:val="1"/>
                <w:color w:val="auto"/>
                <w:w w:val="90"/>
              </w:rPr>
              <w:t>CalPeak - Generation</w:t>
            </w:r>
          </w:p>
        </w:tc>
        <w:tc>
          <w:tcPr>
            <w:tcW w:w="820" w:type="dxa"/>
            <w:vAlign w:val="bottom"/>
            <w:tcBorders>
              <w:right w:val="single" w:sz="8" w:color="auto"/>
            </w:tcBorders>
          </w:tcPr>
          <w:p>
            <w:pPr>
              <w:spacing w:after="0"/>
              <w:rPr>
                <w:sz w:val="11"/>
                <w:szCs w:val="11"/>
                <w:color w:val="auto"/>
              </w:rPr>
            </w:pPr>
          </w:p>
        </w:tc>
        <w:tc>
          <w:tcPr>
            <w:tcW w:w="2180" w:type="dxa"/>
            <w:vAlign w:val="bottom"/>
            <w:tcBorders>
              <w:right w:val="single" w:sz="8" w:color="auto"/>
            </w:tcBorders>
            <w:gridSpan w:val="2"/>
            <w:vMerge w:val="restart"/>
          </w:tcPr>
          <w:p>
            <w:pPr>
              <w:ind w:left="620"/>
              <w:spacing w:after="0"/>
              <w:rPr>
                <w:sz w:val="20"/>
                <w:szCs w:val="20"/>
                <w:color w:val="auto"/>
              </w:rPr>
            </w:pPr>
            <w:r>
              <w:rPr>
                <w:rFonts w:ascii="Arial" w:cs="Arial" w:eastAsia="Arial" w:hAnsi="Arial"/>
                <w:sz w:val="17"/>
                <w:szCs w:val="17"/>
                <w:b w:val="1"/>
                <w:bCs w:val="1"/>
                <w:color w:val="auto"/>
              </w:rPr>
              <w:t>Shell - Wind</w:t>
            </w:r>
          </w:p>
        </w:tc>
        <w:tc>
          <w:tcPr>
            <w:tcW w:w="15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Sunrise</w:t>
            </w:r>
          </w:p>
        </w:tc>
        <w:tc>
          <w:tcPr>
            <w:tcW w:w="0" w:type="dxa"/>
            <w:vAlign w:val="bottom"/>
          </w:tcPr>
          <w:p>
            <w:pPr>
              <w:spacing w:after="0"/>
              <w:rPr>
                <w:sz w:val="1"/>
                <w:szCs w:val="1"/>
                <w:color w:val="auto"/>
              </w:rPr>
            </w:pPr>
          </w:p>
        </w:tc>
      </w:tr>
      <w:tr>
        <w:trPr>
          <w:trHeight w:val="131"/>
        </w:trPr>
        <w:tc>
          <w:tcPr>
            <w:tcW w:w="148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2180" w:type="dxa"/>
            <w:vAlign w:val="bottom"/>
            <w:tcBorders>
              <w:right w:val="single" w:sz="8" w:color="auto"/>
            </w:tcBorders>
            <w:gridSpan w:val="2"/>
            <w:vMerge w:val="continue"/>
          </w:tcPr>
          <w:p>
            <w:pPr>
              <w:spacing w:after="0"/>
              <w:rPr>
                <w:sz w:val="11"/>
                <w:szCs w:val="11"/>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6"/>
              </w:rPr>
              <w:t>OMAR Data</w:t>
            </w:r>
          </w:p>
        </w:tc>
        <w:tc>
          <w:tcPr>
            <w:tcW w:w="0" w:type="dxa"/>
            <w:vAlign w:val="bottom"/>
          </w:tcPr>
          <w:p>
            <w:pPr>
              <w:spacing w:after="0"/>
              <w:rPr>
                <w:sz w:val="1"/>
                <w:szCs w:val="1"/>
                <w:color w:val="auto"/>
              </w:rPr>
            </w:pPr>
          </w:p>
        </w:tc>
      </w:tr>
      <w:tr>
        <w:trPr>
          <w:trHeight w:val="116"/>
        </w:trPr>
        <w:tc>
          <w:tcPr>
            <w:tcW w:w="1480" w:type="dxa"/>
            <w:vAlign w:val="bottom"/>
            <w:tcBorders>
              <w:right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48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tcPr>
          <w:p>
            <w:pPr>
              <w:jc w:val="center"/>
              <w:ind w:right="11"/>
              <w:spacing w:after="0" w:line="112" w:lineRule="exact"/>
              <w:rPr>
                <w:sz w:val="20"/>
                <w:szCs w:val="20"/>
                <w:color w:val="auto"/>
              </w:rPr>
            </w:pPr>
            <w:r>
              <w:rPr>
                <w:rFonts w:ascii="Arial" w:cs="Arial" w:eastAsia="Arial" w:hAnsi="Arial"/>
                <w:sz w:val="11"/>
                <w:szCs w:val="11"/>
                <w:b w:val="1"/>
                <w:bCs w:val="1"/>
                <w:color w:val="auto"/>
              </w:rPr>
              <w:t>Estimated</w:t>
            </w:r>
          </w:p>
        </w:tc>
        <w:tc>
          <w:tcPr>
            <w:tcW w:w="1000" w:type="dxa"/>
            <w:vAlign w:val="bottom"/>
            <w:tcBorders>
              <w:right w:val="single" w:sz="8" w:color="auto"/>
            </w:tcBorders>
            <w:vMerge w:val="restart"/>
          </w:tcPr>
          <w:p>
            <w:pPr>
              <w:ind w:left="280"/>
              <w:spacing w:after="0"/>
              <w:rPr>
                <w:sz w:val="20"/>
                <w:szCs w:val="20"/>
                <w:color w:val="auto"/>
              </w:rPr>
            </w:pPr>
            <w:r>
              <w:rPr>
                <w:rFonts w:ascii="Arial" w:cs="Arial" w:eastAsia="Arial" w:hAnsi="Arial"/>
                <w:sz w:val="14"/>
                <w:szCs w:val="14"/>
                <w:b w:val="1"/>
                <w:bCs w:val="1"/>
                <w:color w:val="auto"/>
              </w:rPr>
              <w:t>Bear B</w:t>
            </w:r>
          </w:p>
        </w:tc>
        <w:tc>
          <w:tcPr>
            <w:tcW w:w="220" w:type="dxa"/>
            <w:vAlign w:val="bottom"/>
          </w:tcPr>
          <w:p>
            <w:pPr>
              <w:spacing w:after="0"/>
              <w:rPr>
                <w:sz w:val="9"/>
                <w:szCs w:val="9"/>
                <w:color w:val="auto"/>
              </w:rPr>
            </w:pPr>
          </w:p>
        </w:tc>
        <w:tc>
          <w:tcPr>
            <w:tcW w:w="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Bear C</w:t>
            </w:r>
          </w:p>
        </w:tc>
        <w:tc>
          <w:tcPr>
            <w:tcW w:w="260" w:type="dxa"/>
            <w:vAlign w:val="bottom"/>
          </w:tcPr>
          <w:p>
            <w:pPr>
              <w:spacing w:after="0"/>
              <w:rPr>
                <w:sz w:val="9"/>
                <w:szCs w:val="9"/>
                <w:color w:val="auto"/>
              </w:rPr>
            </w:pPr>
          </w:p>
        </w:tc>
        <w:tc>
          <w:tcPr>
            <w:tcW w:w="8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Border</w:t>
            </w:r>
          </w:p>
        </w:tc>
        <w:tc>
          <w:tcPr>
            <w:tcW w:w="1000" w:type="dxa"/>
            <w:vAlign w:val="bottom"/>
            <w:tcBorders>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Enterprise</w:t>
            </w:r>
          </w:p>
        </w:tc>
        <w:tc>
          <w:tcPr>
            <w:tcW w:w="180" w:type="dxa"/>
            <w:vAlign w:val="bottom"/>
          </w:tcPr>
          <w:p>
            <w:pPr>
              <w:spacing w:after="0"/>
              <w:rPr>
                <w:sz w:val="9"/>
                <w:szCs w:val="9"/>
                <w:color w:val="auto"/>
              </w:rPr>
            </w:pPr>
          </w:p>
        </w:tc>
        <w:tc>
          <w:tcPr>
            <w:tcW w:w="8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El Cajon</w:t>
            </w:r>
          </w:p>
        </w:tc>
        <w:tc>
          <w:tcPr>
            <w:tcW w:w="108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1"/>
                <w:szCs w:val="11"/>
                <w:b w:val="1"/>
                <w:bCs w:val="1"/>
                <w:color w:val="auto"/>
              </w:rPr>
              <w:t>Whitewater</w:t>
            </w:r>
          </w:p>
        </w:tc>
        <w:tc>
          <w:tcPr>
            <w:tcW w:w="1100" w:type="dxa"/>
            <w:vAlign w:val="bottom"/>
            <w:tcBorders>
              <w:right w:val="single" w:sz="8" w:color="auto"/>
            </w:tcBorders>
          </w:tcPr>
          <w:p>
            <w:pPr>
              <w:ind w:left="180"/>
              <w:spacing w:after="0" w:line="112" w:lineRule="exact"/>
              <w:rPr>
                <w:sz w:val="20"/>
                <w:szCs w:val="20"/>
                <w:color w:val="auto"/>
              </w:rPr>
            </w:pPr>
            <w:r>
              <w:rPr>
                <w:rFonts w:ascii="Arial" w:cs="Arial" w:eastAsia="Arial" w:hAnsi="Arial"/>
                <w:sz w:val="11"/>
                <w:szCs w:val="11"/>
                <w:b w:val="1"/>
                <w:bCs w:val="1"/>
                <w:color w:val="auto"/>
              </w:rPr>
              <w:t>Whitewater</w:t>
            </w:r>
          </w:p>
        </w:tc>
        <w:tc>
          <w:tcPr>
            <w:tcW w:w="158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1"/>
                <w:szCs w:val="11"/>
                <w:b w:val="1"/>
                <w:bCs w:val="1"/>
                <w:color w:val="auto"/>
              </w:rPr>
              <w:t>SUNRIS2PL1X3</w:t>
            </w:r>
          </w:p>
        </w:tc>
        <w:tc>
          <w:tcPr>
            <w:tcW w:w="0" w:type="dxa"/>
            <w:vAlign w:val="bottom"/>
          </w:tcPr>
          <w:p>
            <w:pPr>
              <w:spacing w:after="0"/>
              <w:rPr>
                <w:sz w:val="1"/>
                <w:szCs w:val="1"/>
                <w:color w:val="auto"/>
              </w:rPr>
            </w:pPr>
          </w:p>
        </w:tc>
      </w:tr>
      <w:tr>
        <w:trPr>
          <w:trHeight w:val="96"/>
        </w:trPr>
        <w:tc>
          <w:tcPr>
            <w:tcW w:w="1480" w:type="dxa"/>
            <w:vAlign w:val="bottom"/>
            <w:tcBorders>
              <w:right w:val="single" w:sz="8" w:color="auto"/>
            </w:tcBorders>
            <w:vMerge w:val="restart"/>
          </w:tcPr>
          <w:p>
            <w:pPr>
              <w:jc w:val="right"/>
              <w:ind w:right="311"/>
              <w:spacing w:after="0"/>
              <w:rPr>
                <w:sz w:val="20"/>
                <w:szCs w:val="20"/>
                <w:color w:val="auto"/>
              </w:rPr>
            </w:pPr>
            <w:r>
              <w:rPr>
                <w:rFonts w:ascii="Arial" w:cs="Arial" w:eastAsia="Arial" w:hAnsi="Arial"/>
                <w:sz w:val="14"/>
                <w:szCs w:val="14"/>
                <w:b w:val="1"/>
                <w:bCs w:val="1"/>
                <w:color w:val="auto"/>
              </w:rPr>
              <w:t>Hour Ending</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Load</w:t>
            </w:r>
          </w:p>
        </w:tc>
        <w:tc>
          <w:tcPr>
            <w:tcW w:w="1000" w:type="dxa"/>
            <w:vAlign w:val="bottom"/>
            <w:tcBorders>
              <w:right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Hill</w:t>
            </w:r>
          </w:p>
        </w:tc>
        <w:tc>
          <w:tcPr>
            <w:tcW w:w="1100" w:type="dxa"/>
            <w:vAlign w:val="bottom"/>
            <w:tcBorders>
              <w:right w:val="single" w:sz="8" w:color="auto"/>
            </w:tcBorders>
            <w:vMerge w:val="restart"/>
          </w:tcPr>
          <w:p>
            <w:pPr>
              <w:ind w:left="280"/>
              <w:spacing w:after="0"/>
              <w:rPr>
                <w:sz w:val="20"/>
                <w:szCs w:val="20"/>
                <w:color w:val="auto"/>
              </w:rPr>
            </w:pPr>
            <w:r>
              <w:rPr>
                <w:rFonts w:ascii="Arial" w:cs="Arial" w:eastAsia="Arial" w:hAnsi="Arial"/>
                <w:sz w:val="14"/>
                <w:szCs w:val="14"/>
                <w:b w:val="1"/>
                <w:bCs w:val="1"/>
                <w:color w:val="auto"/>
              </w:rPr>
              <w:t>Cabazon</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Generation</w:t>
            </w:r>
          </w:p>
        </w:tc>
        <w:tc>
          <w:tcPr>
            <w:tcW w:w="0" w:type="dxa"/>
            <w:vAlign w:val="bottom"/>
          </w:tcPr>
          <w:p>
            <w:pPr>
              <w:spacing w:after="0"/>
              <w:rPr>
                <w:sz w:val="1"/>
                <w:szCs w:val="1"/>
                <w:color w:val="auto"/>
              </w:rPr>
            </w:pPr>
          </w:p>
        </w:tc>
      </w:tr>
      <w:tr>
        <w:trPr>
          <w:trHeight w:val="110"/>
        </w:trPr>
        <w:tc>
          <w:tcPr>
            <w:tcW w:w="1480" w:type="dxa"/>
            <w:vAlign w:val="bottom"/>
            <w:tcBorders>
              <w:bottom w:val="single" w:sz="8" w:color="auto"/>
              <w:right w:val="single" w:sz="8" w:color="auto"/>
            </w:tcBorders>
            <w:vMerge w:val="continue"/>
          </w:tcPr>
          <w:p>
            <w:pPr>
              <w:spacing w:after="0"/>
              <w:rPr>
                <w:sz w:val="9"/>
                <w:szCs w:val="9"/>
                <w:color w:val="auto"/>
              </w:rPr>
            </w:pPr>
          </w:p>
        </w:tc>
        <w:tc>
          <w:tcPr>
            <w:tcW w:w="1040" w:type="dxa"/>
            <w:vAlign w:val="bottom"/>
            <w:tcBorders>
              <w:bottom w:val="single" w:sz="8" w:color="auto"/>
              <w:right w:val="single" w:sz="8" w:color="auto"/>
            </w:tcBorders>
            <w:vMerge w:val="continue"/>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1080" w:type="dxa"/>
            <w:vAlign w:val="bottom"/>
            <w:tcBorders>
              <w:bottom w:val="single" w:sz="8" w:color="auto"/>
              <w:right w:val="single" w:sz="8" w:color="auto"/>
            </w:tcBorders>
            <w:vMerge w:val="continue"/>
          </w:tcPr>
          <w:p>
            <w:pPr>
              <w:spacing w:after="0"/>
              <w:rPr>
                <w:sz w:val="9"/>
                <w:szCs w:val="9"/>
                <w:color w:val="auto"/>
              </w:rPr>
            </w:pPr>
          </w:p>
        </w:tc>
        <w:tc>
          <w:tcPr>
            <w:tcW w:w="1100" w:type="dxa"/>
            <w:vAlign w:val="bottom"/>
            <w:tcBorders>
              <w:bottom w:val="single" w:sz="8" w:color="auto"/>
              <w:right w:val="single" w:sz="8" w:color="auto"/>
            </w:tcBorders>
            <w:vMerge w:val="continue"/>
          </w:tcPr>
          <w:p>
            <w:pPr>
              <w:spacing w:after="0"/>
              <w:rPr>
                <w:sz w:val="9"/>
                <w:szCs w:val="9"/>
                <w:color w:val="auto"/>
              </w:rPr>
            </w:pPr>
          </w:p>
        </w:tc>
        <w:tc>
          <w:tcPr>
            <w:tcW w:w="15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480" w:type="dxa"/>
            <w:vAlign w:val="bottom"/>
            <w:tcBorders>
              <w:right w:val="single" w:sz="8" w:color="auto"/>
            </w:tcBorders>
          </w:tcPr>
          <w:p>
            <w:pPr>
              <w:jc w:val="right"/>
              <w:ind w:right="71"/>
              <w:spacing w:after="0" w:line="130" w:lineRule="exact"/>
              <w:rPr>
                <w:sz w:val="20"/>
                <w:szCs w:val="20"/>
                <w:color w:val="auto"/>
              </w:rPr>
            </w:pPr>
            <w:r>
              <w:rPr>
                <w:rFonts w:ascii="Arial" w:cs="Arial" w:eastAsia="Arial" w:hAnsi="Arial"/>
                <w:sz w:val="14"/>
                <w:szCs w:val="14"/>
                <w:color w:val="auto"/>
              </w:rPr>
              <w:t>1</w:t>
            </w:r>
          </w:p>
        </w:tc>
        <w:tc>
          <w:tcPr>
            <w:tcW w:w="1040" w:type="dxa"/>
            <w:vAlign w:val="bottom"/>
            <w:tcBorders>
              <w:right w:val="single" w:sz="8" w:color="auto"/>
            </w:tcBorders>
          </w:tcPr>
          <w:p>
            <w:pPr>
              <w:ind w:left="300"/>
              <w:spacing w:after="0" w:line="130" w:lineRule="exact"/>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60"/>
              <w:spacing w:after="0" w:line="130" w:lineRule="exact"/>
              <w:rPr>
                <w:sz w:val="20"/>
                <w:szCs w:val="20"/>
                <w:color w:val="auto"/>
              </w:rPr>
            </w:pPr>
            <w:r>
              <w:rPr>
                <w:rFonts w:ascii="Arial" w:cs="Arial" w:eastAsia="Arial" w:hAnsi="Arial"/>
                <w:sz w:val="14"/>
                <w:szCs w:val="14"/>
                <w:color w:val="auto"/>
              </w:rPr>
              <w:t>xxx,xxx.xx</w:t>
            </w:r>
          </w:p>
        </w:tc>
        <w:tc>
          <w:tcPr>
            <w:tcW w:w="220" w:type="dxa"/>
            <w:vAlign w:val="bottom"/>
          </w:tcPr>
          <w:p>
            <w:pPr>
              <w:spacing w:after="0"/>
              <w:rPr>
                <w:sz w:val="11"/>
                <w:szCs w:val="11"/>
                <w:color w:val="auto"/>
              </w:rPr>
            </w:pPr>
          </w:p>
        </w:tc>
        <w:tc>
          <w:tcPr>
            <w:tcW w:w="840" w:type="dxa"/>
            <w:vAlign w:val="bottom"/>
            <w:tcBorders>
              <w:right w:val="single" w:sz="8" w:color="auto"/>
            </w:tcBorders>
          </w:tcPr>
          <w:p>
            <w:pPr>
              <w:ind w:left="40"/>
              <w:spacing w:after="0" w:line="130" w:lineRule="exact"/>
              <w:rPr>
                <w:sz w:val="20"/>
                <w:szCs w:val="20"/>
                <w:color w:val="auto"/>
              </w:rPr>
            </w:pPr>
            <w:r>
              <w:rPr>
                <w:rFonts w:ascii="Arial" w:cs="Arial" w:eastAsia="Arial" w:hAnsi="Arial"/>
                <w:sz w:val="14"/>
                <w:szCs w:val="14"/>
                <w:color w:val="auto"/>
              </w:rPr>
              <w:t>xxx,xxx.xx</w:t>
            </w:r>
          </w:p>
        </w:tc>
        <w:tc>
          <w:tcPr>
            <w:tcW w:w="260" w:type="dxa"/>
            <w:vAlign w:val="bottom"/>
          </w:tcPr>
          <w:p>
            <w:pPr>
              <w:spacing w:after="0"/>
              <w:rPr>
                <w:sz w:val="11"/>
                <w:szCs w:val="11"/>
                <w:color w:val="auto"/>
              </w:rPr>
            </w:pPr>
          </w:p>
        </w:tc>
        <w:tc>
          <w:tcPr>
            <w:tcW w:w="880" w:type="dxa"/>
            <w:vAlign w:val="bottom"/>
            <w:tcBorders>
              <w:right w:val="single" w:sz="8" w:color="auto"/>
            </w:tcBorders>
          </w:tcPr>
          <w:p>
            <w:pPr>
              <w:ind w:left="120"/>
              <w:spacing w:after="0" w:line="130" w:lineRule="exact"/>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xxx,xxx.xx</w:t>
            </w:r>
          </w:p>
        </w:tc>
        <w:tc>
          <w:tcPr>
            <w:tcW w:w="180" w:type="dxa"/>
            <w:vAlign w:val="bottom"/>
          </w:tcPr>
          <w:p>
            <w:pPr>
              <w:spacing w:after="0"/>
              <w:rPr>
                <w:sz w:val="11"/>
                <w:szCs w:val="11"/>
                <w:color w:val="auto"/>
              </w:rPr>
            </w:pPr>
          </w:p>
        </w:tc>
        <w:tc>
          <w:tcPr>
            <w:tcW w:w="82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4"/>
                <w:szCs w:val="14"/>
                <w:color w:val="auto"/>
              </w:rPr>
              <w:t>xxx,xxx.xx</w:t>
            </w:r>
          </w:p>
        </w:tc>
        <w:tc>
          <w:tcPr>
            <w:tcW w:w="1080" w:type="dxa"/>
            <w:vAlign w:val="bottom"/>
            <w:tcBorders>
              <w:right w:val="single" w:sz="8" w:color="auto"/>
            </w:tcBorders>
          </w:tcPr>
          <w:p>
            <w:pPr>
              <w:ind w:left="340"/>
              <w:spacing w:after="0" w:line="130" w:lineRule="exact"/>
              <w:rPr>
                <w:sz w:val="20"/>
                <w:szCs w:val="20"/>
                <w:color w:val="auto"/>
              </w:rPr>
            </w:pPr>
            <w:r>
              <w:rPr>
                <w:rFonts w:ascii="Arial" w:cs="Arial" w:eastAsia="Arial" w:hAnsi="Arial"/>
                <w:sz w:val="14"/>
                <w:szCs w:val="14"/>
                <w:color w:val="auto"/>
              </w:rPr>
              <w:t>xxx,xxx.xx</w:t>
            </w:r>
          </w:p>
        </w:tc>
        <w:tc>
          <w:tcPr>
            <w:tcW w:w="1100" w:type="dxa"/>
            <w:vAlign w:val="bottom"/>
            <w:tcBorders>
              <w:right w:val="single" w:sz="8" w:color="auto"/>
            </w:tcBorders>
          </w:tcPr>
          <w:p>
            <w:pPr>
              <w:ind w:left="340"/>
              <w:spacing w:after="0" w:line="130" w:lineRule="exact"/>
              <w:rPr>
                <w:sz w:val="20"/>
                <w:szCs w:val="20"/>
                <w:color w:val="auto"/>
              </w:rPr>
            </w:pPr>
            <w:r>
              <w:rPr>
                <w:rFonts w:ascii="Arial" w:cs="Arial" w:eastAsia="Arial" w:hAnsi="Arial"/>
                <w:sz w:val="14"/>
                <w:szCs w:val="14"/>
                <w:color w:val="auto"/>
              </w:rPr>
              <w:t>xxx,xxx.xx</w:t>
            </w:r>
          </w:p>
        </w:tc>
        <w:tc>
          <w:tcPr>
            <w:tcW w:w="1580" w:type="dxa"/>
            <w:vAlign w:val="bottom"/>
            <w:tcBorders>
              <w:right w:val="single" w:sz="8" w:color="auto"/>
            </w:tcBorders>
          </w:tcPr>
          <w:p>
            <w:pPr>
              <w:ind w:left="840"/>
              <w:spacing w:after="0" w:line="130" w:lineRule="exact"/>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65"/>
        </w:trPr>
        <w:tc>
          <w:tcPr>
            <w:tcW w:w="14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2</w:t>
            </w:r>
          </w:p>
        </w:tc>
        <w:tc>
          <w:tcPr>
            <w:tcW w:w="104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xxx,xxx.xx</w:t>
            </w:r>
          </w:p>
        </w:tc>
        <w:tc>
          <w:tcPr>
            <w:tcW w:w="220" w:type="dxa"/>
            <w:vAlign w:val="bottom"/>
          </w:tcPr>
          <w:p>
            <w:pPr>
              <w:spacing w:after="0"/>
              <w:rPr>
                <w:sz w:val="14"/>
                <w:szCs w:val="14"/>
                <w:color w:val="auto"/>
              </w:rPr>
            </w:pP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xxx,xxx.xx</w:t>
            </w:r>
          </w:p>
        </w:tc>
        <w:tc>
          <w:tcPr>
            <w:tcW w:w="260" w:type="dxa"/>
            <w:vAlign w:val="bottom"/>
          </w:tcPr>
          <w:p>
            <w:pPr>
              <w:spacing w:after="0"/>
              <w:rPr>
                <w:sz w:val="14"/>
                <w:szCs w:val="14"/>
                <w:color w:val="auto"/>
              </w:rPr>
            </w:pP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xxx,xxx.xx</w:t>
            </w:r>
          </w:p>
        </w:tc>
        <w:tc>
          <w:tcPr>
            <w:tcW w:w="180" w:type="dxa"/>
            <w:vAlign w:val="bottom"/>
          </w:tcPr>
          <w:p>
            <w:pPr>
              <w:spacing w:after="0"/>
              <w:rPr>
                <w:sz w:val="14"/>
                <w:szCs w:val="14"/>
                <w:color w:val="auto"/>
              </w:rPr>
            </w:pPr>
          </w:p>
        </w:tc>
        <w:tc>
          <w:tcPr>
            <w:tcW w:w="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xxx,xxx.xx</w:t>
            </w:r>
          </w:p>
        </w:tc>
        <w:tc>
          <w:tcPr>
            <w:tcW w:w="10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1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580" w:type="dxa"/>
            <w:vAlign w:val="bottom"/>
            <w:tcBorders>
              <w:right w:val="single" w:sz="8" w:color="auto"/>
            </w:tcBorders>
          </w:tcPr>
          <w:p>
            <w:pPr>
              <w:ind w:left="84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65"/>
        </w:trPr>
        <w:tc>
          <w:tcPr>
            <w:tcW w:w="14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3</w:t>
            </w:r>
          </w:p>
        </w:tc>
        <w:tc>
          <w:tcPr>
            <w:tcW w:w="104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xxx,xxx.xx</w:t>
            </w:r>
          </w:p>
        </w:tc>
        <w:tc>
          <w:tcPr>
            <w:tcW w:w="220" w:type="dxa"/>
            <w:vAlign w:val="bottom"/>
          </w:tcPr>
          <w:p>
            <w:pPr>
              <w:spacing w:after="0"/>
              <w:rPr>
                <w:sz w:val="14"/>
                <w:szCs w:val="14"/>
                <w:color w:val="auto"/>
              </w:rPr>
            </w:pP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xxx,xxx.xx</w:t>
            </w:r>
          </w:p>
        </w:tc>
        <w:tc>
          <w:tcPr>
            <w:tcW w:w="260" w:type="dxa"/>
            <w:vAlign w:val="bottom"/>
          </w:tcPr>
          <w:p>
            <w:pPr>
              <w:spacing w:after="0"/>
              <w:rPr>
                <w:sz w:val="14"/>
                <w:szCs w:val="14"/>
                <w:color w:val="auto"/>
              </w:rPr>
            </w:pP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xxx,xxx.xx</w:t>
            </w:r>
          </w:p>
        </w:tc>
        <w:tc>
          <w:tcPr>
            <w:tcW w:w="180" w:type="dxa"/>
            <w:vAlign w:val="bottom"/>
          </w:tcPr>
          <w:p>
            <w:pPr>
              <w:spacing w:after="0"/>
              <w:rPr>
                <w:sz w:val="14"/>
                <w:szCs w:val="14"/>
                <w:color w:val="auto"/>
              </w:rPr>
            </w:pPr>
          </w:p>
        </w:tc>
        <w:tc>
          <w:tcPr>
            <w:tcW w:w="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xxx,xxx.xx</w:t>
            </w:r>
          </w:p>
        </w:tc>
        <w:tc>
          <w:tcPr>
            <w:tcW w:w="10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1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580" w:type="dxa"/>
            <w:vAlign w:val="bottom"/>
            <w:tcBorders>
              <w:right w:val="single" w:sz="8" w:color="auto"/>
            </w:tcBorders>
          </w:tcPr>
          <w:p>
            <w:pPr>
              <w:ind w:left="84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65"/>
        </w:trPr>
        <w:tc>
          <w:tcPr>
            <w:tcW w:w="14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4</w:t>
            </w:r>
          </w:p>
        </w:tc>
        <w:tc>
          <w:tcPr>
            <w:tcW w:w="104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xxx,xxx.xx</w:t>
            </w:r>
          </w:p>
        </w:tc>
        <w:tc>
          <w:tcPr>
            <w:tcW w:w="220" w:type="dxa"/>
            <w:vAlign w:val="bottom"/>
          </w:tcPr>
          <w:p>
            <w:pPr>
              <w:spacing w:after="0"/>
              <w:rPr>
                <w:sz w:val="14"/>
                <w:szCs w:val="14"/>
                <w:color w:val="auto"/>
              </w:rPr>
            </w:pP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xxx,xxx.xx</w:t>
            </w:r>
          </w:p>
        </w:tc>
        <w:tc>
          <w:tcPr>
            <w:tcW w:w="260" w:type="dxa"/>
            <w:vAlign w:val="bottom"/>
          </w:tcPr>
          <w:p>
            <w:pPr>
              <w:spacing w:after="0"/>
              <w:rPr>
                <w:sz w:val="14"/>
                <w:szCs w:val="14"/>
                <w:color w:val="auto"/>
              </w:rPr>
            </w:pP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xxx,xxx.xx</w:t>
            </w:r>
          </w:p>
        </w:tc>
        <w:tc>
          <w:tcPr>
            <w:tcW w:w="180" w:type="dxa"/>
            <w:vAlign w:val="bottom"/>
          </w:tcPr>
          <w:p>
            <w:pPr>
              <w:spacing w:after="0"/>
              <w:rPr>
                <w:sz w:val="14"/>
                <w:szCs w:val="14"/>
                <w:color w:val="auto"/>
              </w:rPr>
            </w:pPr>
          </w:p>
        </w:tc>
        <w:tc>
          <w:tcPr>
            <w:tcW w:w="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xxx,xxx.xx</w:t>
            </w:r>
          </w:p>
        </w:tc>
        <w:tc>
          <w:tcPr>
            <w:tcW w:w="10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1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580" w:type="dxa"/>
            <w:vAlign w:val="bottom"/>
            <w:tcBorders>
              <w:right w:val="single" w:sz="8" w:color="auto"/>
            </w:tcBorders>
          </w:tcPr>
          <w:p>
            <w:pPr>
              <w:ind w:left="84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65"/>
        </w:trPr>
        <w:tc>
          <w:tcPr>
            <w:tcW w:w="14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5</w:t>
            </w:r>
          </w:p>
        </w:tc>
        <w:tc>
          <w:tcPr>
            <w:tcW w:w="104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xxx,xxx.xx</w:t>
            </w:r>
          </w:p>
        </w:tc>
        <w:tc>
          <w:tcPr>
            <w:tcW w:w="220" w:type="dxa"/>
            <w:vAlign w:val="bottom"/>
          </w:tcPr>
          <w:p>
            <w:pPr>
              <w:spacing w:after="0"/>
              <w:rPr>
                <w:sz w:val="14"/>
                <w:szCs w:val="14"/>
                <w:color w:val="auto"/>
              </w:rPr>
            </w:pP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xxx,xxx.xx</w:t>
            </w:r>
          </w:p>
        </w:tc>
        <w:tc>
          <w:tcPr>
            <w:tcW w:w="260" w:type="dxa"/>
            <w:vAlign w:val="bottom"/>
          </w:tcPr>
          <w:p>
            <w:pPr>
              <w:spacing w:after="0"/>
              <w:rPr>
                <w:sz w:val="14"/>
                <w:szCs w:val="14"/>
                <w:color w:val="auto"/>
              </w:rPr>
            </w:pP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xxx,xxx.xx</w:t>
            </w:r>
          </w:p>
        </w:tc>
        <w:tc>
          <w:tcPr>
            <w:tcW w:w="180" w:type="dxa"/>
            <w:vAlign w:val="bottom"/>
          </w:tcPr>
          <w:p>
            <w:pPr>
              <w:spacing w:after="0"/>
              <w:rPr>
                <w:sz w:val="14"/>
                <w:szCs w:val="14"/>
                <w:color w:val="auto"/>
              </w:rPr>
            </w:pPr>
          </w:p>
        </w:tc>
        <w:tc>
          <w:tcPr>
            <w:tcW w:w="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xxx,xxx.xx</w:t>
            </w:r>
          </w:p>
        </w:tc>
        <w:tc>
          <w:tcPr>
            <w:tcW w:w="10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1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580" w:type="dxa"/>
            <w:vAlign w:val="bottom"/>
            <w:tcBorders>
              <w:right w:val="single" w:sz="8" w:color="auto"/>
            </w:tcBorders>
          </w:tcPr>
          <w:p>
            <w:pPr>
              <w:ind w:left="84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65"/>
        </w:trPr>
        <w:tc>
          <w:tcPr>
            <w:tcW w:w="14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6</w:t>
            </w:r>
          </w:p>
        </w:tc>
        <w:tc>
          <w:tcPr>
            <w:tcW w:w="104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xxx,xxx.xx</w:t>
            </w:r>
          </w:p>
        </w:tc>
        <w:tc>
          <w:tcPr>
            <w:tcW w:w="220" w:type="dxa"/>
            <w:vAlign w:val="bottom"/>
          </w:tcPr>
          <w:p>
            <w:pPr>
              <w:spacing w:after="0"/>
              <w:rPr>
                <w:sz w:val="14"/>
                <w:szCs w:val="14"/>
                <w:color w:val="auto"/>
              </w:rPr>
            </w:pP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xxx,xxx.xx</w:t>
            </w:r>
          </w:p>
        </w:tc>
        <w:tc>
          <w:tcPr>
            <w:tcW w:w="260" w:type="dxa"/>
            <w:vAlign w:val="bottom"/>
          </w:tcPr>
          <w:p>
            <w:pPr>
              <w:spacing w:after="0"/>
              <w:rPr>
                <w:sz w:val="14"/>
                <w:szCs w:val="14"/>
                <w:color w:val="auto"/>
              </w:rPr>
            </w:pP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xxx,xxx.xx</w:t>
            </w:r>
          </w:p>
        </w:tc>
        <w:tc>
          <w:tcPr>
            <w:tcW w:w="180" w:type="dxa"/>
            <w:vAlign w:val="bottom"/>
          </w:tcPr>
          <w:p>
            <w:pPr>
              <w:spacing w:after="0"/>
              <w:rPr>
                <w:sz w:val="14"/>
                <w:szCs w:val="14"/>
                <w:color w:val="auto"/>
              </w:rPr>
            </w:pPr>
          </w:p>
        </w:tc>
        <w:tc>
          <w:tcPr>
            <w:tcW w:w="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xxx,xxx.xx</w:t>
            </w:r>
          </w:p>
        </w:tc>
        <w:tc>
          <w:tcPr>
            <w:tcW w:w="10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1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580" w:type="dxa"/>
            <w:vAlign w:val="bottom"/>
            <w:tcBorders>
              <w:right w:val="single" w:sz="8" w:color="auto"/>
            </w:tcBorders>
          </w:tcPr>
          <w:p>
            <w:pPr>
              <w:ind w:left="84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65"/>
        </w:trPr>
        <w:tc>
          <w:tcPr>
            <w:tcW w:w="14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7</w:t>
            </w:r>
          </w:p>
        </w:tc>
        <w:tc>
          <w:tcPr>
            <w:tcW w:w="104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xxx,xxx.xx</w:t>
            </w:r>
          </w:p>
        </w:tc>
        <w:tc>
          <w:tcPr>
            <w:tcW w:w="220" w:type="dxa"/>
            <w:vAlign w:val="bottom"/>
          </w:tcPr>
          <w:p>
            <w:pPr>
              <w:spacing w:after="0"/>
              <w:rPr>
                <w:sz w:val="14"/>
                <w:szCs w:val="14"/>
                <w:color w:val="auto"/>
              </w:rPr>
            </w:pP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xxx,xxx.xx</w:t>
            </w:r>
          </w:p>
        </w:tc>
        <w:tc>
          <w:tcPr>
            <w:tcW w:w="260" w:type="dxa"/>
            <w:vAlign w:val="bottom"/>
          </w:tcPr>
          <w:p>
            <w:pPr>
              <w:spacing w:after="0"/>
              <w:rPr>
                <w:sz w:val="14"/>
                <w:szCs w:val="14"/>
                <w:color w:val="auto"/>
              </w:rPr>
            </w:pP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xxx,xxx.xx</w:t>
            </w:r>
          </w:p>
        </w:tc>
        <w:tc>
          <w:tcPr>
            <w:tcW w:w="180" w:type="dxa"/>
            <w:vAlign w:val="bottom"/>
          </w:tcPr>
          <w:p>
            <w:pPr>
              <w:spacing w:after="0"/>
              <w:rPr>
                <w:sz w:val="14"/>
                <w:szCs w:val="14"/>
                <w:color w:val="auto"/>
              </w:rPr>
            </w:pPr>
          </w:p>
        </w:tc>
        <w:tc>
          <w:tcPr>
            <w:tcW w:w="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xxx,xxx.xx</w:t>
            </w:r>
          </w:p>
        </w:tc>
        <w:tc>
          <w:tcPr>
            <w:tcW w:w="10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1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580" w:type="dxa"/>
            <w:vAlign w:val="bottom"/>
            <w:tcBorders>
              <w:right w:val="single" w:sz="8" w:color="auto"/>
            </w:tcBorders>
          </w:tcPr>
          <w:p>
            <w:pPr>
              <w:ind w:left="84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65"/>
        </w:trPr>
        <w:tc>
          <w:tcPr>
            <w:tcW w:w="14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8</w:t>
            </w:r>
          </w:p>
        </w:tc>
        <w:tc>
          <w:tcPr>
            <w:tcW w:w="104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xxx,xxx.xx</w:t>
            </w:r>
          </w:p>
        </w:tc>
        <w:tc>
          <w:tcPr>
            <w:tcW w:w="220" w:type="dxa"/>
            <w:vAlign w:val="bottom"/>
          </w:tcPr>
          <w:p>
            <w:pPr>
              <w:spacing w:after="0"/>
              <w:rPr>
                <w:sz w:val="14"/>
                <w:szCs w:val="14"/>
                <w:color w:val="auto"/>
              </w:rPr>
            </w:pP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xxx,xxx.xx</w:t>
            </w:r>
          </w:p>
        </w:tc>
        <w:tc>
          <w:tcPr>
            <w:tcW w:w="260" w:type="dxa"/>
            <w:vAlign w:val="bottom"/>
          </w:tcPr>
          <w:p>
            <w:pPr>
              <w:spacing w:after="0"/>
              <w:rPr>
                <w:sz w:val="14"/>
                <w:szCs w:val="14"/>
                <w:color w:val="auto"/>
              </w:rPr>
            </w:pP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xxx,xxx.xx</w:t>
            </w:r>
          </w:p>
        </w:tc>
        <w:tc>
          <w:tcPr>
            <w:tcW w:w="180" w:type="dxa"/>
            <w:vAlign w:val="bottom"/>
          </w:tcPr>
          <w:p>
            <w:pPr>
              <w:spacing w:after="0"/>
              <w:rPr>
                <w:sz w:val="14"/>
                <w:szCs w:val="14"/>
                <w:color w:val="auto"/>
              </w:rPr>
            </w:pPr>
          </w:p>
        </w:tc>
        <w:tc>
          <w:tcPr>
            <w:tcW w:w="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xxx,xxx.xx</w:t>
            </w:r>
          </w:p>
        </w:tc>
        <w:tc>
          <w:tcPr>
            <w:tcW w:w="10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1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580" w:type="dxa"/>
            <w:vAlign w:val="bottom"/>
            <w:tcBorders>
              <w:right w:val="single" w:sz="8" w:color="auto"/>
            </w:tcBorders>
          </w:tcPr>
          <w:p>
            <w:pPr>
              <w:ind w:left="84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65"/>
        </w:trPr>
        <w:tc>
          <w:tcPr>
            <w:tcW w:w="14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9</w:t>
            </w:r>
          </w:p>
        </w:tc>
        <w:tc>
          <w:tcPr>
            <w:tcW w:w="104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xxx,xxx.xx</w:t>
            </w:r>
          </w:p>
        </w:tc>
        <w:tc>
          <w:tcPr>
            <w:tcW w:w="220" w:type="dxa"/>
            <w:vAlign w:val="bottom"/>
          </w:tcPr>
          <w:p>
            <w:pPr>
              <w:spacing w:after="0"/>
              <w:rPr>
                <w:sz w:val="14"/>
                <w:szCs w:val="14"/>
                <w:color w:val="auto"/>
              </w:rPr>
            </w:pP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xxx,xxx.xx</w:t>
            </w:r>
          </w:p>
        </w:tc>
        <w:tc>
          <w:tcPr>
            <w:tcW w:w="260" w:type="dxa"/>
            <w:vAlign w:val="bottom"/>
          </w:tcPr>
          <w:p>
            <w:pPr>
              <w:spacing w:after="0"/>
              <w:rPr>
                <w:sz w:val="14"/>
                <w:szCs w:val="14"/>
                <w:color w:val="auto"/>
              </w:rPr>
            </w:pP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xxx,xxx.xx</w:t>
            </w:r>
          </w:p>
        </w:tc>
        <w:tc>
          <w:tcPr>
            <w:tcW w:w="180" w:type="dxa"/>
            <w:vAlign w:val="bottom"/>
          </w:tcPr>
          <w:p>
            <w:pPr>
              <w:spacing w:after="0"/>
              <w:rPr>
                <w:sz w:val="14"/>
                <w:szCs w:val="14"/>
                <w:color w:val="auto"/>
              </w:rPr>
            </w:pPr>
          </w:p>
        </w:tc>
        <w:tc>
          <w:tcPr>
            <w:tcW w:w="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xxx,xxx.xx</w:t>
            </w:r>
          </w:p>
        </w:tc>
        <w:tc>
          <w:tcPr>
            <w:tcW w:w="10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1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580" w:type="dxa"/>
            <w:vAlign w:val="bottom"/>
            <w:tcBorders>
              <w:right w:val="single" w:sz="8" w:color="auto"/>
            </w:tcBorders>
          </w:tcPr>
          <w:p>
            <w:pPr>
              <w:ind w:left="84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65"/>
        </w:trPr>
        <w:tc>
          <w:tcPr>
            <w:tcW w:w="14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10</w:t>
            </w:r>
          </w:p>
        </w:tc>
        <w:tc>
          <w:tcPr>
            <w:tcW w:w="104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xxx,xxx.xx</w:t>
            </w:r>
          </w:p>
        </w:tc>
        <w:tc>
          <w:tcPr>
            <w:tcW w:w="220" w:type="dxa"/>
            <w:vAlign w:val="bottom"/>
          </w:tcPr>
          <w:p>
            <w:pPr>
              <w:spacing w:after="0"/>
              <w:rPr>
                <w:sz w:val="14"/>
                <w:szCs w:val="14"/>
                <w:color w:val="auto"/>
              </w:rPr>
            </w:pP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xxx,xxx.xx</w:t>
            </w:r>
          </w:p>
        </w:tc>
        <w:tc>
          <w:tcPr>
            <w:tcW w:w="260" w:type="dxa"/>
            <w:vAlign w:val="bottom"/>
          </w:tcPr>
          <w:p>
            <w:pPr>
              <w:spacing w:after="0"/>
              <w:rPr>
                <w:sz w:val="14"/>
                <w:szCs w:val="14"/>
                <w:color w:val="auto"/>
              </w:rPr>
            </w:pP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xxx,xxx.xx</w:t>
            </w:r>
          </w:p>
        </w:tc>
        <w:tc>
          <w:tcPr>
            <w:tcW w:w="180" w:type="dxa"/>
            <w:vAlign w:val="bottom"/>
          </w:tcPr>
          <w:p>
            <w:pPr>
              <w:spacing w:after="0"/>
              <w:rPr>
                <w:sz w:val="14"/>
                <w:szCs w:val="14"/>
                <w:color w:val="auto"/>
              </w:rPr>
            </w:pPr>
          </w:p>
        </w:tc>
        <w:tc>
          <w:tcPr>
            <w:tcW w:w="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xxx,xxx.xx</w:t>
            </w:r>
          </w:p>
        </w:tc>
        <w:tc>
          <w:tcPr>
            <w:tcW w:w="10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1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580" w:type="dxa"/>
            <w:vAlign w:val="bottom"/>
            <w:tcBorders>
              <w:right w:val="single" w:sz="8" w:color="auto"/>
            </w:tcBorders>
          </w:tcPr>
          <w:p>
            <w:pPr>
              <w:ind w:left="84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65"/>
        </w:trPr>
        <w:tc>
          <w:tcPr>
            <w:tcW w:w="14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11</w:t>
            </w:r>
          </w:p>
        </w:tc>
        <w:tc>
          <w:tcPr>
            <w:tcW w:w="104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xxx,xxx.xx</w:t>
            </w:r>
          </w:p>
        </w:tc>
        <w:tc>
          <w:tcPr>
            <w:tcW w:w="220" w:type="dxa"/>
            <w:vAlign w:val="bottom"/>
          </w:tcPr>
          <w:p>
            <w:pPr>
              <w:spacing w:after="0"/>
              <w:rPr>
                <w:sz w:val="14"/>
                <w:szCs w:val="14"/>
                <w:color w:val="auto"/>
              </w:rPr>
            </w:pP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xxx,xxx.xx</w:t>
            </w:r>
          </w:p>
        </w:tc>
        <w:tc>
          <w:tcPr>
            <w:tcW w:w="260" w:type="dxa"/>
            <w:vAlign w:val="bottom"/>
          </w:tcPr>
          <w:p>
            <w:pPr>
              <w:spacing w:after="0"/>
              <w:rPr>
                <w:sz w:val="14"/>
                <w:szCs w:val="14"/>
                <w:color w:val="auto"/>
              </w:rPr>
            </w:pP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xxx,xxx.xx</w:t>
            </w:r>
          </w:p>
        </w:tc>
        <w:tc>
          <w:tcPr>
            <w:tcW w:w="180" w:type="dxa"/>
            <w:vAlign w:val="bottom"/>
          </w:tcPr>
          <w:p>
            <w:pPr>
              <w:spacing w:after="0"/>
              <w:rPr>
                <w:sz w:val="14"/>
                <w:szCs w:val="14"/>
                <w:color w:val="auto"/>
              </w:rPr>
            </w:pPr>
          </w:p>
        </w:tc>
        <w:tc>
          <w:tcPr>
            <w:tcW w:w="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xxx,xxx.xx</w:t>
            </w:r>
          </w:p>
        </w:tc>
        <w:tc>
          <w:tcPr>
            <w:tcW w:w="10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1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580" w:type="dxa"/>
            <w:vAlign w:val="bottom"/>
            <w:tcBorders>
              <w:right w:val="single" w:sz="8" w:color="auto"/>
            </w:tcBorders>
          </w:tcPr>
          <w:p>
            <w:pPr>
              <w:ind w:left="84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65"/>
        </w:trPr>
        <w:tc>
          <w:tcPr>
            <w:tcW w:w="14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12</w:t>
            </w:r>
          </w:p>
        </w:tc>
        <w:tc>
          <w:tcPr>
            <w:tcW w:w="104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xxx,xxx.xx</w:t>
            </w:r>
          </w:p>
        </w:tc>
        <w:tc>
          <w:tcPr>
            <w:tcW w:w="220" w:type="dxa"/>
            <w:vAlign w:val="bottom"/>
          </w:tcPr>
          <w:p>
            <w:pPr>
              <w:spacing w:after="0"/>
              <w:rPr>
                <w:sz w:val="14"/>
                <w:szCs w:val="14"/>
                <w:color w:val="auto"/>
              </w:rPr>
            </w:pP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xxx,xxx.xx</w:t>
            </w:r>
          </w:p>
        </w:tc>
        <w:tc>
          <w:tcPr>
            <w:tcW w:w="260" w:type="dxa"/>
            <w:vAlign w:val="bottom"/>
          </w:tcPr>
          <w:p>
            <w:pPr>
              <w:spacing w:after="0"/>
              <w:rPr>
                <w:sz w:val="14"/>
                <w:szCs w:val="14"/>
                <w:color w:val="auto"/>
              </w:rPr>
            </w:pP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xxx,xxx.xx</w:t>
            </w:r>
          </w:p>
        </w:tc>
        <w:tc>
          <w:tcPr>
            <w:tcW w:w="180" w:type="dxa"/>
            <w:vAlign w:val="bottom"/>
          </w:tcPr>
          <w:p>
            <w:pPr>
              <w:spacing w:after="0"/>
              <w:rPr>
                <w:sz w:val="14"/>
                <w:szCs w:val="14"/>
                <w:color w:val="auto"/>
              </w:rPr>
            </w:pPr>
          </w:p>
        </w:tc>
        <w:tc>
          <w:tcPr>
            <w:tcW w:w="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xxx,xxx.xx</w:t>
            </w:r>
          </w:p>
        </w:tc>
        <w:tc>
          <w:tcPr>
            <w:tcW w:w="10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1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580" w:type="dxa"/>
            <w:vAlign w:val="bottom"/>
            <w:tcBorders>
              <w:right w:val="single" w:sz="8" w:color="auto"/>
            </w:tcBorders>
          </w:tcPr>
          <w:p>
            <w:pPr>
              <w:ind w:left="84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65"/>
        </w:trPr>
        <w:tc>
          <w:tcPr>
            <w:tcW w:w="14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13</w:t>
            </w:r>
          </w:p>
        </w:tc>
        <w:tc>
          <w:tcPr>
            <w:tcW w:w="104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xxx,xxx.xx</w:t>
            </w:r>
          </w:p>
        </w:tc>
        <w:tc>
          <w:tcPr>
            <w:tcW w:w="220" w:type="dxa"/>
            <w:vAlign w:val="bottom"/>
          </w:tcPr>
          <w:p>
            <w:pPr>
              <w:spacing w:after="0"/>
              <w:rPr>
                <w:sz w:val="14"/>
                <w:szCs w:val="14"/>
                <w:color w:val="auto"/>
              </w:rPr>
            </w:pP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xxx,xxx.xx</w:t>
            </w:r>
          </w:p>
        </w:tc>
        <w:tc>
          <w:tcPr>
            <w:tcW w:w="260" w:type="dxa"/>
            <w:vAlign w:val="bottom"/>
          </w:tcPr>
          <w:p>
            <w:pPr>
              <w:spacing w:after="0"/>
              <w:rPr>
                <w:sz w:val="14"/>
                <w:szCs w:val="14"/>
                <w:color w:val="auto"/>
              </w:rPr>
            </w:pP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xxx,xxx.xx</w:t>
            </w:r>
          </w:p>
        </w:tc>
        <w:tc>
          <w:tcPr>
            <w:tcW w:w="180" w:type="dxa"/>
            <w:vAlign w:val="bottom"/>
          </w:tcPr>
          <w:p>
            <w:pPr>
              <w:spacing w:after="0"/>
              <w:rPr>
                <w:sz w:val="14"/>
                <w:szCs w:val="14"/>
                <w:color w:val="auto"/>
              </w:rPr>
            </w:pPr>
          </w:p>
        </w:tc>
        <w:tc>
          <w:tcPr>
            <w:tcW w:w="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xxx,xxx.xx</w:t>
            </w:r>
          </w:p>
        </w:tc>
        <w:tc>
          <w:tcPr>
            <w:tcW w:w="10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1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580" w:type="dxa"/>
            <w:vAlign w:val="bottom"/>
            <w:tcBorders>
              <w:right w:val="single" w:sz="8" w:color="auto"/>
            </w:tcBorders>
          </w:tcPr>
          <w:p>
            <w:pPr>
              <w:ind w:left="84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65"/>
        </w:trPr>
        <w:tc>
          <w:tcPr>
            <w:tcW w:w="14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14</w:t>
            </w:r>
          </w:p>
        </w:tc>
        <w:tc>
          <w:tcPr>
            <w:tcW w:w="104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xxx,xxx.xx</w:t>
            </w:r>
          </w:p>
        </w:tc>
        <w:tc>
          <w:tcPr>
            <w:tcW w:w="220" w:type="dxa"/>
            <w:vAlign w:val="bottom"/>
          </w:tcPr>
          <w:p>
            <w:pPr>
              <w:spacing w:after="0"/>
              <w:rPr>
                <w:sz w:val="14"/>
                <w:szCs w:val="14"/>
                <w:color w:val="auto"/>
              </w:rPr>
            </w:pP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xxx,xxx.xx</w:t>
            </w:r>
          </w:p>
        </w:tc>
        <w:tc>
          <w:tcPr>
            <w:tcW w:w="260" w:type="dxa"/>
            <w:vAlign w:val="bottom"/>
          </w:tcPr>
          <w:p>
            <w:pPr>
              <w:spacing w:after="0"/>
              <w:rPr>
                <w:sz w:val="14"/>
                <w:szCs w:val="14"/>
                <w:color w:val="auto"/>
              </w:rPr>
            </w:pP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xxx,xxx.xx</w:t>
            </w:r>
          </w:p>
        </w:tc>
        <w:tc>
          <w:tcPr>
            <w:tcW w:w="180" w:type="dxa"/>
            <w:vAlign w:val="bottom"/>
          </w:tcPr>
          <w:p>
            <w:pPr>
              <w:spacing w:after="0"/>
              <w:rPr>
                <w:sz w:val="14"/>
                <w:szCs w:val="14"/>
                <w:color w:val="auto"/>
              </w:rPr>
            </w:pPr>
          </w:p>
        </w:tc>
        <w:tc>
          <w:tcPr>
            <w:tcW w:w="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xxx,xxx.xx</w:t>
            </w:r>
          </w:p>
        </w:tc>
        <w:tc>
          <w:tcPr>
            <w:tcW w:w="10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1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580" w:type="dxa"/>
            <w:vAlign w:val="bottom"/>
            <w:tcBorders>
              <w:right w:val="single" w:sz="8" w:color="auto"/>
            </w:tcBorders>
          </w:tcPr>
          <w:p>
            <w:pPr>
              <w:ind w:left="84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65"/>
        </w:trPr>
        <w:tc>
          <w:tcPr>
            <w:tcW w:w="14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15</w:t>
            </w:r>
          </w:p>
        </w:tc>
        <w:tc>
          <w:tcPr>
            <w:tcW w:w="104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xxx,xxx.xx</w:t>
            </w:r>
          </w:p>
        </w:tc>
        <w:tc>
          <w:tcPr>
            <w:tcW w:w="220" w:type="dxa"/>
            <w:vAlign w:val="bottom"/>
          </w:tcPr>
          <w:p>
            <w:pPr>
              <w:spacing w:after="0"/>
              <w:rPr>
                <w:sz w:val="14"/>
                <w:szCs w:val="14"/>
                <w:color w:val="auto"/>
              </w:rPr>
            </w:pP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xxx,xxx.xx</w:t>
            </w:r>
          </w:p>
        </w:tc>
        <w:tc>
          <w:tcPr>
            <w:tcW w:w="260" w:type="dxa"/>
            <w:vAlign w:val="bottom"/>
          </w:tcPr>
          <w:p>
            <w:pPr>
              <w:spacing w:after="0"/>
              <w:rPr>
                <w:sz w:val="14"/>
                <w:szCs w:val="14"/>
                <w:color w:val="auto"/>
              </w:rPr>
            </w:pP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xxx,xxx.xx</w:t>
            </w:r>
          </w:p>
        </w:tc>
        <w:tc>
          <w:tcPr>
            <w:tcW w:w="180" w:type="dxa"/>
            <w:vAlign w:val="bottom"/>
          </w:tcPr>
          <w:p>
            <w:pPr>
              <w:spacing w:after="0"/>
              <w:rPr>
                <w:sz w:val="14"/>
                <w:szCs w:val="14"/>
                <w:color w:val="auto"/>
              </w:rPr>
            </w:pPr>
          </w:p>
        </w:tc>
        <w:tc>
          <w:tcPr>
            <w:tcW w:w="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xxx,xxx.xx</w:t>
            </w:r>
          </w:p>
        </w:tc>
        <w:tc>
          <w:tcPr>
            <w:tcW w:w="10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1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580" w:type="dxa"/>
            <w:vAlign w:val="bottom"/>
            <w:tcBorders>
              <w:right w:val="single" w:sz="8" w:color="auto"/>
            </w:tcBorders>
          </w:tcPr>
          <w:p>
            <w:pPr>
              <w:ind w:left="84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65"/>
        </w:trPr>
        <w:tc>
          <w:tcPr>
            <w:tcW w:w="14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16</w:t>
            </w:r>
          </w:p>
        </w:tc>
        <w:tc>
          <w:tcPr>
            <w:tcW w:w="104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xxx,xxx.xx</w:t>
            </w:r>
          </w:p>
        </w:tc>
        <w:tc>
          <w:tcPr>
            <w:tcW w:w="220" w:type="dxa"/>
            <w:vAlign w:val="bottom"/>
          </w:tcPr>
          <w:p>
            <w:pPr>
              <w:spacing w:after="0"/>
              <w:rPr>
                <w:sz w:val="14"/>
                <w:szCs w:val="14"/>
                <w:color w:val="auto"/>
              </w:rPr>
            </w:pP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xxx,xxx.xx</w:t>
            </w:r>
          </w:p>
        </w:tc>
        <w:tc>
          <w:tcPr>
            <w:tcW w:w="260" w:type="dxa"/>
            <w:vAlign w:val="bottom"/>
          </w:tcPr>
          <w:p>
            <w:pPr>
              <w:spacing w:after="0"/>
              <w:rPr>
                <w:sz w:val="14"/>
                <w:szCs w:val="14"/>
                <w:color w:val="auto"/>
              </w:rPr>
            </w:pP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xxx,xxx.xx</w:t>
            </w:r>
          </w:p>
        </w:tc>
        <w:tc>
          <w:tcPr>
            <w:tcW w:w="180" w:type="dxa"/>
            <w:vAlign w:val="bottom"/>
          </w:tcPr>
          <w:p>
            <w:pPr>
              <w:spacing w:after="0"/>
              <w:rPr>
                <w:sz w:val="14"/>
                <w:szCs w:val="14"/>
                <w:color w:val="auto"/>
              </w:rPr>
            </w:pPr>
          </w:p>
        </w:tc>
        <w:tc>
          <w:tcPr>
            <w:tcW w:w="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xxx,xxx.xx</w:t>
            </w:r>
          </w:p>
        </w:tc>
        <w:tc>
          <w:tcPr>
            <w:tcW w:w="10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1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580" w:type="dxa"/>
            <w:vAlign w:val="bottom"/>
            <w:tcBorders>
              <w:right w:val="single" w:sz="8" w:color="auto"/>
            </w:tcBorders>
          </w:tcPr>
          <w:p>
            <w:pPr>
              <w:ind w:left="84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65"/>
        </w:trPr>
        <w:tc>
          <w:tcPr>
            <w:tcW w:w="14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17</w:t>
            </w:r>
          </w:p>
        </w:tc>
        <w:tc>
          <w:tcPr>
            <w:tcW w:w="104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xxx,xxx.xx</w:t>
            </w:r>
          </w:p>
        </w:tc>
        <w:tc>
          <w:tcPr>
            <w:tcW w:w="220" w:type="dxa"/>
            <w:vAlign w:val="bottom"/>
          </w:tcPr>
          <w:p>
            <w:pPr>
              <w:spacing w:after="0"/>
              <w:rPr>
                <w:sz w:val="14"/>
                <w:szCs w:val="14"/>
                <w:color w:val="auto"/>
              </w:rPr>
            </w:pP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xxx,xxx.xx</w:t>
            </w:r>
          </w:p>
        </w:tc>
        <w:tc>
          <w:tcPr>
            <w:tcW w:w="260" w:type="dxa"/>
            <w:vAlign w:val="bottom"/>
          </w:tcPr>
          <w:p>
            <w:pPr>
              <w:spacing w:after="0"/>
              <w:rPr>
                <w:sz w:val="14"/>
                <w:szCs w:val="14"/>
                <w:color w:val="auto"/>
              </w:rPr>
            </w:pP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xxx,xxx.xx</w:t>
            </w:r>
          </w:p>
        </w:tc>
        <w:tc>
          <w:tcPr>
            <w:tcW w:w="180" w:type="dxa"/>
            <w:vAlign w:val="bottom"/>
          </w:tcPr>
          <w:p>
            <w:pPr>
              <w:spacing w:after="0"/>
              <w:rPr>
                <w:sz w:val="14"/>
                <w:szCs w:val="14"/>
                <w:color w:val="auto"/>
              </w:rPr>
            </w:pPr>
          </w:p>
        </w:tc>
        <w:tc>
          <w:tcPr>
            <w:tcW w:w="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xxx,xxx.xx</w:t>
            </w:r>
          </w:p>
        </w:tc>
        <w:tc>
          <w:tcPr>
            <w:tcW w:w="10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1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580" w:type="dxa"/>
            <w:vAlign w:val="bottom"/>
            <w:tcBorders>
              <w:right w:val="single" w:sz="8" w:color="auto"/>
            </w:tcBorders>
          </w:tcPr>
          <w:p>
            <w:pPr>
              <w:ind w:left="84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65"/>
        </w:trPr>
        <w:tc>
          <w:tcPr>
            <w:tcW w:w="14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18</w:t>
            </w:r>
          </w:p>
        </w:tc>
        <w:tc>
          <w:tcPr>
            <w:tcW w:w="104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xxx,xxx.xx</w:t>
            </w:r>
          </w:p>
        </w:tc>
        <w:tc>
          <w:tcPr>
            <w:tcW w:w="220" w:type="dxa"/>
            <w:vAlign w:val="bottom"/>
          </w:tcPr>
          <w:p>
            <w:pPr>
              <w:spacing w:after="0"/>
              <w:rPr>
                <w:sz w:val="14"/>
                <w:szCs w:val="14"/>
                <w:color w:val="auto"/>
              </w:rPr>
            </w:pP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xxx,xxx.xx</w:t>
            </w:r>
          </w:p>
        </w:tc>
        <w:tc>
          <w:tcPr>
            <w:tcW w:w="260" w:type="dxa"/>
            <w:vAlign w:val="bottom"/>
          </w:tcPr>
          <w:p>
            <w:pPr>
              <w:spacing w:after="0"/>
              <w:rPr>
                <w:sz w:val="14"/>
                <w:szCs w:val="14"/>
                <w:color w:val="auto"/>
              </w:rPr>
            </w:pP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xxx,xxx.xx</w:t>
            </w:r>
          </w:p>
        </w:tc>
        <w:tc>
          <w:tcPr>
            <w:tcW w:w="180" w:type="dxa"/>
            <w:vAlign w:val="bottom"/>
          </w:tcPr>
          <w:p>
            <w:pPr>
              <w:spacing w:after="0"/>
              <w:rPr>
                <w:sz w:val="14"/>
                <w:szCs w:val="14"/>
                <w:color w:val="auto"/>
              </w:rPr>
            </w:pPr>
          </w:p>
        </w:tc>
        <w:tc>
          <w:tcPr>
            <w:tcW w:w="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xxx,xxx.xx</w:t>
            </w:r>
          </w:p>
        </w:tc>
        <w:tc>
          <w:tcPr>
            <w:tcW w:w="10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1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580" w:type="dxa"/>
            <w:vAlign w:val="bottom"/>
            <w:tcBorders>
              <w:right w:val="single" w:sz="8" w:color="auto"/>
            </w:tcBorders>
          </w:tcPr>
          <w:p>
            <w:pPr>
              <w:ind w:left="84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65"/>
        </w:trPr>
        <w:tc>
          <w:tcPr>
            <w:tcW w:w="14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19</w:t>
            </w:r>
          </w:p>
        </w:tc>
        <w:tc>
          <w:tcPr>
            <w:tcW w:w="104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xxx,xxx.xx</w:t>
            </w:r>
          </w:p>
        </w:tc>
        <w:tc>
          <w:tcPr>
            <w:tcW w:w="220" w:type="dxa"/>
            <w:vAlign w:val="bottom"/>
          </w:tcPr>
          <w:p>
            <w:pPr>
              <w:spacing w:after="0"/>
              <w:rPr>
                <w:sz w:val="14"/>
                <w:szCs w:val="14"/>
                <w:color w:val="auto"/>
              </w:rPr>
            </w:pP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xxx,xxx.xx</w:t>
            </w:r>
          </w:p>
        </w:tc>
        <w:tc>
          <w:tcPr>
            <w:tcW w:w="260" w:type="dxa"/>
            <w:vAlign w:val="bottom"/>
          </w:tcPr>
          <w:p>
            <w:pPr>
              <w:spacing w:after="0"/>
              <w:rPr>
                <w:sz w:val="14"/>
                <w:szCs w:val="14"/>
                <w:color w:val="auto"/>
              </w:rPr>
            </w:pP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xxx,xxx.xx</w:t>
            </w:r>
          </w:p>
        </w:tc>
        <w:tc>
          <w:tcPr>
            <w:tcW w:w="180" w:type="dxa"/>
            <w:vAlign w:val="bottom"/>
          </w:tcPr>
          <w:p>
            <w:pPr>
              <w:spacing w:after="0"/>
              <w:rPr>
                <w:sz w:val="14"/>
                <w:szCs w:val="14"/>
                <w:color w:val="auto"/>
              </w:rPr>
            </w:pPr>
          </w:p>
        </w:tc>
        <w:tc>
          <w:tcPr>
            <w:tcW w:w="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xxx,xxx.xx</w:t>
            </w:r>
          </w:p>
        </w:tc>
        <w:tc>
          <w:tcPr>
            <w:tcW w:w="10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1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580" w:type="dxa"/>
            <w:vAlign w:val="bottom"/>
            <w:tcBorders>
              <w:right w:val="single" w:sz="8" w:color="auto"/>
            </w:tcBorders>
          </w:tcPr>
          <w:p>
            <w:pPr>
              <w:ind w:left="84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65"/>
        </w:trPr>
        <w:tc>
          <w:tcPr>
            <w:tcW w:w="14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20</w:t>
            </w:r>
          </w:p>
        </w:tc>
        <w:tc>
          <w:tcPr>
            <w:tcW w:w="104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xxx,xxx.xx</w:t>
            </w:r>
          </w:p>
        </w:tc>
        <w:tc>
          <w:tcPr>
            <w:tcW w:w="220" w:type="dxa"/>
            <w:vAlign w:val="bottom"/>
          </w:tcPr>
          <w:p>
            <w:pPr>
              <w:spacing w:after="0"/>
              <w:rPr>
                <w:sz w:val="14"/>
                <w:szCs w:val="14"/>
                <w:color w:val="auto"/>
              </w:rPr>
            </w:pP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xxx,xxx.xx</w:t>
            </w:r>
          </w:p>
        </w:tc>
        <w:tc>
          <w:tcPr>
            <w:tcW w:w="260" w:type="dxa"/>
            <w:vAlign w:val="bottom"/>
          </w:tcPr>
          <w:p>
            <w:pPr>
              <w:spacing w:after="0"/>
              <w:rPr>
                <w:sz w:val="14"/>
                <w:szCs w:val="14"/>
                <w:color w:val="auto"/>
              </w:rPr>
            </w:pP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xxx,xxx.xx</w:t>
            </w:r>
          </w:p>
        </w:tc>
        <w:tc>
          <w:tcPr>
            <w:tcW w:w="180" w:type="dxa"/>
            <w:vAlign w:val="bottom"/>
          </w:tcPr>
          <w:p>
            <w:pPr>
              <w:spacing w:after="0"/>
              <w:rPr>
                <w:sz w:val="14"/>
                <w:szCs w:val="14"/>
                <w:color w:val="auto"/>
              </w:rPr>
            </w:pPr>
          </w:p>
        </w:tc>
        <w:tc>
          <w:tcPr>
            <w:tcW w:w="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xxx,xxx.xx</w:t>
            </w:r>
          </w:p>
        </w:tc>
        <w:tc>
          <w:tcPr>
            <w:tcW w:w="10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1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580" w:type="dxa"/>
            <w:vAlign w:val="bottom"/>
            <w:tcBorders>
              <w:right w:val="single" w:sz="8" w:color="auto"/>
            </w:tcBorders>
          </w:tcPr>
          <w:p>
            <w:pPr>
              <w:ind w:left="84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65"/>
        </w:trPr>
        <w:tc>
          <w:tcPr>
            <w:tcW w:w="14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21</w:t>
            </w:r>
          </w:p>
        </w:tc>
        <w:tc>
          <w:tcPr>
            <w:tcW w:w="104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xxx,xxx.xx</w:t>
            </w:r>
          </w:p>
        </w:tc>
        <w:tc>
          <w:tcPr>
            <w:tcW w:w="220" w:type="dxa"/>
            <w:vAlign w:val="bottom"/>
          </w:tcPr>
          <w:p>
            <w:pPr>
              <w:spacing w:after="0"/>
              <w:rPr>
                <w:sz w:val="14"/>
                <w:szCs w:val="14"/>
                <w:color w:val="auto"/>
              </w:rPr>
            </w:pP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xxx,xxx.xx</w:t>
            </w:r>
          </w:p>
        </w:tc>
        <w:tc>
          <w:tcPr>
            <w:tcW w:w="260" w:type="dxa"/>
            <w:vAlign w:val="bottom"/>
          </w:tcPr>
          <w:p>
            <w:pPr>
              <w:spacing w:after="0"/>
              <w:rPr>
                <w:sz w:val="14"/>
                <w:szCs w:val="14"/>
                <w:color w:val="auto"/>
              </w:rPr>
            </w:pP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xxx,xxx.xx</w:t>
            </w:r>
          </w:p>
        </w:tc>
        <w:tc>
          <w:tcPr>
            <w:tcW w:w="180" w:type="dxa"/>
            <w:vAlign w:val="bottom"/>
          </w:tcPr>
          <w:p>
            <w:pPr>
              <w:spacing w:after="0"/>
              <w:rPr>
                <w:sz w:val="14"/>
                <w:szCs w:val="14"/>
                <w:color w:val="auto"/>
              </w:rPr>
            </w:pPr>
          </w:p>
        </w:tc>
        <w:tc>
          <w:tcPr>
            <w:tcW w:w="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xxx,xxx.xx</w:t>
            </w:r>
          </w:p>
        </w:tc>
        <w:tc>
          <w:tcPr>
            <w:tcW w:w="10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1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580" w:type="dxa"/>
            <w:vAlign w:val="bottom"/>
            <w:tcBorders>
              <w:right w:val="single" w:sz="8" w:color="auto"/>
            </w:tcBorders>
          </w:tcPr>
          <w:p>
            <w:pPr>
              <w:ind w:left="84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65"/>
        </w:trPr>
        <w:tc>
          <w:tcPr>
            <w:tcW w:w="14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22</w:t>
            </w:r>
          </w:p>
        </w:tc>
        <w:tc>
          <w:tcPr>
            <w:tcW w:w="104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xxx,xxx.xx</w:t>
            </w:r>
          </w:p>
        </w:tc>
        <w:tc>
          <w:tcPr>
            <w:tcW w:w="220" w:type="dxa"/>
            <w:vAlign w:val="bottom"/>
          </w:tcPr>
          <w:p>
            <w:pPr>
              <w:spacing w:after="0"/>
              <w:rPr>
                <w:sz w:val="14"/>
                <w:szCs w:val="14"/>
                <w:color w:val="auto"/>
              </w:rPr>
            </w:pP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xxx,xxx.xx</w:t>
            </w:r>
          </w:p>
        </w:tc>
        <w:tc>
          <w:tcPr>
            <w:tcW w:w="260" w:type="dxa"/>
            <w:vAlign w:val="bottom"/>
          </w:tcPr>
          <w:p>
            <w:pPr>
              <w:spacing w:after="0"/>
              <w:rPr>
                <w:sz w:val="14"/>
                <w:szCs w:val="14"/>
                <w:color w:val="auto"/>
              </w:rPr>
            </w:pP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xxx,xxx.xx</w:t>
            </w:r>
          </w:p>
        </w:tc>
        <w:tc>
          <w:tcPr>
            <w:tcW w:w="180" w:type="dxa"/>
            <w:vAlign w:val="bottom"/>
          </w:tcPr>
          <w:p>
            <w:pPr>
              <w:spacing w:after="0"/>
              <w:rPr>
                <w:sz w:val="14"/>
                <w:szCs w:val="14"/>
                <w:color w:val="auto"/>
              </w:rPr>
            </w:pPr>
          </w:p>
        </w:tc>
        <w:tc>
          <w:tcPr>
            <w:tcW w:w="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xxx,xxx.xx</w:t>
            </w:r>
          </w:p>
        </w:tc>
        <w:tc>
          <w:tcPr>
            <w:tcW w:w="10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1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580" w:type="dxa"/>
            <w:vAlign w:val="bottom"/>
            <w:tcBorders>
              <w:right w:val="single" w:sz="8" w:color="auto"/>
            </w:tcBorders>
          </w:tcPr>
          <w:p>
            <w:pPr>
              <w:ind w:left="84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65"/>
        </w:trPr>
        <w:tc>
          <w:tcPr>
            <w:tcW w:w="14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23</w:t>
            </w:r>
          </w:p>
        </w:tc>
        <w:tc>
          <w:tcPr>
            <w:tcW w:w="104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xxx,xxx.xx</w:t>
            </w:r>
          </w:p>
        </w:tc>
        <w:tc>
          <w:tcPr>
            <w:tcW w:w="220" w:type="dxa"/>
            <w:vAlign w:val="bottom"/>
          </w:tcPr>
          <w:p>
            <w:pPr>
              <w:spacing w:after="0"/>
              <w:rPr>
                <w:sz w:val="14"/>
                <w:szCs w:val="14"/>
                <w:color w:val="auto"/>
              </w:rPr>
            </w:pPr>
          </w:p>
        </w:tc>
        <w:tc>
          <w:tcPr>
            <w:tcW w:w="8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xxx,xxx.xx</w:t>
            </w:r>
          </w:p>
        </w:tc>
        <w:tc>
          <w:tcPr>
            <w:tcW w:w="260" w:type="dxa"/>
            <w:vAlign w:val="bottom"/>
          </w:tcPr>
          <w:p>
            <w:pPr>
              <w:spacing w:after="0"/>
              <w:rPr>
                <w:sz w:val="14"/>
                <w:szCs w:val="14"/>
                <w:color w:val="auto"/>
              </w:rPr>
            </w:pP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xxx,xxx.xx</w:t>
            </w:r>
          </w:p>
        </w:tc>
        <w:tc>
          <w:tcPr>
            <w:tcW w:w="10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xxx,xxx.xx</w:t>
            </w:r>
          </w:p>
        </w:tc>
        <w:tc>
          <w:tcPr>
            <w:tcW w:w="180" w:type="dxa"/>
            <w:vAlign w:val="bottom"/>
          </w:tcPr>
          <w:p>
            <w:pPr>
              <w:spacing w:after="0"/>
              <w:rPr>
                <w:sz w:val="14"/>
                <w:szCs w:val="14"/>
                <w:color w:val="auto"/>
              </w:rPr>
            </w:pPr>
          </w:p>
        </w:tc>
        <w:tc>
          <w:tcPr>
            <w:tcW w:w="8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xxx,xxx.xx</w:t>
            </w:r>
          </w:p>
        </w:tc>
        <w:tc>
          <w:tcPr>
            <w:tcW w:w="108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10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580" w:type="dxa"/>
            <w:vAlign w:val="bottom"/>
            <w:tcBorders>
              <w:right w:val="single" w:sz="8" w:color="auto"/>
            </w:tcBorders>
          </w:tcPr>
          <w:p>
            <w:pPr>
              <w:ind w:left="84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75"/>
        </w:trPr>
        <w:tc>
          <w:tcPr>
            <w:tcW w:w="148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24</w:t>
            </w:r>
          </w:p>
        </w:tc>
        <w:tc>
          <w:tcPr>
            <w:tcW w:w="10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0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xxx,xxx.xx</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xxx,xxx.xx</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xxx,xxx.xx</w:t>
            </w:r>
          </w:p>
        </w:tc>
        <w:tc>
          <w:tcPr>
            <w:tcW w:w="10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xxx,xxx.xx</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xxx,xxx.xx</w:t>
            </w:r>
          </w:p>
        </w:tc>
        <w:tc>
          <w:tcPr>
            <w:tcW w:w="10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1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xxx,xxx.xx</w:t>
            </w:r>
          </w:p>
        </w:tc>
        <w:tc>
          <w:tcPr>
            <w:tcW w:w="158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4"/>
                <w:szCs w:val="14"/>
                <w:color w:val="auto"/>
              </w:rPr>
              <w:t>xxx,xxx.xx</w:t>
            </w:r>
          </w:p>
        </w:tc>
        <w:tc>
          <w:tcPr>
            <w:tcW w:w="0" w:type="dxa"/>
            <w:vAlign w:val="bottom"/>
          </w:tcPr>
          <w:p>
            <w:pPr>
              <w:spacing w:after="0"/>
              <w:rPr>
                <w:sz w:val="1"/>
                <w:szCs w:val="1"/>
                <w:color w:val="auto"/>
              </w:rPr>
            </w:pPr>
          </w:p>
        </w:tc>
      </w:tr>
      <w:tr>
        <w:trPr>
          <w:trHeight w:val="177"/>
        </w:trPr>
        <w:tc>
          <w:tcPr>
            <w:tcW w:w="1480" w:type="dxa"/>
            <w:vAlign w:val="bottom"/>
            <w:tcBorders>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480" w:type="dxa"/>
            <w:vAlign w:val="bottom"/>
            <w:tcBorders>
              <w:right w:val="single" w:sz="8" w:color="auto"/>
            </w:tcBorders>
          </w:tcPr>
          <w:p>
            <w:pPr>
              <w:spacing w:after="0"/>
              <w:rPr>
                <w:sz w:val="12"/>
                <w:szCs w:val="12"/>
                <w:color w:val="auto"/>
              </w:rPr>
            </w:pPr>
          </w:p>
        </w:tc>
        <w:tc>
          <w:tcPr>
            <w:tcW w:w="1040" w:type="dxa"/>
            <w:vAlign w:val="bottom"/>
            <w:tcBorders>
              <w:top w:val="single" w:sz="8" w:color="auto"/>
              <w:bottom w:val="single" w:sz="8" w:color="auto"/>
              <w:right w:val="single" w:sz="8" w:color="auto"/>
            </w:tcBorders>
            <w:shd w:val="clear" w:color="auto" w:fill="00FF00"/>
          </w:tcPr>
          <w:p>
            <w:pPr>
              <w:ind w:left="300"/>
              <w:spacing w:after="0" w:line="146" w:lineRule="exact"/>
              <w:rPr>
                <w:sz w:val="20"/>
                <w:szCs w:val="20"/>
                <w:color w:val="auto"/>
              </w:rPr>
            </w:pPr>
            <w:r>
              <w:rPr>
                <w:rFonts w:ascii="Arial" w:cs="Arial" w:eastAsia="Arial" w:hAnsi="Arial"/>
                <w:sz w:val="14"/>
                <w:szCs w:val="14"/>
                <w:b w:val="1"/>
                <w:bCs w:val="1"/>
                <w:color w:val="auto"/>
                <w:w w:val="99"/>
              </w:rPr>
              <w:t>xxx,xxx.xx</w:t>
            </w:r>
          </w:p>
        </w:tc>
        <w:tc>
          <w:tcPr>
            <w:tcW w:w="1000" w:type="dxa"/>
            <w:vAlign w:val="bottom"/>
            <w:tcBorders>
              <w:top w:val="single" w:sz="8" w:color="FF99CC"/>
              <w:bottom w:val="single" w:sz="8" w:color="auto"/>
              <w:right w:val="single" w:sz="8" w:color="auto"/>
            </w:tcBorders>
            <w:shd w:val="clear" w:color="auto" w:fill="FF99CC"/>
          </w:tcPr>
          <w:p>
            <w:pPr>
              <w:ind w:left="260"/>
              <w:spacing w:after="0" w:line="146" w:lineRule="exact"/>
              <w:rPr>
                <w:sz w:val="20"/>
                <w:szCs w:val="20"/>
                <w:color w:val="auto"/>
              </w:rPr>
            </w:pPr>
            <w:r>
              <w:rPr>
                <w:rFonts w:ascii="Arial" w:cs="Arial" w:eastAsia="Arial" w:hAnsi="Arial"/>
                <w:sz w:val="14"/>
                <w:szCs w:val="14"/>
                <w:b w:val="1"/>
                <w:bCs w:val="1"/>
                <w:color w:val="auto"/>
                <w:w w:val="99"/>
              </w:rPr>
              <w:t>xxx,xxx.xx</w:t>
            </w:r>
          </w:p>
        </w:tc>
        <w:tc>
          <w:tcPr>
            <w:tcW w:w="220" w:type="dxa"/>
            <w:vAlign w:val="bottom"/>
            <w:tcBorders>
              <w:top w:val="single" w:sz="8" w:color="FF99CC"/>
              <w:bottom w:val="single" w:sz="8" w:color="auto"/>
            </w:tcBorders>
            <w:shd w:val="clear" w:color="auto" w:fill="FF99CC"/>
          </w:tcPr>
          <w:p>
            <w:pPr>
              <w:spacing w:after="0"/>
              <w:rPr>
                <w:sz w:val="12"/>
                <w:szCs w:val="12"/>
                <w:color w:val="auto"/>
              </w:rPr>
            </w:pPr>
          </w:p>
        </w:tc>
        <w:tc>
          <w:tcPr>
            <w:tcW w:w="840" w:type="dxa"/>
            <w:vAlign w:val="bottom"/>
            <w:tcBorders>
              <w:top w:val="single" w:sz="8" w:color="FF99CC"/>
              <w:bottom w:val="single" w:sz="8" w:color="auto"/>
              <w:right w:val="single" w:sz="8" w:color="auto"/>
            </w:tcBorders>
            <w:shd w:val="clear" w:color="auto" w:fill="FF99CC"/>
          </w:tcPr>
          <w:p>
            <w:pPr>
              <w:ind w:left="40"/>
              <w:spacing w:after="0" w:line="146" w:lineRule="exact"/>
              <w:rPr>
                <w:sz w:val="20"/>
                <w:szCs w:val="20"/>
                <w:color w:val="auto"/>
              </w:rPr>
            </w:pPr>
            <w:r>
              <w:rPr>
                <w:rFonts w:ascii="Arial" w:cs="Arial" w:eastAsia="Arial" w:hAnsi="Arial"/>
                <w:sz w:val="14"/>
                <w:szCs w:val="14"/>
                <w:b w:val="1"/>
                <w:bCs w:val="1"/>
                <w:color w:val="auto"/>
              </w:rPr>
              <w:t>xxx,xxx.xx</w:t>
            </w:r>
          </w:p>
        </w:tc>
        <w:tc>
          <w:tcPr>
            <w:tcW w:w="260" w:type="dxa"/>
            <w:vAlign w:val="bottom"/>
            <w:tcBorders>
              <w:top w:val="single" w:sz="8" w:color="FFCC99"/>
              <w:bottom w:val="single" w:sz="8" w:color="auto"/>
            </w:tcBorders>
            <w:shd w:val="clear" w:color="auto" w:fill="FFCC99"/>
          </w:tcPr>
          <w:p>
            <w:pPr>
              <w:spacing w:after="0"/>
              <w:rPr>
                <w:sz w:val="12"/>
                <w:szCs w:val="12"/>
                <w:color w:val="auto"/>
              </w:rPr>
            </w:pPr>
          </w:p>
        </w:tc>
        <w:tc>
          <w:tcPr>
            <w:tcW w:w="880" w:type="dxa"/>
            <w:vAlign w:val="bottom"/>
            <w:tcBorders>
              <w:top w:val="single" w:sz="8" w:color="FFCC99"/>
              <w:bottom w:val="single" w:sz="8" w:color="auto"/>
              <w:right w:val="single" w:sz="8" w:color="auto"/>
            </w:tcBorders>
            <w:shd w:val="clear" w:color="auto" w:fill="FFCC99"/>
          </w:tcPr>
          <w:p>
            <w:pPr>
              <w:ind w:left="120"/>
              <w:spacing w:after="0" w:line="146" w:lineRule="exact"/>
              <w:rPr>
                <w:sz w:val="20"/>
                <w:szCs w:val="20"/>
                <w:color w:val="auto"/>
              </w:rPr>
            </w:pPr>
            <w:r>
              <w:rPr>
                <w:rFonts w:ascii="Arial" w:cs="Arial" w:eastAsia="Arial" w:hAnsi="Arial"/>
                <w:sz w:val="14"/>
                <w:szCs w:val="14"/>
                <w:b w:val="1"/>
                <w:bCs w:val="1"/>
                <w:color w:val="auto"/>
              </w:rPr>
              <w:t>xxx,xxx.xx</w:t>
            </w:r>
          </w:p>
        </w:tc>
        <w:tc>
          <w:tcPr>
            <w:tcW w:w="1000" w:type="dxa"/>
            <w:vAlign w:val="bottom"/>
            <w:tcBorders>
              <w:top w:val="single" w:sz="8" w:color="FFCC99"/>
              <w:bottom w:val="single" w:sz="8" w:color="auto"/>
              <w:right w:val="single" w:sz="8" w:color="auto"/>
            </w:tcBorders>
            <w:shd w:val="clear" w:color="auto" w:fill="FFCC99"/>
          </w:tcPr>
          <w:p>
            <w:pPr>
              <w:ind w:left="240"/>
              <w:spacing w:after="0" w:line="146" w:lineRule="exact"/>
              <w:rPr>
                <w:sz w:val="20"/>
                <w:szCs w:val="20"/>
                <w:color w:val="auto"/>
              </w:rPr>
            </w:pPr>
            <w:r>
              <w:rPr>
                <w:rFonts w:ascii="Arial" w:cs="Arial" w:eastAsia="Arial" w:hAnsi="Arial"/>
                <w:sz w:val="14"/>
                <w:szCs w:val="14"/>
                <w:b w:val="1"/>
                <w:bCs w:val="1"/>
                <w:color w:val="auto"/>
              </w:rPr>
              <w:t>xxx,xxx.xx</w:t>
            </w:r>
          </w:p>
        </w:tc>
        <w:tc>
          <w:tcPr>
            <w:tcW w:w="180" w:type="dxa"/>
            <w:vAlign w:val="bottom"/>
            <w:tcBorders>
              <w:top w:val="single" w:sz="8" w:color="FFCC99"/>
              <w:bottom w:val="single" w:sz="8" w:color="auto"/>
            </w:tcBorders>
            <w:shd w:val="clear" w:color="auto" w:fill="FFCC99"/>
          </w:tcPr>
          <w:p>
            <w:pPr>
              <w:spacing w:after="0"/>
              <w:rPr>
                <w:sz w:val="12"/>
                <w:szCs w:val="12"/>
                <w:color w:val="auto"/>
              </w:rPr>
            </w:pPr>
          </w:p>
        </w:tc>
        <w:tc>
          <w:tcPr>
            <w:tcW w:w="820" w:type="dxa"/>
            <w:vAlign w:val="bottom"/>
            <w:tcBorders>
              <w:top w:val="single" w:sz="8" w:color="FFCC99"/>
              <w:bottom w:val="single" w:sz="8" w:color="auto"/>
              <w:right w:val="single" w:sz="8" w:color="auto"/>
            </w:tcBorders>
            <w:shd w:val="clear" w:color="auto" w:fill="FFCC99"/>
          </w:tcPr>
          <w:p>
            <w:pPr>
              <w:ind w:left="80"/>
              <w:spacing w:after="0" w:line="146" w:lineRule="exact"/>
              <w:rPr>
                <w:sz w:val="20"/>
                <w:szCs w:val="20"/>
                <w:color w:val="auto"/>
              </w:rPr>
            </w:pPr>
            <w:r>
              <w:rPr>
                <w:rFonts w:ascii="Arial" w:cs="Arial" w:eastAsia="Arial" w:hAnsi="Arial"/>
                <w:sz w:val="14"/>
                <w:szCs w:val="14"/>
                <w:b w:val="1"/>
                <w:bCs w:val="1"/>
                <w:color w:val="auto"/>
                <w:w w:val="99"/>
              </w:rPr>
              <w:t>xxx,xxx.xx</w:t>
            </w:r>
          </w:p>
        </w:tc>
        <w:tc>
          <w:tcPr>
            <w:tcW w:w="1080" w:type="dxa"/>
            <w:vAlign w:val="bottom"/>
            <w:tcBorders>
              <w:top w:val="single" w:sz="8" w:color="CCFFCC"/>
              <w:bottom w:val="single" w:sz="8" w:color="auto"/>
              <w:right w:val="single" w:sz="8" w:color="auto"/>
            </w:tcBorders>
            <w:shd w:val="clear" w:color="auto" w:fill="CCFFCC"/>
          </w:tcPr>
          <w:p>
            <w:pPr>
              <w:ind w:left="340"/>
              <w:spacing w:after="0" w:line="146" w:lineRule="exact"/>
              <w:rPr>
                <w:sz w:val="20"/>
                <w:szCs w:val="20"/>
                <w:color w:val="auto"/>
              </w:rPr>
            </w:pPr>
            <w:r>
              <w:rPr>
                <w:rFonts w:ascii="Arial" w:cs="Arial" w:eastAsia="Arial" w:hAnsi="Arial"/>
                <w:sz w:val="14"/>
                <w:szCs w:val="14"/>
                <w:b w:val="1"/>
                <w:bCs w:val="1"/>
                <w:color w:val="auto"/>
                <w:w w:val="99"/>
              </w:rPr>
              <w:t>xxx,xxx.xx</w:t>
            </w:r>
          </w:p>
        </w:tc>
        <w:tc>
          <w:tcPr>
            <w:tcW w:w="1100" w:type="dxa"/>
            <w:vAlign w:val="bottom"/>
            <w:tcBorders>
              <w:top w:val="single" w:sz="8" w:color="CCFFCC"/>
              <w:bottom w:val="single" w:sz="8" w:color="auto"/>
              <w:right w:val="single" w:sz="8" w:color="auto"/>
            </w:tcBorders>
            <w:shd w:val="clear" w:color="auto" w:fill="CCFFCC"/>
          </w:tcPr>
          <w:p>
            <w:pPr>
              <w:ind w:left="340"/>
              <w:spacing w:after="0" w:line="146" w:lineRule="exact"/>
              <w:rPr>
                <w:sz w:val="20"/>
                <w:szCs w:val="20"/>
                <w:color w:val="auto"/>
              </w:rPr>
            </w:pPr>
            <w:r>
              <w:rPr>
                <w:rFonts w:ascii="Arial" w:cs="Arial" w:eastAsia="Arial" w:hAnsi="Arial"/>
                <w:sz w:val="14"/>
                <w:szCs w:val="14"/>
                <w:b w:val="1"/>
                <w:bCs w:val="1"/>
                <w:color w:val="auto"/>
              </w:rPr>
              <w:t>xxx,xxx.xx</w:t>
            </w:r>
          </w:p>
        </w:tc>
        <w:tc>
          <w:tcPr>
            <w:tcW w:w="1580" w:type="dxa"/>
            <w:vAlign w:val="bottom"/>
            <w:tcBorders>
              <w:top w:val="single" w:sz="8" w:color="CC99FF"/>
              <w:bottom w:val="single" w:sz="8" w:color="auto"/>
              <w:right w:val="single" w:sz="8" w:color="auto"/>
            </w:tcBorders>
            <w:shd w:val="clear" w:color="auto" w:fill="CC99FF"/>
          </w:tcPr>
          <w:p>
            <w:pPr>
              <w:ind w:left="840"/>
              <w:spacing w:after="0" w:line="146" w:lineRule="exact"/>
              <w:rPr>
                <w:sz w:val="20"/>
                <w:szCs w:val="20"/>
                <w:color w:val="auto"/>
              </w:rPr>
            </w:pPr>
            <w:r>
              <w:rPr>
                <w:rFonts w:ascii="Arial" w:cs="Arial" w:eastAsia="Arial" w:hAnsi="Arial"/>
                <w:sz w:val="14"/>
                <w:szCs w:val="14"/>
                <w:b w:val="1"/>
                <w:bCs w:val="1"/>
                <w:color w:val="auto"/>
                <w:w w:val="99"/>
              </w:rPr>
              <w:t>xxx,xxx.xx</w:t>
            </w:r>
          </w:p>
        </w:tc>
        <w:tc>
          <w:tcPr>
            <w:tcW w:w="0" w:type="dxa"/>
            <w:vAlign w:val="bottom"/>
          </w:tcPr>
          <w:p>
            <w:pPr>
              <w:spacing w:after="0"/>
              <w:rPr>
                <w:sz w:val="1"/>
                <w:szCs w:val="1"/>
                <w:color w:val="auto"/>
              </w:rPr>
            </w:pPr>
          </w:p>
        </w:tc>
      </w:tr>
      <w:tr>
        <w:trPr>
          <w:trHeight w:val="321"/>
        </w:trPr>
        <w:tc>
          <w:tcPr>
            <w:tcW w:w="14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Source:</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480" w:type="dxa"/>
            <w:vAlign w:val="bottom"/>
            <w:tcBorders>
              <w:left w:val="single" w:sz="8" w:color="auto"/>
              <w:bottom w:val="single" w:sz="8" w:color="auto"/>
              <w:right w:val="single" w:sz="8" w:color="auto"/>
            </w:tcBorders>
            <w:shd w:val="clear" w:color="auto" w:fill="00FF00"/>
          </w:tcPr>
          <w:p>
            <w:pPr>
              <w:ind w:left="120"/>
              <w:spacing w:after="0" w:line="156" w:lineRule="exact"/>
              <w:rPr>
                <w:sz w:val="20"/>
                <w:szCs w:val="20"/>
                <w:color w:val="auto"/>
              </w:rPr>
            </w:pPr>
            <w:r>
              <w:rPr>
                <w:rFonts w:ascii="Arial" w:cs="Arial" w:eastAsia="Arial" w:hAnsi="Arial"/>
                <w:sz w:val="14"/>
                <w:szCs w:val="14"/>
                <w:b w:val="1"/>
                <w:bCs w:val="1"/>
                <w:color w:val="auto"/>
              </w:rPr>
              <w:t>Column 1</w:t>
            </w:r>
          </w:p>
        </w:tc>
        <w:tc>
          <w:tcPr>
            <w:tcW w:w="4240" w:type="dxa"/>
            <w:vAlign w:val="bottom"/>
            <w:gridSpan w:val="6"/>
          </w:tcPr>
          <w:p>
            <w:pPr>
              <w:ind w:left="40"/>
              <w:spacing w:after="0" w:line="156" w:lineRule="exact"/>
              <w:rPr>
                <w:sz w:val="20"/>
                <w:szCs w:val="20"/>
                <w:color w:val="auto"/>
              </w:rPr>
            </w:pPr>
            <w:r>
              <w:rPr>
                <w:rFonts w:ascii="Arial" w:cs="Arial" w:eastAsia="Arial" w:hAnsi="Arial"/>
                <w:sz w:val="14"/>
                <w:szCs w:val="14"/>
                <w:color w:val="auto"/>
              </w:rPr>
              <w:t>Represents Estimated Meter Load based on Actual EMS Data</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80" w:type="dxa"/>
            <w:vAlign w:val="bottom"/>
            <w:tcBorders>
              <w:left w:val="single" w:sz="8" w:color="auto"/>
              <w:right w:val="single" w:sz="8" w:color="auto"/>
            </w:tcBorders>
            <w:vMerge w:val="restart"/>
            <w:shd w:val="clear" w:color="auto" w:fill="FF99CC"/>
          </w:tcPr>
          <w:p>
            <w:pPr>
              <w:ind w:left="120"/>
              <w:spacing w:after="0"/>
              <w:rPr>
                <w:sz w:val="20"/>
                <w:szCs w:val="20"/>
                <w:color w:val="auto"/>
              </w:rPr>
            </w:pPr>
            <w:r>
              <w:rPr>
                <w:rFonts w:ascii="Arial" w:cs="Arial" w:eastAsia="Arial" w:hAnsi="Arial"/>
                <w:sz w:val="14"/>
                <w:szCs w:val="14"/>
                <w:b w:val="1"/>
                <w:bCs w:val="1"/>
                <w:color w:val="auto"/>
              </w:rPr>
              <w:t>Column 2</w:t>
            </w:r>
          </w:p>
        </w:tc>
        <w:tc>
          <w:tcPr>
            <w:tcW w:w="2260" w:type="dxa"/>
            <w:vAlign w:val="bottom"/>
            <w:gridSpan w:val="3"/>
            <w:vMerge w:val="restart"/>
          </w:tcPr>
          <w:p>
            <w:pPr>
              <w:ind w:left="40"/>
              <w:spacing w:after="0"/>
              <w:rPr>
                <w:sz w:val="20"/>
                <w:szCs w:val="20"/>
                <w:color w:val="auto"/>
              </w:rPr>
            </w:pPr>
            <w:r>
              <w:rPr>
                <w:rFonts w:ascii="Arial" w:cs="Arial" w:eastAsia="Arial" w:hAnsi="Arial"/>
                <w:sz w:val="14"/>
                <w:szCs w:val="14"/>
                <w:color w:val="auto"/>
                <w:w w:val="90"/>
              </w:rPr>
              <w:t>From SIBR represents Bear B DA ISTs</w:t>
            </w: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480" w:type="dxa"/>
            <w:vAlign w:val="bottom"/>
            <w:tcBorders>
              <w:left w:val="single" w:sz="8" w:color="auto"/>
              <w:bottom w:val="single" w:sz="8" w:color="auto"/>
              <w:right w:val="single" w:sz="8" w:color="auto"/>
            </w:tcBorders>
            <w:vMerge w:val="continue"/>
            <w:shd w:val="clear" w:color="auto" w:fill="FF99CC"/>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480" w:type="dxa"/>
            <w:vAlign w:val="bottom"/>
            <w:tcBorders>
              <w:left w:val="single" w:sz="8" w:color="auto"/>
              <w:bottom w:val="single" w:sz="8" w:color="auto"/>
              <w:right w:val="single" w:sz="8" w:color="auto"/>
            </w:tcBorders>
            <w:shd w:val="clear" w:color="auto" w:fill="FF99CC"/>
          </w:tcPr>
          <w:p>
            <w:pPr>
              <w:ind w:left="120"/>
              <w:spacing w:after="0" w:line="156" w:lineRule="exact"/>
              <w:rPr>
                <w:sz w:val="20"/>
                <w:szCs w:val="20"/>
                <w:color w:val="auto"/>
              </w:rPr>
            </w:pPr>
            <w:r>
              <w:rPr>
                <w:rFonts w:ascii="Arial" w:cs="Arial" w:eastAsia="Arial" w:hAnsi="Arial"/>
                <w:sz w:val="14"/>
                <w:szCs w:val="14"/>
                <w:b w:val="1"/>
                <w:bCs w:val="1"/>
                <w:color w:val="auto"/>
              </w:rPr>
              <w:t>Column 3</w:t>
            </w:r>
          </w:p>
        </w:tc>
        <w:tc>
          <w:tcPr>
            <w:tcW w:w="2260" w:type="dxa"/>
            <w:vAlign w:val="bottom"/>
            <w:gridSpan w:val="3"/>
          </w:tcPr>
          <w:p>
            <w:pPr>
              <w:ind w:left="40"/>
              <w:spacing w:after="0" w:line="156" w:lineRule="exact"/>
              <w:rPr>
                <w:sz w:val="20"/>
                <w:szCs w:val="20"/>
                <w:color w:val="auto"/>
              </w:rPr>
            </w:pPr>
            <w:r>
              <w:rPr>
                <w:rFonts w:ascii="Arial" w:cs="Arial" w:eastAsia="Arial" w:hAnsi="Arial"/>
                <w:sz w:val="14"/>
                <w:szCs w:val="14"/>
                <w:color w:val="auto"/>
                <w:w w:val="90"/>
              </w:rPr>
              <w:t>From SIBR represents Bear C DA ISTs</w:t>
            </w: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80" w:type="dxa"/>
            <w:vAlign w:val="bottom"/>
            <w:tcBorders>
              <w:left w:val="single" w:sz="8" w:color="auto"/>
              <w:bottom w:val="single" w:sz="8" w:color="auto"/>
              <w:right w:val="single" w:sz="8" w:color="auto"/>
            </w:tcBorders>
            <w:shd w:val="clear" w:color="auto" w:fill="FFCC99"/>
          </w:tcPr>
          <w:p>
            <w:pPr>
              <w:ind w:left="120"/>
              <w:spacing w:after="0" w:line="156" w:lineRule="exact"/>
              <w:rPr>
                <w:sz w:val="20"/>
                <w:szCs w:val="20"/>
                <w:color w:val="auto"/>
              </w:rPr>
            </w:pPr>
            <w:r>
              <w:rPr>
                <w:rFonts w:ascii="Arial" w:cs="Arial" w:eastAsia="Arial" w:hAnsi="Arial"/>
                <w:sz w:val="14"/>
                <w:szCs w:val="14"/>
                <w:b w:val="1"/>
                <w:bCs w:val="1"/>
                <w:color w:val="auto"/>
              </w:rPr>
              <w:t>Column 4</w:t>
            </w:r>
          </w:p>
        </w:tc>
        <w:tc>
          <w:tcPr>
            <w:tcW w:w="3360" w:type="dxa"/>
            <w:vAlign w:val="bottom"/>
            <w:gridSpan w:val="5"/>
          </w:tcPr>
          <w:p>
            <w:pPr>
              <w:ind w:left="40"/>
              <w:spacing w:after="0" w:line="156" w:lineRule="exact"/>
              <w:rPr>
                <w:sz w:val="20"/>
                <w:szCs w:val="20"/>
                <w:color w:val="auto"/>
              </w:rPr>
            </w:pPr>
            <w:r>
              <w:rPr>
                <w:rFonts w:ascii="Arial" w:cs="Arial" w:eastAsia="Arial" w:hAnsi="Arial"/>
                <w:sz w:val="14"/>
                <w:szCs w:val="14"/>
                <w:color w:val="auto"/>
              </w:rPr>
              <w:t>From SIBR represents CalPeak (Border) RTM ISTs*</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80" w:type="dxa"/>
            <w:vAlign w:val="bottom"/>
            <w:tcBorders>
              <w:left w:val="single" w:sz="8" w:color="auto"/>
              <w:bottom w:val="single" w:sz="8" w:color="auto"/>
              <w:right w:val="single" w:sz="8" w:color="auto"/>
            </w:tcBorders>
            <w:shd w:val="clear" w:color="auto" w:fill="FFCC99"/>
          </w:tcPr>
          <w:p>
            <w:pPr>
              <w:ind w:left="120"/>
              <w:spacing w:after="0" w:line="156" w:lineRule="exact"/>
              <w:rPr>
                <w:sz w:val="20"/>
                <w:szCs w:val="20"/>
                <w:color w:val="auto"/>
              </w:rPr>
            </w:pPr>
            <w:r>
              <w:rPr>
                <w:rFonts w:ascii="Arial" w:cs="Arial" w:eastAsia="Arial" w:hAnsi="Arial"/>
                <w:sz w:val="14"/>
                <w:szCs w:val="14"/>
                <w:b w:val="1"/>
                <w:bCs w:val="1"/>
                <w:color w:val="auto"/>
              </w:rPr>
              <w:t>Column 5</w:t>
            </w:r>
          </w:p>
        </w:tc>
        <w:tc>
          <w:tcPr>
            <w:tcW w:w="3360" w:type="dxa"/>
            <w:vAlign w:val="bottom"/>
            <w:gridSpan w:val="5"/>
          </w:tcPr>
          <w:p>
            <w:pPr>
              <w:ind w:left="40"/>
              <w:spacing w:after="0" w:line="156" w:lineRule="exact"/>
              <w:rPr>
                <w:sz w:val="20"/>
                <w:szCs w:val="20"/>
                <w:color w:val="auto"/>
              </w:rPr>
            </w:pPr>
            <w:r>
              <w:rPr>
                <w:rFonts w:ascii="Arial" w:cs="Arial" w:eastAsia="Arial" w:hAnsi="Arial"/>
                <w:sz w:val="14"/>
                <w:szCs w:val="14"/>
                <w:color w:val="auto"/>
                <w:w w:val="95"/>
              </w:rPr>
              <w:t>From SIBR represents CalPeak (Enterprise) RTM ISTs*</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80" w:type="dxa"/>
            <w:vAlign w:val="bottom"/>
            <w:tcBorders>
              <w:left w:val="single" w:sz="8" w:color="auto"/>
              <w:bottom w:val="single" w:sz="8" w:color="auto"/>
              <w:right w:val="single" w:sz="8" w:color="auto"/>
            </w:tcBorders>
            <w:shd w:val="clear" w:color="auto" w:fill="FFCC99"/>
          </w:tcPr>
          <w:p>
            <w:pPr>
              <w:ind w:left="120"/>
              <w:spacing w:after="0" w:line="156" w:lineRule="exact"/>
              <w:rPr>
                <w:sz w:val="20"/>
                <w:szCs w:val="20"/>
                <w:color w:val="auto"/>
              </w:rPr>
            </w:pPr>
            <w:r>
              <w:rPr>
                <w:rFonts w:ascii="Arial" w:cs="Arial" w:eastAsia="Arial" w:hAnsi="Arial"/>
                <w:sz w:val="14"/>
                <w:szCs w:val="14"/>
                <w:b w:val="1"/>
                <w:bCs w:val="1"/>
                <w:color w:val="auto"/>
              </w:rPr>
              <w:t>Column 6</w:t>
            </w:r>
          </w:p>
        </w:tc>
        <w:tc>
          <w:tcPr>
            <w:tcW w:w="3360" w:type="dxa"/>
            <w:vAlign w:val="bottom"/>
            <w:gridSpan w:val="5"/>
          </w:tcPr>
          <w:p>
            <w:pPr>
              <w:ind w:left="40"/>
              <w:spacing w:after="0" w:line="156" w:lineRule="exact"/>
              <w:rPr>
                <w:sz w:val="20"/>
                <w:szCs w:val="20"/>
                <w:color w:val="auto"/>
              </w:rPr>
            </w:pPr>
            <w:r>
              <w:rPr>
                <w:rFonts w:ascii="Arial" w:cs="Arial" w:eastAsia="Arial" w:hAnsi="Arial"/>
                <w:sz w:val="14"/>
                <w:szCs w:val="14"/>
                <w:color w:val="auto"/>
                <w:w w:val="98"/>
              </w:rPr>
              <w:t>From SIBR represents CalPeak (El Cajon) RTM ISTs*</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80" w:type="dxa"/>
            <w:vAlign w:val="bottom"/>
            <w:tcBorders>
              <w:left w:val="single" w:sz="8" w:color="auto"/>
              <w:bottom w:val="single" w:sz="8" w:color="auto"/>
              <w:right w:val="single" w:sz="8" w:color="auto"/>
            </w:tcBorders>
            <w:shd w:val="clear" w:color="auto" w:fill="CCFFCC"/>
          </w:tcPr>
          <w:p>
            <w:pPr>
              <w:ind w:left="120"/>
              <w:spacing w:after="0" w:line="156" w:lineRule="exact"/>
              <w:rPr>
                <w:sz w:val="20"/>
                <w:szCs w:val="20"/>
                <w:color w:val="auto"/>
              </w:rPr>
            </w:pPr>
            <w:r>
              <w:rPr>
                <w:rFonts w:ascii="Arial" w:cs="Arial" w:eastAsia="Arial" w:hAnsi="Arial"/>
                <w:sz w:val="14"/>
                <w:szCs w:val="14"/>
                <w:b w:val="1"/>
                <w:bCs w:val="1"/>
                <w:color w:val="auto"/>
              </w:rPr>
              <w:t>Column 7</w:t>
            </w:r>
          </w:p>
        </w:tc>
        <w:tc>
          <w:tcPr>
            <w:tcW w:w="3360" w:type="dxa"/>
            <w:vAlign w:val="bottom"/>
            <w:gridSpan w:val="5"/>
          </w:tcPr>
          <w:p>
            <w:pPr>
              <w:ind w:left="40"/>
              <w:spacing w:after="0" w:line="156" w:lineRule="exact"/>
              <w:rPr>
                <w:sz w:val="20"/>
                <w:szCs w:val="20"/>
                <w:color w:val="auto"/>
              </w:rPr>
            </w:pPr>
            <w:r>
              <w:rPr>
                <w:rFonts w:ascii="Arial" w:cs="Arial" w:eastAsia="Arial" w:hAnsi="Arial"/>
                <w:sz w:val="14"/>
                <w:szCs w:val="14"/>
                <w:color w:val="auto"/>
                <w:w w:val="93"/>
              </w:rPr>
              <w:t>From SIBR represents (WIND) Whitewater Hill RTM ISTs</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80" w:type="dxa"/>
            <w:vAlign w:val="bottom"/>
            <w:tcBorders>
              <w:left w:val="single" w:sz="8" w:color="auto"/>
              <w:bottom w:val="single" w:sz="8" w:color="auto"/>
              <w:right w:val="single" w:sz="8" w:color="auto"/>
            </w:tcBorders>
            <w:shd w:val="clear" w:color="auto" w:fill="CCFFCC"/>
          </w:tcPr>
          <w:p>
            <w:pPr>
              <w:ind w:left="120"/>
              <w:spacing w:after="0" w:line="156" w:lineRule="exact"/>
              <w:rPr>
                <w:sz w:val="20"/>
                <w:szCs w:val="20"/>
                <w:color w:val="auto"/>
              </w:rPr>
            </w:pPr>
            <w:r>
              <w:rPr>
                <w:rFonts w:ascii="Arial" w:cs="Arial" w:eastAsia="Arial" w:hAnsi="Arial"/>
                <w:sz w:val="14"/>
                <w:szCs w:val="14"/>
                <w:b w:val="1"/>
                <w:bCs w:val="1"/>
                <w:color w:val="auto"/>
              </w:rPr>
              <w:t>Column 8</w:t>
            </w:r>
          </w:p>
        </w:tc>
        <w:tc>
          <w:tcPr>
            <w:tcW w:w="4240" w:type="dxa"/>
            <w:vAlign w:val="bottom"/>
            <w:gridSpan w:val="6"/>
          </w:tcPr>
          <w:p>
            <w:pPr>
              <w:ind w:left="40"/>
              <w:spacing w:after="0" w:line="156" w:lineRule="exact"/>
              <w:rPr>
                <w:sz w:val="20"/>
                <w:szCs w:val="20"/>
                <w:color w:val="auto"/>
              </w:rPr>
            </w:pPr>
            <w:r>
              <w:rPr>
                <w:rFonts w:ascii="Arial" w:cs="Arial" w:eastAsia="Arial" w:hAnsi="Arial"/>
                <w:sz w:val="14"/>
                <w:szCs w:val="14"/>
                <w:color w:val="auto"/>
              </w:rPr>
              <w:t>From SIBR represents (WIND) Whitewater Cabazon RTM ISTs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80" w:type="dxa"/>
            <w:vAlign w:val="bottom"/>
            <w:tcBorders>
              <w:left w:val="single" w:sz="8" w:color="auto"/>
              <w:bottom w:val="single" w:sz="8" w:color="auto"/>
              <w:right w:val="single" w:sz="8" w:color="auto"/>
            </w:tcBorders>
            <w:shd w:val="clear" w:color="auto" w:fill="CC99FF"/>
          </w:tcPr>
          <w:p>
            <w:pPr>
              <w:ind w:left="120"/>
              <w:spacing w:after="0" w:line="156" w:lineRule="exact"/>
              <w:rPr>
                <w:sz w:val="20"/>
                <w:szCs w:val="20"/>
                <w:color w:val="auto"/>
              </w:rPr>
            </w:pPr>
            <w:r>
              <w:rPr>
                <w:rFonts w:ascii="Arial" w:cs="Arial" w:eastAsia="Arial" w:hAnsi="Arial"/>
                <w:sz w:val="14"/>
                <w:szCs w:val="14"/>
                <w:b w:val="1"/>
                <w:bCs w:val="1"/>
                <w:color w:val="auto"/>
              </w:rPr>
              <w:t>Column 9</w:t>
            </w:r>
          </w:p>
        </w:tc>
        <w:tc>
          <w:tcPr>
            <w:tcW w:w="5420" w:type="dxa"/>
            <w:vAlign w:val="bottom"/>
            <w:gridSpan w:val="8"/>
          </w:tcPr>
          <w:p>
            <w:pPr>
              <w:ind w:left="40"/>
              <w:spacing w:after="0" w:line="156" w:lineRule="exact"/>
              <w:rPr>
                <w:sz w:val="20"/>
                <w:szCs w:val="20"/>
                <w:color w:val="auto"/>
              </w:rPr>
            </w:pPr>
            <w:r>
              <w:rPr>
                <w:rFonts w:ascii="Arial" w:cs="Arial" w:eastAsia="Arial" w:hAnsi="Arial"/>
                <w:sz w:val="14"/>
                <w:szCs w:val="14"/>
                <w:color w:val="auto"/>
                <w:w w:val="90"/>
              </w:rPr>
              <w:t>Data represents Sunrise Generation (SUNRIS2PL1X3) as shown in OMAR System - Channel 4</w:t>
            </w: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80" w:type="dxa"/>
            <w:vAlign w:val="bottom"/>
            <w:tcBorders>
              <w:left w:val="single" w:sz="8" w:color="auto"/>
              <w:bottom w:val="single" w:sz="8" w:color="auto"/>
              <w:right w:val="single" w:sz="8" w:color="auto"/>
            </w:tcBorders>
            <w:shd w:val="clear" w:color="auto" w:fill="99CCFF"/>
          </w:tcPr>
          <w:p>
            <w:pPr>
              <w:ind w:left="120"/>
              <w:spacing w:after="0" w:line="156" w:lineRule="exact"/>
              <w:rPr>
                <w:sz w:val="20"/>
                <w:szCs w:val="20"/>
                <w:color w:val="auto"/>
              </w:rPr>
            </w:pPr>
            <w:r>
              <w:rPr>
                <w:rFonts w:ascii="Arial" w:cs="Arial" w:eastAsia="Arial" w:hAnsi="Arial"/>
                <w:sz w:val="14"/>
                <w:szCs w:val="14"/>
                <w:b w:val="1"/>
                <w:bCs w:val="1"/>
                <w:color w:val="auto"/>
              </w:rPr>
              <w:t>Column 10</w:t>
            </w:r>
          </w:p>
        </w:tc>
        <w:tc>
          <w:tcPr>
            <w:tcW w:w="2260" w:type="dxa"/>
            <w:vAlign w:val="bottom"/>
            <w:gridSpan w:val="3"/>
          </w:tcPr>
          <w:p>
            <w:pPr>
              <w:ind w:left="40"/>
              <w:spacing w:after="0" w:line="156" w:lineRule="exact"/>
              <w:rPr>
                <w:sz w:val="20"/>
                <w:szCs w:val="20"/>
                <w:color w:val="auto"/>
              </w:rPr>
            </w:pPr>
            <w:r>
              <w:rPr>
                <w:rFonts w:ascii="Arial" w:cs="Arial" w:eastAsia="Arial" w:hAnsi="Arial"/>
                <w:sz w:val="14"/>
                <w:szCs w:val="14"/>
                <w:color w:val="auto"/>
              </w:rPr>
              <w:t>Total Sum of Columns (2 thru 9)</w:t>
            </w: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80" w:type="dxa"/>
            <w:vAlign w:val="bottom"/>
            <w:tcBorders>
              <w:left w:val="single" w:sz="8" w:color="auto"/>
              <w:bottom w:val="single" w:sz="8" w:color="auto"/>
              <w:right w:val="single" w:sz="8" w:color="auto"/>
            </w:tcBorders>
            <w:shd w:val="clear" w:color="auto" w:fill="99CCFF"/>
          </w:tcPr>
          <w:p>
            <w:pPr>
              <w:ind w:left="120"/>
              <w:spacing w:after="0" w:line="156" w:lineRule="exact"/>
              <w:rPr>
                <w:sz w:val="20"/>
                <w:szCs w:val="20"/>
                <w:color w:val="auto"/>
              </w:rPr>
            </w:pPr>
            <w:r>
              <w:rPr>
                <w:rFonts w:ascii="Arial" w:cs="Arial" w:eastAsia="Arial" w:hAnsi="Arial"/>
                <w:sz w:val="14"/>
                <w:szCs w:val="14"/>
                <w:b w:val="1"/>
                <w:bCs w:val="1"/>
                <w:color w:val="auto"/>
              </w:rPr>
              <w:t>Column 11</w:t>
            </w:r>
          </w:p>
        </w:tc>
        <w:tc>
          <w:tcPr>
            <w:tcW w:w="3360" w:type="dxa"/>
            <w:vAlign w:val="bottom"/>
            <w:gridSpan w:val="5"/>
          </w:tcPr>
          <w:p>
            <w:pPr>
              <w:ind w:left="40"/>
              <w:spacing w:after="0" w:line="156" w:lineRule="exact"/>
              <w:rPr>
                <w:sz w:val="20"/>
                <w:szCs w:val="20"/>
                <w:color w:val="auto"/>
              </w:rPr>
            </w:pPr>
            <w:r>
              <w:rPr>
                <w:rFonts w:ascii="Arial" w:cs="Arial" w:eastAsia="Arial" w:hAnsi="Arial"/>
                <w:sz w:val="14"/>
                <w:szCs w:val="14"/>
                <w:color w:val="auto"/>
              </w:rPr>
              <w:t>True-up Adjustment for Previous Period Corrections</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80" w:type="dxa"/>
            <w:vAlign w:val="bottom"/>
            <w:tcBorders>
              <w:left w:val="single" w:sz="8" w:color="auto"/>
              <w:bottom w:val="single" w:sz="8" w:color="auto"/>
              <w:right w:val="single" w:sz="8" w:color="auto"/>
            </w:tcBorders>
            <w:shd w:val="clear" w:color="auto" w:fill="99CCFF"/>
          </w:tcPr>
          <w:p>
            <w:pPr>
              <w:ind w:left="120"/>
              <w:spacing w:after="0" w:line="156" w:lineRule="exact"/>
              <w:rPr>
                <w:sz w:val="20"/>
                <w:szCs w:val="20"/>
                <w:color w:val="auto"/>
              </w:rPr>
            </w:pPr>
            <w:r>
              <w:rPr>
                <w:rFonts w:ascii="Arial" w:cs="Arial" w:eastAsia="Arial" w:hAnsi="Arial"/>
                <w:sz w:val="14"/>
                <w:szCs w:val="14"/>
                <w:b w:val="1"/>
                <w:bCs w:val="1"/>
                <w:color w:val="auto"/>
              </w:rPr>
              <w:t>Column 12</w:t>
            </w:r>
          </w:p>
        </w:tc>
        <w:tc>
          <w:tcPr>
            <w:tcW w:w="2260" w:type="dxa"/>
            <w:vAlign w:val="bottom"/>
            <w:gridSpan w:val="3"/>
          </w:tcPr>
          <w:p>
            <w:pPr>
              <w:ind w:left="40"/>
              <w:spacing w:after="0" w:line="156" w:lineRule="exact"/>
              <w:rPr>
                <w:sz w:val="20"/>
                <w:szCs w:val="20"/>
                <w:color w:val="auto"/>
              </w:rPr>
            </w:pPr>
            <w:r>
              <w:rPr>
                <w:rFonts w:ascii="Arial" w:cs="Arial" w:eastAsia="Arial" w:hAnsi="Arial"/>
                <w:sz w:val="14"/>
                <w:szCs w:val="14"/>
                <w:color w:val="auto"/>
              </w:rPr>
              <w:t>Total With Adjustments (10 and 11)</w:t>
            </w: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80" w:type="dxa"/>
            <w:vAlign w:val="bottom"/>
            <w:tcBorders>
              <w:left w:val="single" w:sz="8" w:color="auto"/>
              <w:bottom w:val="single" w:sz="8" w:color="auto"/>
              <w:right w:val="single" w:sz="8" w:color="auto"/>
            </w:tcBorders>
            <w:shd w:val="clear" w:color="auto" w:fill="FFFF99"/>
          </w:tcPr>
          <w:p>
            <w:pPr>
              <w:ind w:left="120"/>
              <w:spacing w:after="0" w:line="156" w:lineRule="exact"/>
              <w:rPr>
                <w:sz w:val="20"/>
                <w:szCs w:val="20"/>
                <w:color w:val="auto"/>
              </w:rPr>
            </w:pPr>
            <w:r>
              <w:rPr>
                <w:rFonts w:ascii="Arial" w:cs="Arial" w:eastAsia="Arial" w:hAnsi="Arial"/>
                <w:sz w:val="14"/>
                <w:szCs w:val="14"/>
                <w:b w:val="1"/>
                <w:bCs w:val="1"/>
                <w:color w:val="auto"/>
              </w:rPr>
              <w:t>Column 13</w:t>
            </w:r>
          </w:p>
        </w:tc>
        <w:tc>
          <w:tcPr>
            <w:tcW w:w="4240" w:type="dxa"/>
            <w:vAlign w:val="bottom"/>
            <w:gridSpan w:val="6"/>
          </w:tcPr>
          <w:p>
            <w:pPr>
              <w:ind w:left="40"/>
              <w:spacing w:after="0" w:line="156" w:lineRule="exact"/>
              <w:rPr>
                <w:sz w:val="20"/>
                <w:szCs w:val="20"/>
                <w:color w:val="auto"/>
              </w:rPr>
            </w:pPr>
            <w:r>
              <w:rPr>
                <w:rFonts w:ascii="Arial" w:cs="Arial" w:eastAsia="Arial" w:hAnsi="Arial"/>
                <w:sz w:val="14"/>
                <w:szCs w:val="14"/>
                <w:color w:val="auto"/>
              </w:rPr>
              <w:t>Total percentage for DWR - (Column 12 divided by Column 1)</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80" w:type="dxa"/>
            <w:vAlign w:val="bottom"/>
            <w:tcBorders>
              <w:left w:val="single" w:sz="8" w:color="auto"/>
              <w:bottom w:val="single" w:sz="8" w:color="auto"/>
              <w:right w:val="single" w:sz="8" w:color="auto"/>
            </w:tcBorders>
            <w:shd w:val="clear" w:color="auto" w:fill="99CC00"/>
          </w:tcPr>
          <w:p>
            <w:pPr>
              <w:ind w:left="120"/>
              <w:spacing w:after="0" w:line="156" w:lineRule="exact"/>
              <w:rPr>
                <w:sz w:val="20"/>
                <w:szCs w:val="20"/>
                <w:color w:val="auto"/>
              </w:rPr>
            </w:pPr>
            <w:r>
              <w:rPr>
                <w:rFonts w:ascii="Arial" w:cs="Arial" w:eastAsia="Arial" w:hAnsi="Arial"/>
                <w:sz w:val="14"/>
                <w:szCs w:val="14"/>
                <w:b w:val="1"/>
                <w:bCs w:val="1"/>
                <w:color w:val="auto"/>
              </w:rPr>
              <w:t>Column 14</w:t>
            </w:r>
          </w:p>
        </w:tc>
        <w:tc>
          <w:tcPr>
            <w:tcW w:w="3360" w:type="dxa"/>
            <w:vAlign w:val="bottom"/>
            <w:gridSpan w:val="5"/>
          </w:tcPr>
          <w:p>
            <w:pPr>
              <w:ind w:left="40"/>
              <w:spacing w:after="0" w:line="156" w:lineRule="exact"/>
              <w:rPr>
                <w:sz w:val="20"/>
                <w:szCs w:val="20"/>
                <w:color w:val="auto"/>
              </w:rPr>
            </w:pPr>
            <w:r>
              <w:rPr>
                <w:rFonts w:ascii="Arial" w:cs="Arial" w:eastAsia="Arial" w:hAnsi="Arial"/>
                <w:sz w:val="14"/>
                <w:szCs w:val="14"/>
                <w:color w:val="auto"/>
              </w:rPr>
              <w:t>Total percentage SDGE - (1 - Column 13)</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00"/>
        <w:spacing w:after="0"/>
        <w:rPr>
          <w:sz w:val="20"/>
          <w:szCs w:val="20"/>
          <w:color w:val="auto"/>
        </w:rPr>
      </w:pPr>
      <w:r>
        <w:rPr>
          <w:rFonts w:ascii="Arial" w:cs="Arial" w:eastAsia="Arial" w:hAnsi="Arial"/>
          <w:sz w:val="11"/>
          <w:szCs w:val="11"/>
          <w:b w:val="1"/>
          <w:bCs w:val="1"/>
          <w:color w:val="auto"/>
        </w:rPr>
        <w:t>Note:</w:t>
      </w:r>
    </w:p>
    <w:p>
      <w:pPr>
        <w:spacing w:after="0" w:line="12" w:lineRule="exact"/>
        <w:rPr>
          <w:sz w:val="20"/>
          <w:szCs w:val="20"/>
          <w:color w:val="auto"/>
        </w:rPr>
      </w:pPr>
    </w:p>
    <w:p>
      <w:pPr>
        <w:jc w:val="both"/>
        <w:ind w:left="1320" w:right="1100" w:hanging="9"/>
        <w:spacing w:after="0" w:line="232" w:lineRule="auto"/>
        <w:tabs>
          <w:tab w:leader="none" w:pos="1485" w:val="left"/>
        </w:tabs>
        <w:numPr>
          <w:ilvl w:val="0"/>
          <w:numId w:val="228"/>
        </w:numPr>
        <w:rPr>
          <w:rFonts w:ascii="Arial" w:cs="Arial" w:eastAsia="Arial" w:hAnsi="Arial"/>
          <w:sz w:val="17"/>
          <w:szCs w:val="17"/>
          <w:color w:val="auto"/>
        </w:rPr>
      </w:pPr>
      <w:r>
        <w:rPr>
          <w:rFonts w:ascii="Arial" w:cs="Arial" w:eastAsia="Arial" w:hAnsi="Arial"/>
          <w:sz w:val="17"/>
          <w:szCs w:val="17"/>
          <w:color w:val="auto"/>
        </w:rPr>
        <w:t>Upon appointment of SDG&amp;E as the Scheduling Coordinator for the CalPeak (Border), CalPeak (Enterprise) and CalPeak (El Cajon) Contracts, the data for these Contracts will represent the amount of Generation for each Contract as shown in OMAR System rather than the quantities described above.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Col 10</w:t>
            </w: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5"/>
                <w:szCs w:val="15"/>
                <w:b w:val="1"/>
                <w:bCs w:val="1"/>
                <w:color w:val="auto"/>
              </w:rPr>
              <w:t>Col 11</w:t>
            </w:r>
          </w:p>
        </w:tc>
        <w:tc>
          <w:tcPr>
            <w:tcW w:w="106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Col 12</w:t>
            </w: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rPr>
              <w:t>Col 13</w:t>
            </w:r>
          </w:p>
        </w:tc>
        <w:tc>
          <w:tcPr>
            <w:tcW w:w="1280" w:type="dxa"/>
            <w:vAlign w:val="bottom"/>
            <w:tcBorders>
              <w:bottom w:val="single" w:sz="8" w:color="auto"/>
            </w:tcBorders>
          </w:tcPr>
          <w:p>
            <w:pPr>
              <w:ind w:left="420"/>
              <w:spacing w:after="0"/>
              <w:rPr>
                <w:sz w:val="20"/>
                <w:szCs w:val="20"/>
                <w:color w:val="auto"/>
              </w:rPr>
            </w:pPr>
            <w:r>
              <w:rPr>
                <w:rFonts w:ascii="Arial" w:cs="Arial" w:eastAsia="Arial" w:hAnsi="Arial"/>
                <w:sz w:val="15"/>
                <w:szCs w:val="15"/>
                <w:b w:val="1"/>
                <w:bCs w:val="1"/>
                <w:color w:val="auto"/>
              </w:rPr>
              <w:t>Col 14</w:t>
            </w:r>
          </w:p>
        </w:tc>
        <w:tc>
          <w:tcPr>
            <w:tcW w:w="2420" w:type="dxa"/>
            <w:vAlign w:val="bottom"/>
            <w:vMerge w:val="restart"/>
          </w:tcPr>
          <w:p>
            <w:pPr>
              <w:ind w:left="760"/>
              <w:spacing w:after="0"/>
              <w:rPr>
                <w:sz w:val="20"/>
                <w:szCs w:val="20"/>
                <w:color w:val="auto"/>
              </w:rPr>
            </w:pPr>
            <w:r>
              <w:rPr>
                <w:rFonts w:ascii="Arial" w:cs="Arial" w:eastAsia="Arial" w:hAnsi="Arial"/>
                <w:sz w:val="17"/>
                <w:szCs w:val="17"/>
                <w:color w:val="auto"/>
                <w:w w:val="88"/>
              </w:rPr>
              <w:t>Comment for adjustment</w:t>
            </w:r>
          </w:p>
        </w:tc>
        <w:tc>
          <w:tcPr>
            <w:tcW w:w="0" w:type="dxa"/>
            <w:vAlign w:val="bottom"/>
          </w:tcPr>
          <w:p>
            <w:pPr>
              <w:spacing w:after="0"/>
              <w:rPr>
                <w:sz w:val="1"/>
                <w:szCs w:val="1"/>
                <w:color w:val="auto"/>
              </w:rPr>
            </w:pPr>
          </w:p>
        </w:tc>
      </w:tr>
      <w:tr>
        <w:trPr>
          <w:trHeight w:val="197"/>
        </w:trPr>
        <w:tc>
          <w:tcPr>
            <w:tcW w:w="1200" w:type="dxa"/>
            <w:vAlign w:val="bottom"/>
            <w:tcBorders>
              <w:bottom w:val="single" w:sz="8" w:color="auto"/>
              <w:right w:val="single" w:sz="8" w:color="auto"/>
            </w:tcBorders>
          </w:tcPr>
          <w:p>
            <w:pPr>
              <w:jc w:val="center"/>
              <w:spacing w:after="0" w:line="177" w:lineRule="exact"/>
              <w:rPr>
                <w:sz w:val="20"/>
                <w:szCs w:val="20"/>
                <w:color w:val="auto"/>
              </w:rPr>
            </w:pPr>
            <w:r>
              <w:rPr>
                <w:rFonts w:ascii="Arial" w:cs="Arial" w:eastAsia="Arial" w:hAnsi="Arial"/>
                <w:sz w:val="17"/>
                <w:szCs w:val="17"/>
                <w:b w:val="1"/>
                <w:bCs w:val="1"/>
                <w:color w:val="auto"/>
                <w:w w:val="88"/>
              </w:rPr>
              <w:t>Total</w:t>
            </w:r>
          </w:p>
        </w:tc>
        <w:tc>
          <w:tcPr>
            <w:tcW w:w="1040" w:type="dxa"/>
            <w:vAlign w:val="bottom"/>
            <w:tcBorders>
              <w:bottom w:val="single" w:sz="8" w:color="auto"/>
              <w:right w:val="single" w:sz="8" w:color="auto"/>
            </w:tcBorders>
          </w:tcPr>
          <w:p>
            <w:pPr>
              <w:jc w:val="center"/>
              <w:spacing w:after="0" w:line="177" w:lineRule="exact"/>
              <w:rPr>
                <w:sz w:val="20"/>
                <w:szCs w:val="20"/>
                <w:color w:val="auto"/>
              </w:rPr>
            </w:pPr>
            <w:r>
              <w:rPr>
                <w:rFonts w:ascii="Arial" w:cs="Arial" w:eastAsia="Arial" w:hAnsi="Arial"/>
                <w:sz w:val="17"/>
                <w:szCs w:val="17"/>
                <w:b w:val="1"/>
                <w:bCs w:val="1"/>
                <w:color w:val="auto"/>
                <w:w w:val="91"/>
              </w:rPr>
              <w:t>True-up</w:t>
            </w:r>
          </w:p>
        </w:tc>
        <w:tc>
          <w:tcPr>
            <w:tcW w:w="1060" w:type="dxa"/>
            <w:vAlign w:val="bottom"/>
            <w:tcBorders>
              <w:bottom w:val="single" w:sz="8" w:color="auto"/>
              <w:right w:val="single" w:sz="8" w:color="auto"/>
            </w:tcBorders>
          </w:tcPr>
          <w:p>
            <w:pPr>
              <w:jc w:val="center"/>
              <w:spacing w:after="0" w:line="177" w:lineRule="exact"/>
              <w:rPr>
                <w:sz w:val="20"/>
                <w:szCs w:val="20"/>
                <w:color w:val="auto"/>
              </w:rPr>
            </w:pPr>
            <w:r>
              <w:rPr>
                <w:rFonts w:ascii="Arial" w:cs="Arial" w:eastAsia="Arial" w:hAnsi="Arial"/>
                <w:sz w:val="17"/>
                <w:szCs w:val="17"/>
                <w:b w:val="1"/>
                <w:bCs w:val="1"/>
                <w:color w:val="auto"/>
                <w:w w:val="88"/>
              </w:rPr>
              <w:t>Total</w:t>
            </w:r>
          </w:p>
        </w:tc>
        <w:tc>
          <w:tcPr>
            <w:tcW w:w="1120" w:type="dxa"/>
            <w:vAlign w:val="bottom"/>
            <w:tcBorders>
              <w:bottom w:val="single" w:sz="8" w:color="auto"/>
              <w:right w:val="single" w:sz="8" w:color="auto"/>
            </w:tcBorders>
          </w:tcPr>
          <w:p>
            <w:pPr>
              <w:ind w:left="460"/>
              <w:spacing w:after="0" w:line="177" w:lineRule="exact"/>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right w:val="single" w:sz="8" w:color="auto"/>
            </w:tcBorders>
          </w:tcPr>
          <w:p>
            <w:pPr>
              <w:ind w:left="540"/>
              <w:spacing w:after="0" w:line="177" w:lineRule="exact"/>
              <w:rPr>
                <w:sz w:val="20"/>
                <w:szCs w:val="20"/>
                <w:color w:val="auto"/>
              </w:rPr>
            </w:pPr>
            <w:r>
              <w:rPr>
                <w:rFonts w:ascii="Arial" w:cs="Arial" w:eastAsia="Arial" w:hAnsi="Arial"/>
                <w:sz w:val="17"/>
                <w:szCs w:val="17"/>
                <w:b w:val="1"/>
                <w:bCs w:val="1"/>
                <w:color w:val="auto"/>
              </w:rPr>
              <w:t>%</w:t>
            </w: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Energy, Wind</w:t>
            </w:r>
          </w:p>
        </w:tc>
        <w:tc>
          <w:tcPr>
            <w:tcW w:w="104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4"/>
                <w:szCs w:val="14"/>
                <w:b w:val="1"/>
                <w:bCs w:val="1"/>
                <w:color w:val="auto"/>
                <w:w w:val="90"/>
              </w:rPr>
              <w:t>Adjustment</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With</w:t>
            </w:r>
          </w:p>
        </w:tc>
        <w:tc>
          <w:tcPr>
            <w:tcW w:w="112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200" w:type="dxa"/>
            <w:vAlign w:val="bottom"/>
            <w:tcBorders>
              <w:left w:val="single" w:sz="8" w:color="auto"/>
              <w:right w:val="single" w:sz="8" w:color="auto"/>
            </w:tcBorders>
            <w:vMerge w:val="continue"/>
          </w:tcPr>
          <w:p>
            <w:pPr>
              <w:spacing w:after="0"/>
              <w:rPr>
                <w:sz w:val="7"/>
                <w:szCs w:val="7"/>
                <w:color w:val="auto"/>
              </w:rPr>
            </w:pPr>
          </w:p>
        </w:tc>
        <w:tc>
          <w:tcPr>
            <w:tcW w:w="104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4"/>
                <w:szCs w:val="14"/>
                <w:b w:val="1"/>
                <w:bCs w:val="1"/>
                <w:color w:val="auto"/>
                <w:w w:val="93"/>
              </w:rPr>
              <w:t>from Previous</w:t>
            </w:r>
          </w:p>
        </w:tc>
        <w:tc>
          <w:tcPr>
            <w:tcW w:w="106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restart"/>
          </w:tcPr>
          <w:p>
            <w:pPr>
              <w:ind w:left="380"/>
              <w:spacing w:after="0"/>
              <w:rPr>
                <w:sz w:val="20"/>
                <w:szCs w:val="20"/>
                <w:color w:val="auto"/>
              </w:rPr>
            </w:pPr>
            <w:r>
              <w:rPr>
                <w:rFonts w:ascii="Arial" w:cs="Arial" w:eastAsia="Arial" w:hAnsi="Arial"/>
                <w:sz w:val="14"/>
                <w:szCs w:val="14"/>
                <w:b w:val="1"/>
                <w:bCs w:val="1"/>
                <w:color w:val="auto"/>
              </w:rPr>
              <w:t>DWR</w:t>
            </w:r>
          </w:p>
        </w:tc>
        <w:tc>
          <w:tcPr>
            <w:tcW w:w="1280" w:type="dxa"/>
            <w:vAlign w:val="bottom"/>
            <w:tcBorders>
              <w:right w:val="single" w:sz="8" w:color="auto"/>
            </w:tcBorders>
            <w:vMerge w:val="restart"/>
          </w:tcPr>
          <w:p>
            <w:pPr>
              <w:ind w:left="440"/>
              <w:spacing w:after="0"/>
              <w:rPr>
                <w:sz w:val="20"/>
                <w:szCs w:val="20"/>
                <w:color w:val="auto"/>
              </w:rPr>
            </w:pPr>
            <w:r>
              <w:rPr>
                <w:rFonts w:ascii="Arial" w:cs="Arial" w:eastAsia="Arial" w:hAnsi="Arial"/>
                <w:sz w:val="14"/>
                <w:szCs w:val="14"/>
                <w:b w:val="1"/>
                <w:bCs w:val="1"/>
                <w:color w:val="auto"/>
              </w:rPr>
              <w:t>SDGE</w:t>
            </w: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&amp; Generation</w:t>
            </w:r>
          </w:p>
        </w:tc>
        <w:tc>
          <w:tcPr>
            <w:tcW w:w="104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Adjustment</w:t>
            </w:r>
          </w:p>
        </w:tc>
        <w:tc>
          <w:tcPr>
            <w:tcW w:w="1120" w:type="dxa"/>
            <w:vAlign w:val="bottom"/>
            <w:tcBorders>
              <w:right w:val="single" w:sz="8" w:color="auto"/>
            </w:tcBorders>
            <w:vMerge w:val="continue"/>
          </w:tcPr>
          <w:p>
            <w:pPr>
              <w:spacing w:after="0"/>
              <w:rPr>
                <w:sz w:val="7"/>
                <w:szCs w:val="7"/>
                <w:color w:val="auto"/>
              </w:rPr>
            </w:pPr>
          </w:p>
        </w:tc>
        <w:tc>
          <w:tcPr>
            <w:tcW w:w="1280" w:type="dxa"/>
            <w:vAlign w:val="bottom"/>
            <w:tcBorders>
              <w:right w:val="single" w:sz="8" w:color="auto"/>
            </w:tcBorders>
            <w:vMerge w:val="continue"/>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200" w:type="dxa"/>
            <w:vAlign w:val="bottom"/>
            <w:tcBorders>
              <w:left w:val="single" w:sz="8" w:color="auto"/>
              <w:right w:val="single" w:sz="8" w:color="auto"/>
            </w:tcBorders>
            <w:vMerge w:val="continue"/>
          </w:tcPr>
          <w:p>
            <w:pPr>
              <w:spacing w:after="0"/>
              <w:rPr>
                <w:sz w:val="8"/>
                <w:szCs w:val="8"/>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Period</w:t>
            </w:r>
          </w:p>
        </w:tc>
        <w:tc>
          <w:tcPr>
            <w:tcW w:w="106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200" w:type="dxa"/>
            <w:vAlign w:val="bottom"/>
            <w:tcBorders>
              <w:left w:val="single" w:sz="8" w:color="auto"/>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vMerge w:val="continue"/>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200" w:type="dxa"/>
            <w:vAlign w:val="bottom"/>
            <w:tcBorders>
              <w:left w:val="single" w:sz="8" w:color="auto"/>
              <w:right w:val="single" w:sz="8" w:color="auto"/>
            </w:tcBorders>
          </w:tcPr>
          <w:p>
            <w:pPr>
              <w:ind w:left="440"/>
              <w:spacing w:after="0" w:line="146" w:lineRule="exact"/>
              <w:rPr>
                <w:sz w:val="20"/>
                <w:szCs w:val="20"/>
                <w:color w:val="auto"/>
              </w:rPr>
            </w:pPr>
            <w:r>
              <w:rPr>
                <w:rFonts w:ascii="Arial" w:cs="Arial" w:eastAsia="Arial" w:hAnsi="Arial"/>
                <w:sz w:val="14"/>
                <w:szCs w:val="14"/>
                <w:color w:val="auto"/>
              </w:rPr>
              <w:t>xxx,xxx.xx</w:t>
            </w:r>
          </w:p>
        </w:tc>
        <w:tc>
          <w:tcPr>
            <w:tcW w:w="1040" w:type="dxa"/>
            <w:vAlign w:val="bottom"/>
            <w:tcBorders>
              <w:right w:val="single" w:sz="8" w:color="auto"/>
            </w:tcBorders>
          </w:tcPr>
          <w:p>
            <w:pPr>
              <w:jc w:val="right"/>
              <w:ind w:right="50"/>
              <w:spacing w:after="0" w:line="146" w:lineRule="exact"/>
              <w:rPr>
                <w:sz w:val="20"/>
                <w:szCs w:val="20"/>
                <w:color w:val="auto"/>
              </w:rPr>
            </w:pPr>
            <w:r>
              <w:rPr>
                <w:rFonts w:ascii="Arial" w:cs="Arial" w:eastAsia="Arial" w:hAnsi="Arial"/>
                <w:sz w:val="14"/>
                <w:szCs w:val="14"/>
                <w:color w:val="auto"/>
              </w:rPr>
              <w:t>xxx,xxx.xx</w:t>
            </w:r>
          </w:p>
        </w:tc>
        <w:tc>
          <w:tcPr>
            <w:tcW w:w="1060" w:type="dxa"/>
            <w:vAlign w:val="bottom"/>
            <w:tcBorders>
              <w:right w:val="single" w:sz="8" w:color="auto"/>
            </w:tcBorders>
          </w:tcPr>
          <w:p>
            <w:pPr>
              <w:ind w:left="300"/>
              <w:spacing w:after="0" w:line="146" w:lineRule="exact"/>
              <w:rPr>
                <w:sz w:val="20"/>
                <w:szCs w:val="20"/>
                <w:color w:val="auto"/>
              </w:rPr>
            </w:pPr>
            <w:r>
              <w:rPr>
                <w:rFonts w:ascii="Arial" w:cs="Arial" w:eastAsia="Arial" w:hAnsi="Arial"/>
                <w:sz w:val="14"/>
                <w:szCs w:val="14"/>
                <w:color w:val="auto"/>
              </w:rPr>
              <w:t>xxx,xxx.xx</w:t>
            </w:r>
          </w:p>
        </w:tc>
        <w:tc>
          <w:tcPr>
            <w:tcW w:w="1120" w:type="dxa"/>
            <w:vAlign w:val="bottom"/>
            <w:tcBorders>
              <w:right w:val="single" w:sz="8" w:color="auto"/>
            </w:tcBorders>
          </w:tcPr>
          <w:p>
            <w:pPr>
              <w:ind w:left="380"/>
              <w:spacing w:after="0" w:line="146" w:lineRule="exact"/>
              <w:rPr>
                <w:sz w:val="20"/>
                <w:szCs w:val="20"/>
                <w:color w:val="auto"/>
              </w:rPr>
            </w:pPr>
            <w:r>
              <w:rPr>
                <w:rFonts w:ascii="Arial" w:cs="Arial" w:eastAsia="Arial" w:hAnsi="Arial"/>
                <w:sz w:val="14"/>
                <w:szCs w:val="14"/>
                <w:color w:val="auto"/>
              </w:rPr>
              <w:t>xxx,xxx.xx</w:t>
            </w:r>
          </w:p>
        </w:tc>
        <w:tc>
          <w:tcPr>
            <w:tcW w:w="1280" w:type="dxa"/>
            <w:vAlign w:val="bottom"/>
            <w:tcBorders>
              <w:right w:val="single" w:sz="8" w:color="auto"/>
            </w:tcBorders>
          </w:tcPr>
          <w:p>
            <w:pPr>
              <w:ind w:left="540"/>
              <w:spacing w:after="0" w:line="146" w:lineRule="exact"/>
              <w:rPr>
                <w:sz w:val="20"/>
                <w:szCs w:val="20"/>
                <w:color w:val="auto"/>
              </w:rPr>
            </w:pPr>
            <w:r>
              <w:rPr>
                <w:rFonts w:ascii="Arial" w:cs="Arial" w:eastAsia="Arial" w:hAnsi="Arial"/>
                <w:sz w:val="14"/>
                <w:szCs w:val="14"/>
                <w:color w:val="auto"/>
              </w:rPr>
              <w:t>xxx,xxx.xx</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2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xxx,xxx.xx</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xxx,xxx.xx</w:t>
            </w:r>
          </w:p>
        </w:tc>
        <w:tc>
          <w:tcPr>
            <w:tcW w:w="10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12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xxx,xxx.xx</w:t>
            </w:r>
          </w:p>
        </w:tc>
        <w:tc>
          <w:tcPr>
            <w:tcW w:w="128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xxx,xxx.xx</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2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xxx,xxx.xx</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xxx,xxx.xx</w:t>
            </w:r>
          </w:p>
        </w:tc>
        <w:tc>
          <w:tcPr>
            <w:tcW w:w="10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12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xxx,xxx.xx</w:t>
            </w:r>
          </w:p>
        </w:tc>
        <w:tc>
          <w:tcPr>
            <w:tcW w:w="128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xxx,xxx.xx</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2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xxx,xxx.xx</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xxx,xxx.xx</w:t>
            </w:r>
          </w:p>
        </w:tc>
        <w:tc>
          <w:tcPr>
            <w:tcW w:w="10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12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xxx,xxx.xx</w:t>
            </w:r>
          </w:p>
        </w:tc>
        <w:tc>
          <w:tcPr>
            <w:tcW w:w="128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xxx,xxx.xx</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2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xxx,xxx.xx</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xxx,xxx.xx</w:t>
            </w:r>
          </w:p>
        </w:tc>
        <w:tc>
          <w:tcPr>
            <w:tcW w:w="10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12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xxx,xxx.xx</w:t>
            </w:r>
          </w:p>
        </w:tc>
        <w:tc>
          <w:tcPr>
            <w:tcW w:w="128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xxx,xxx.xx</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2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xxx,xxx.xx</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xxx,xxx.xx</w:t>
            </w:r>
          </w:p>
        </w:tc>
        <w:tc>
          <w:tcPr>
            <w:tcW w:w="10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12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xxx,xxx.xx</w:t>
            </w:r>
          </w:p>
        </w:tc>
        <w:tc>
          <w:tcPr>
            <w:tcW w:w="128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xxx,xxx.xx</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2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xxx,xxx.xx</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xxx,xxx.xx</w:t>
            </w:r>
          </w:p>
        </w:tc>
        <w:tc>
          <w:tcPr>
            <w:tcW w:w="10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12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xxx,xxx.xx</w:t>
            </w:r>
          </w:p>
        </w:tc>
        <w:tc>
          <w:tcPr>
            <w:tcW w:w="128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xxx,xxx.xx</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2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xxx,xxx.xx</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xxx,xxx.xx</w:t>
            </w:r>
          </w:p>
        </w:tc>
        <w:tc>
          <w:tcPr>
            <w:tcW w:w="10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12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xxx,xxx.xx</w:t>
            </w:r>
          </w:p>
        </w:tc>
        <w:tc>
          <w:tcPr>
            <w:tcW w:w="128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xxx,xxx.xx</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2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xxx,xxx.xx</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xxx,xxx.xx</w:t>
            </w:r>
          </w:p>
        </w:tc>
        <w:tc>
          <w:tcPr>
            <w:tcW w:w="10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12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xxx,xxx.xx</w:t>
            </w:r>
          </w:p>
        </w:tc>
        <w:tc>
          <w:tcPr>
            <w:tcW w:w="128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xxx,xxx.xx</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2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xxx,xxx.xx</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xxx,xxx.xx</w:t>
            </w:r>
          </w:p>
        </w:tc>
        <w:tc>
          <w:tcPr>
            <w:tcW w:w="10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12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xxx,xxx.xx</w:t>
            </w:r>
          </w:p>
        </w:tc>
        <w:tc>
          <w:tcPr>
            <w:tcW w:w="128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xxx,xxx.xx</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2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xxx,xxx.xx</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xxx,xxx.xx</w:t>
            </w:r>
          </w:p>
        </w:tc>
        <w:tc>
          <w:tcPr>
            <w:tcW w:w="10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12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xxx,xxx.xx</w:t>
            </w:r>
          </w:p>
        </w:tc>
        <w:tc>
          <w:tcPr>
            <w:tcW w:w="128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xxx,xxx.xx</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2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xxx,xxx.xx</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xxx,xxx.xx</w:t>
            </w:r>
          </w:p>
        </w:tc>
        <w:tc>
          <w:tcPr>
            <w:tcW w:w="10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12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xxx,xxx.xx</w:t>
            </w:r>
          </w:p>
        </w:tc>
        <w:tc>
          <w:tcPr>
            <w:tcW w:w="128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xxx,xxx.xx</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2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xxx,xxx.xx</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xxx,xxx.xx</w:t>
            </w:r>
          </w:p>
        </w:tc>
        <w:tc>
          <w:tcPr>
            <w:tcW w:w="10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12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xxx,xxx.xx</w:t>
            </w:r>
          </w:p>
        </w:tc>
        <w:tc>
          <w:tcPr>
            <w:tcW w:w="128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xxx,xxx.xx</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2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xxx,xxx.xx</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xxx,xxx.xx</w:t>
            </w:r>
          </w:p>
        </w:tc>
        <w:tc>
          <w:tcPr>
            <w:tcW w:w="10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12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xxx,xxx.xx</w:t>
            </w:r>
          </w:p>
        </w:tc>
        <w:tc>
          <w:tcPr>
            <w:tcW w:w="128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xxx,xxx.xx</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2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xxx,xxx.xx</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xxx,xxx.xx</w:t>
            </w:r>
          </w:p>
        </w:tc>
        <w:tc>
          <w:tcPr>
            <w:tcW w:w="10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12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xxx,xxx.xx</w:t>
            </w:r>
          </w:p>
        </w:tc>
        <w:tc>
          <w:tcPr>
            <w:tcW w:w="128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xxx,xxx.xx</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2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xxx,xxx.xx</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xxx,xxx.xx</w:t>
            </w:r>
          </w:p>
        </w:tc>
        <w:tc>
          <w:tcPr>
            <w:tcW w:w="10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12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xxx,xxx.xx</w:t>
            </w:r>
          </w:p>
        </w:tc>
        <w:tc>
          <w:tcPr>
            <w:tcW w:w="128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xxx,xxx.xx</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2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xxx,xxx.xx</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xxx,xxx.xx</w:t>
            </w:r>
          </w:p>
        </w:tc>
        <w:tc>
          <w:tcPr>
            <w:tcW w:w="10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12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xxx,xxx.xx</w:t>
            </w:r>
          </w:p>
        </w:tc>
        <w:tc>
          <w:tcPr>
            <w:tcW w:w="128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xxx,xxx.xx</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2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xxx,xxx.xx</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xxx,xxx.xx</w:t>
            </w:r>
          </w:p>
        </w:tc>
        <w:tc>
          <w:tcPr>
            <w:tcW w:w="10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12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xxx,xxx.xx</w:t>
            </w:r>
          </w:p>
        </w:tc>
        <w:tc>
          <w:tcPr>
            <w:tcW w:w="128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xxx,xxx.xx</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2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xxx,xxx.xx</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xxx,xxx.xx</w:t>
            </w:r>
          </w:p>
        </w:tc>
        <w:tc>
          <w:tcPr>
            <w:tcW w:w="10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12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xxx,xxx.xx</w:t>
            </w:r>
          </w:p>
        </w:tc>
        <w:tc>
          <w:tcPr>
            <w:tcW w:w="128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xxx,xxx.xx</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2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xxx,xxx.xx</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xxx,xxx.xx</w:t>
            </w:r>
          </w:p>
        </w:tc>
        <w:tc>
          <w:tcPr>
            <w:tcW w:w="10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12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xxx,xxx.xx</w:t>
            </w:r>
          </w:p>
        </w:tc>
        <w:tc>
          <w:tcPr>
            <w:tcW w:w="128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xxx,xxx.xx</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2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xxx,xxx.xx</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xxx,xxx.xx</w:t>
            </w:r>
          </w:p>
        </w:tc>
        <w:tc>
          <w:tcPr>
            <w:tcW w:w="10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12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xxx,xxx.xx</w:t>
            </w:r>
          </w:p>
        </w:tc>
        <w:tc>
          <w:tcPr>
            <w:tcW w:w="128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xxx,xxx.xx</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2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xxx,xxx.xx</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xxx,xxx.xx</w:t>
            </w:r>
          </w:p>
        </w:tc>
        <w:tc>
          <w:tcPr>
            <w:tcW w:w="10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12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xxx,xxx.xx</w:t>
            </w:r>
          </w:p>
        </w:tc>
        <w:tc>
          <w:tcPr>
            <w:tcW w:w="128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xxx,xxx.xx</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20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xxx,xxx.xx</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4"/>
                <w:szCs w:val="14"/>
                <w:color w:val="auto"/>
              </w:rPr>
              <w:t>xxx,xxx.xx</w:t>
            </w:r>
          </w:p>
        </w:tc>
        <w:tc>
          <w:tcPr>
            <w:tcW w:w="1060" w:type="dxa"/>
            <w:vAlign w:val="bottom"/>
            <w:tcBorders>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12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xxx,xxx.xx</w:t>
            </w:r>
          </w:p>
        </w:tc>
        <w:tc>
          <w:tcPr>
            <w:tcW w:w="128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xxx,xxx.xx</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xxx,xxx.xx</w:t>
            </w: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4"/>
                <w:szCs w:val="14"/>
                <w:color w:val="auto"/>
              </w:rPr>
              <w:t>xxx,xxx.xx</w:t>
            </w:r>
          </w:p>
        </w:tc>
        <w:tc>
          <w:tcPr>
            <w:tcW w:w="10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xxx,xxx.xx</w:t>
            </w:r>
          </w:p>
        </w:tc>
        <w:tc>
          <w:tcPr>
            <w:tcW w:w="11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4"/>
                <w:szCs w:val="14"/>
                <w:color w:val="auto"/>
              </w:rPr>
              <w:t>xxx,xxx.xx</w:t>
            </w:r>
          </w:p>
        </w:tc>
        <w:tc>
          <w:tcPr>
            <w:tcW w:w="128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4"/>
                <w:szCs w:val="14"/>
                <w:color w:val="auto"/>
              </w:rPr>
              <w:t>xxx,xxx.xx</w:t>
            </w: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1280" w:type="dxa"/>
            <w:vAlign w:val="bottom"/>
            <w:tcBorders>
              <w:bottom w:val="single" w:sz="8" w:color="auto"/>
              <w:right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200" w:type="dxa"/>
            <w:vAlign w:val="bottom"/>
            <w:tcBorders>
              <w:top w:val="single" w:sz="8" w:color="auto"/>
              <w:left w:val="single" w:sz="8" w:color="auto"/>
              <w:bottom w:val="single" w:sz="8" w:color="auto"/>
              <w:right w:val="single" w:sz="8" w:color="auto"/>
            </w:tcBorders>
            <w:shd w:val="clear" w:color="auto" w:fill="99CCFF"/>
          </w:tcPr>
          <w:p>
            <w:pPr>
              <w:ind w:left="440"/>
              <w:spacing w:after="0" w:line="146" w:lineRule="exact"/>
              <w:rPr>
                <w:sz w:val="20"/>
                <w:szCs w:val="20"/>
                <w:color w:val="auto"/>
              </w:rPr>
            </w:pPr>
            <w:r>
              <w:rPr>
                <w:rFonts w:ascii="Arial" w:cs="Arial" w:eastAsia="Arial" w:hAnsi="Arial"/>
                <w:sz w:val="14"/>
                <w:szCs w:val="14"/>
                <w:b w:val="1"/>
                <w:bCs w:val="1"/>
                <w:color w:val="auto"/>
              </w:rPr>
              <w:t>xxx,xxx.xx</w:t>
            </w:r>
          </w:p>
        </w:tc>
        <w:tc>
          <w:tcPr>
            <w:tcW w:w="1040" w:type="dxa"/>
            <w:vAlign w:val="bottom"/>
            <w:tcBorders>
              <w:top w:val="single" w:sz="8" w:color="99CCFF"/>
              <w:bottom w:val="single" w:sz="8" w:color="auto"/>
              <w:right w:val="single" w:sz="8" w:color="auto"/>
            </w:tcBorders>
            <w:shd w:val="clear" w:color="auto" w:fill="99CCFF"/>
          </w:tcPr>
          <w:p>
            <w:pPr>
              <w:jc w:val="right"/>
              <w:ind w:right="50"/>
              <w:spacing w:after="0" w:line="146" w:lineRule="exact"/>
              <w:rPr>
                <w:sz w:val="20"/>
                <w:szCs w:val="20"/>
                <w:color w:val="auto"/>
              </w:rPr>
            </w:pPr>
            <w:r>
              <w:rPr>
                <w:rFonts w:ascii="Arial" w:cs="Arial" w:eastAsia="Arial" w:hAnsi="Arial"/>
                <w:sz w:val="14"/>
                <w:szCs w:val="14"/>
                <w:b w:val="1"/>
                <w:bCs w:val="1"/>
                <w:color w:val="auto"/>
              </w:rPr>
              <w:t>xxx,xxx.xx</w:t>
            </w:r>
          </w:p>
        </w:tc>
        <w:tc>
          <w:tcPr>
            <w:tcW w:w="1060" w:type="dxa"/>
            <w:vAlign w:val="bottom"/>
            <w:tcBorders>
              <w:top w:val="single" w:sz="8" w:color="99CCFF"/>
              <w:bottom w:val="single" w:sz="8" w:color="auto"/>
              <w:right w:val="single" w:sz="8" w:color="auto"/>
            </w:tcBorders>
            <w:shd w:val="clear" w:color="auto" w:fill="99CCFF"/>
          </w:tcPr>
          <w:p>
            <w:pPr>
              <w:ind w:left="300"/>
              <w:spacing w:after="0" w:line="146" w:lineRule="exact"/>
              <w:rPr>
                <w:sz w:val="20"/>
                <w:szCs w:val="20"/>
                <w:color w:val="auto"/>
              </w:rPr>
            </w:pPr>
            <w:r>
              <w:rPr>
                <w:rFonts w:ascii="Arial" w:cs="Arial" w:eastAsia="Arial" w:hAnsi="Arial"/>
                <w:sz w:val="14"/>
                <w:szCs w:val="14"/>
                <w:b w:val="1"/>
                <w:bCs w:val="1"/>
                <w:color w:val="auto"/>
              </w:rPr>
              <w:t>xxx,xxx.xx</w:t>
            </w:r>
          </w:p>
        </w:tc>
        <w:tc>
          <w:tcPr>
            <w:tcW w:w="1120" w:type="dxa"/>
            <w:vAlign w:val="bottom"/>
            <w:tcBorders>
              <w:top w:val="single" w:sz="8" w:color="FFFF99"/>
              <w:bottom w:val="single" w:sz="8" w:color="auto"/>
              <w:right w:val="single" w:sz="8" w:color="auto"/>
            </w:tcBorders>
            <w:shd w:val="clear" w:color="auto" w:fill="FFFF99"/>
          </w:tcPr>
          <w:p>
            <w:pPr>
              <w:ind w:left="380"/>
              <w:spacing w:after="0" w:line="146" w:lineRule="exact"/>
              <w:rPr>
                <w:sz w:val="20"/>
                <w:szCs w:val="20"/>
                <w:color w:val="auto"/>
              </w:rPr>
            </w:pPr>
            <w:r>
              <w:rPr>
                <w:rFonts w:ascii="Arial" w:cs="Arial" w:eastAsia="Arial" w:hAnsi="Arial"/>
                <w:sz w:val="14"/>
                <w:szCs w:val="14"/>
                <w:b w:val="1"/>
                <w:bCs w:val="1"/>
                <w:color w:val="auto"/>
                <w:w w:val="99"/>
              </w:rPr>
              <w:t>xxx,xxx.xx</w:t>
            </w:r>
          </w:p>
        </w:tc>
        <w:tc>
          <w:tcPr>
            <w:tcW w:w="1280" w:type="dxa"/>
            <w:vAlign w:val="bottom"/>
            <w:tcBorders>
              <w:top w:val="single" w:sz="8" w:color="99CC00"/>
              <w:bottom w:val="single" w:sz="8" w:color="auto"/>
              <w:right w:val="single" w:sz="8" w:color="auto"/>
            </w:tcBorders>
            <w:shd w:val="clear" w:color="auto" w:fill="99CC00"/>
          </w:tcPr>
          <w:p>
            <w:pPr>
              <w:ind w:left="540"/>
              <w:spacing w:after="0" w:line="146" w:lineRule="exact"/>
              <w:rPr>
                <w:sz w:val="20"/>
                <w:szCs w:val="20"/>
                <w:color w:val="auto"/>
              </w:rPr>
            </w:pPr>
            <w:r>
              <w:rPr>
                <w:rFonts w:ascii="Arial" w:cs="Arial" w:eastAsia="Arial" w:hAnsi="Arial"/>
                <w:sz w:val="14"/>
                <w:szCs w:val="14"/>
                <w:b w:val="1"/>
                <w:bCs w:val="1"/>
                <w:color w:val="auto"/>
                <w:w w:val="99"/>
              </w:rPr>
              <w:t>xxx,xxx.xx</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95" w:right="219" w:bottom="0" w:gutter="0" w:footer="0" w:header="0"/>
        </w:sectPr>
      </w:pPr>
    </w:p>
    <w:bookmarkStart w:id="154" w:name="page155"/>
    <w:bookmarkEnd w:id="154"/>
    <w:p>
      <w:pPr>
        <w:jc w:val="center"/>
        <w:spacing w:after="0"/>
        <w:rPr>
          <w:sz w:val="20"/>
          <w:szCs w:val="20"/>
          <w:color w:val="auto"/>
        </w:rPr>
      </w:pPr>
      <w:r>
        <w:rPr>
          <w:rFonts w:ascii="Arial" w:cs="Arial" w:eastAsia="Arial" w:hAnsi="Arial"/>
          <w:sz w:val="13"/>
          <w:szCs w:val="13"/>
          <w:color w:val="auto"/>
        </w:rPr>
        <w:t>C-</w:t>
      </w:r>
    </w:p>
    <w:p>
      <w:pPr>
        <w:sectPr>
          <w:pgSz w:w="11900" w:h="16838" w:orient="portrait"/>
          <w:cols w:equalWidth="0" w:num="1">
            <w:col w:w="9019"/>
          </w:cols>
          <w:pgMar w:left="1440" w:top="499" w:right="1440" w:bottom="1440" w:gutter="0" w:footer="0" w:header="0"/>
        </w:sectPr>
      </w:pPr>
    </w:p>
    <w:bookmarkStart w:id="155" w:name="page156"/>
    <w:bookmarkEnd w:id="155"/>
    <w:p>
      <w:pPr>
        <w:ind w:left="501" w:hanging="501"/>
        <w:spacing w:after="0"/>
        <w:tabs>
          <w:tab w:leader="none" w:pos="501" w:val="left"/>
        </w:tabs>
        <w:numPr>
          <w:ilvl w:val="0"/>
          <w:numId w:val="2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DWR Remittance Basis True-up Report</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14"/>
          <w:szCs w:val="14"/>
          <w:color w:val="auto"/>
        </w:rPr>
        <w:t>The DWR Remittance Basis True-up Report is to be submitted to DWR within 15 Utility Business Days after the end of each calendar month during the Term.</w:t>
      </w:r>
    </w:p>
    <w:p>
      <w:pPr>
        <w:spacing w:after="0" w:line="207" w:lineRule="exact"/>
        <w:rPr>
          <w:sz w:val="20"/>
          <w:szCs w:val="20"/>
          <w:color w:val="auto"/>
        </w:rPr>
      </w:pPr>
    </w:p>
    <w:p>
      <w:pPr>
        <w:ind w:left="1" w:right="20" w:hanging="1"/>
        <w:spacing w:after="0" w:line="250" w:lineRule="auto"/>
        <w:tabs>
          <w:tab w:leader="none" w:pos="497" w:val="left"/>
        </w:tabs>
        <w:numPr>
          <w:ilvl w:val="0"/>
          <w:numId w:val="2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Delivery Mechanism and Naming Convention - </w:t>
      </w:r>
      <w:r>
        <w:rPr>
          <w:rFonts w:ascii="Arial" w:cs="Arial" w:eastAsia="Arial" w:hAnsi="Arial"/>
          <w:sz w:val="17"/>
          <w:szCs w:val="17"/>
          <w:color w:val="auto"/>
        </w:rPr>
        <w:t>This report should be sent by e-mail to the e-mail address “IOU_Remit@water.ca.gov” (or by such secure</w:t>
      </w:r>
      <w:r>
        <w:rPr>
          <w:rFonts w:ascii="Arial" w:cs="Arial" w:eastAsia="Arial" w:hAnsi="Arial"/>
          <w:sz w:val="17"/>
          <w:szCs w:val="17"/>
          <w:b w:val="1"/>
          <w:bCs w:val="1"/>
          <w:color w:val="auto"/>
        </w:rPr>
        <w:t xml:space="preserve"> </w:t>
      </w:r>
      <w:r>
        <w:rPr>
          <w:rFonts w:ascii="Arial" w:cs="Arial" w:eastAsia="Arial" w:hAnsi="Arial"/>
          <w:sz w:val="17"/>
          <w:szCs w:val="17"/>
          <w:color w:val="auto"/>
        </w:rPr>
        <w:t>electronic means as reasonably determined appropriate by SDG&amp;E) with the following filename and subject line:</w:t>
      </w:r>
    </w:p>
    <w:p>
      <w:pPr>
        <w:spacing w:after="0" w:line="145" w:lineRule="exact"/>
        <w:rPr>
          <w:sz w:val="20"/>
          <w:szCs w:val="20"/>
          <w:color w:val="auto"/>
        </w:rPr>
      </w:pPr>
    </w:p>
    <w:p>
      <w:pPr>
        <w:ind w:left="241" w:hanging="241"/>
        <w:spacing w:after="0"/>
        <w:tabs>
          <w:tab w:leader="none" w:pos="241"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format of the filename: &lt;utility name&gt; - DWR Remittance Basis True-up Report yyyymm v#.xls</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Example: SDG&amp;E - DWR Remittance BasisTrue-up Report 200904 v1.xls</w:t>
      </w:r>
    </w:p>
    <w:p>
      <w:pPr>
        <w:spacing w:after="0" w:line="166" w:lineRule="exact"/>
        <w:rPr>
          <w:sz w:val="20"/>
          <w:szCs w:val="20"/>
          <w:color w:val="auto"/>
        </w:rPr>
      </w:pPr>
    </w:p>
    <w:p>
      <w:pPr>
        <w:ind w:left="241" w:hanging="241"/>
        <w:spacing w:after="0"/>
        <w:tabs>
          <w:tab w:leader="none" w:pos="241"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subject line of e-mail: &lt;utility name&gt; - DWR Remittance Basis True-up Report for yyyymm</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Example: SDG&amp;E - DWR Remittance Basis True-up Report for 200904</w:t>
      </w:r>
    </w:p>
    <w:p>
      <w:pPr>
        <w:spacing w:after="0" w:line="177" w:lineRule="exact"/>
        <w:rPr>
          <w:sz w:val="20"/>
          <w:szCs w:val="20"/>
          <w:color w:val="auto"/>
        </w:rPr>
      </w:pPr>
    </w:p>
    <w:p>
      <w:pPr>
        <w:ind w:left="1" w:right="100"/>
        <w:spacing w:after="0" w:line="245" w:lineRule="auto"/>
        <w:rPr>
          <w:sz w:val="20"/>
          <w:szCs w:val="20"/>
          <w:color w:val="auto"/>
        </w:rPr>
      </w:pPr>
      <w:r>
        <w:rPr>
          <w:rFonts w:ascii="Arial" w:cs="Arial" w:eastAsia="Arial" w:hAnsi="Arial"/>
          <w:sz w:val="17"/>
          <w:szCs w:val="17"/>
          <w:color w:val="auto"/>
        </w:rPr>
        <w:t>Modifications to a submitted report will be accomplished by resending all the data including the necessary modifications and renaming the monthly report with the subsequent version number.</w:t>
      </w:r>
    </w:p>
    <w:p>
      <w:pPr>
        <w:spacing w:after="0" w:line="159"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Example: SDG&amp;E - DWR Remittance Basis True-up Report 200904 v2.xls</w:t>
      </w:r>
    </w:p>
    <w:p>
      <w:pPr>
        <w:spacing w:after="0" w:line="173" w:lineRule="exact"/>
        <w:rPr>
          <w:sz w:val="20"/>
          <w:szCs w:val="20"/>
          <w:color w:val="auto"/>
        </w:rPr>
      </w:pPr>
    </w:p>
    <w:p>
      <w:pPr>
        <w:ind w:left="1" w:hanging="1"/>
        <w:spacing w:after="0" w:line="252" w:lineRule="auto"/>
        <w:tabs>
          <w:tab w:leader="none" w:pos="497" w:val="left"/>
        </w:tabs>
        <w:numPr>
          <w:ilvl w:val="0"/>
          <w:numId w:val="2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Required Information and Timeline - </w:t>
      </w:r>
      <w:r>
        <w:rPr>
          <w:rFonts w:ascii="Arial" w:cs="Arial" w:eastAsia="Arial" w:hAnsi="Arial"/>
          <w:sz w:val="16"/>
          <w:szCs w:val="16"/>
          <w:color w:val="auto"/>
        </w:rPr>
        <w:t>SDG&amp;E shall report the hourly corrections of energy from DWR Contracts amounts used to calculate DWR</w:t>
      </w:r>
      <w:r>
        <w:rPr>
          <w:rFonts w:ascii="Arial" w:cs="Arial" w:eastAsia="Arial" w:hAnsi="Arial"/>
          <w:sz w:val="16"/>
          <w:szCs w:val="16"/>
          <w:b w:val="1"/>
          <w:bCs w:val="1"/>
          <w:color w:val="auto"/>
        </w:rPr>
        <w:t xml:space="preserve"> </w:t>
      </w:r>
      <w:r>
        <w:rPr>
          <w:rFonts w:ascii="Arial" w:cs="Arial" w:eastAsia="Arial" w:hAnsi="Arial"/>
          <w:sz w:val="16"/>
          <w:szCs w:val="16"/>
          <w:color w:val="auto"/>
        </w:rPr>
        <w:t>Percentage and Day and Hour when the correction was made to DWR percentage. SDG&amp;E shall report the data columns specified in the following table for the hourly quantities of the original amount of DWR Contract, the revised amount quantity of DWR Contract, the correction required, the day and hour the correction is made and the reason for the correction. Corrections are not to be made such that they will cause the hourly DWR percentage to become negative. The report should be consistent in form and substance to the following table in Excel format.</w:t>
      </w:r>
    </w:p>
    <w:p>
      <w:pPr>
        <w:spacing w:after="0" w:line="34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C-</w:t>
      </w:r>
    </w:p>
    <w:p>
      <w:pPr>
        <w:sectPr>
          <w:pgSz w:w="11900" w:h="16838" w:orient="portrait"/>
          <w:cols w:equalWidth="0" w:num="1">
            <w:col w:w="10881"/>
          </w:cols>
          <w:pgMar w:left="719" w:top="667" w:right="299" w:bottom="1440" w:gutter="0" w:footer="0" w:header="0"/>
        </w:sectPr>
      </w:pPr>
    </w:p>
    <w:bookmarkStart w:id="156" w:name="page157"/>
    <w:bookmarkEnd w:id="156"/>
    <w:p>
      <w:pPr>
        <w:spacing w:after="0"/>
        <w:rPr>
          <w:sz w:val="20"/>
          <w:szCs w:val="20"/>
          <w:color w:val="auto"/>
        </w:rPr>
      </w:pPr>
      <w:r>
        <w:rPr>
          <w:rFonts w:ascii="Arial" w:cs="Arial" w:eastAsia="Arial" w:hAnsi="Arial"/>
          <w:sz w:val="17"/>
          <w:szCs w:val="17"/>
          <w:i w:val="1"/>
          <w:iCs w:val="1"/>
          <w:color w:val="auto"/>
        </w:rPr>
        <w:t>Example:</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1180" w:type="dxa"/>
            <w:vAlign w:val="bottom"/>
            <w:tcBorders>
              <w:top w:val="single" w:sz="8" w:color="auto"/>
              <w:left w:val="single" w:sz="8" w:color="auto"/>
              <w:right w:val="single" w:sz="8" w:color="auto"/>
            </w:tcBorders>
            <w:shd w:val="clear" w:color="auto" w:fill="C0C0C0"/>
          </w:tcPr>
          <w:p>
            <w:pPr>
              <w:spacing w:after="0"/>
              <w:rPr>
                <w:sz w:val="15"/>
                <w:szCs w:val="15"/>
                <w:color w:val="auto"/>
              </w:rPr>
            </w:pPr>
          </w:p>
        </w:tc>
        <w:tc>
          <w:tcPr>
            <w:tcW w:w="820" w:type="dxa"/>
            <w:vAlign w:val="bottom"/>
            <w:tcBorders>
              <w:top w:val="single" w:sz="8" w:color="auto"/>
              <w:right w:val="single" w:sz="8" w:color="auto"/>
            </w:tcBorders>
            <w:shd w:val="clear" w:color="auto" w:fill="C0C0C0"/>
          </w:tcPr>
          <w:p>
            <w:pPr>
              <w:spacing w:after="0"/>
              <w:rPr>
                <w:sz w:val="15"/>
                <w:szCs w:val="15"/>
                <w:color w:val="auto"/>
              </w:rPr>
            </w:pPr>
          </w:p>
        </w:tc>
        <w:tc>
          <w:tcPr>
            <w:tcW w:w="1080" w:type="dxa"/>
            <w:vAlign w:val="bottom"/>
            <w:tcBorders>
              <w:top w:val="single" w:sz="8" w:color="auto"/>
              <w:right w:val="single" w:sz="8" w:color="auto"/>
            </w:tcBorders>
            <w:shd w:val="clear" w:color="auto" w:fill="C0C0C0"/>
          </w:tcPr>
          <w:p>
            <w:pPr>
              <w:spacing w:after="0"/>
              <w:rPr>
                <w:sz w:val="15"/>
                <w:szCs w:val="15"/>
                <w:color w:val="auto"/>
              </w:rPr>
            </w:pPr>
          </w:p>
        </w:tc>
        <w:tc>
          <w:tcPr>
            <w:tcW w:w="1360" w:type="dxa"/>
            <w:vAlign w:val="bottom"/>
            <w:tcBorders>
              <w:top w:val="single" w:sz="8" w:color="auto"/>
              <w:right w:val="single" w:sz="8" w:color="auto"/>
            </w:tcBorders>
            <w:shd w:val="clear" w:color="auto" w:fill="C0C0C0"/>
          </w:tcPr>
          <w:p>
            <w:pPr>
              <w:spacing w:after="0"/>
              <w:rPr>
                <w:sz w:val="15"/>
                <w:szCs w:val="15"/>
                <w:color w:val="auto"/>
              </w:rPr>
            </w:pPr>
          </w:p>
        </w:tc>
        <w:tc>
          <w:tcPr>
            <w:tcW w:w="1360" w:type="dxa"/>
            <w:vAlign w:val="bottom"/>
            <w:tcBorders>
              <w:top w:val="single" w:sz="8" w:color="auto"/>
              <w:right w:val="single" w:sz="8" w:color="auto"/>
            </w:tcBorders>
            <w:shd w:val="clear" w:color="auto" w:fill="C0C0C0"/>
          </w:tcPr>
          <w:p>
            <w:pPr>
              <w:spacing w:after="0"/>
              <w:rPr>
                <w:sz w:val="15"/>
                <w:szCs w:val="15"/>
                <w:color w:val="auto"/>
              </w:rPr>
            </w:pPr>
          </w:p>
        </w:tc>
        <w:tc>
          <w:tcPr>
            <w:tcW w:w="134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5"/>
                <w:szCs w:val="15"/>
                <w:b w:val="1"/>
                <w:bCs w:val="1"/>
                <w:color w:val="auto"/>
                <w:w w:val="92"/>
              </w:rPr>
              <w:t>Correction</w:t>
            </w:r>
          </w:p>
        </w:tc>
      </w:tr>
      <w:tr>
        <w:trPr>
          <w:trHeight w:val="176"/>
        </w:trPr>
        <w:tc>
          <w:tcPr>
            <w:tcW w:w="1180" w:type="dxa"/>
            <w:vAlign w:val="bottom"/>
            <w:tcBorders>
              <w:left w:val="single" w:sz="8" w:color="auto"/>
              <w:right w:val="single" w:sz="8" w:color="auto"/>
            </w:tcBorders>
            <w:shd w:val="clear" w:color="auto" w:fill="C0C0C0"/>
          </w:tcPr>
          <w:p>
            <w:pPr>
              <w:spacing w:after="0"/>
              <w:rPr>
                <w:sz w:val="15"/>
                <w:szCs w:val="15"/>
                <w:color w:val="auto"/>
              </w:rPr>
            </w:pPr>
          </w:p>
        </w:tc>
        <w:tc>
          <w:tcPr>
            <w:tcW w:w="820" w:type="dxa"/>
            <w:vAlign w:val="bottom"/>
            <w:tcBorders>
              <w:right w:val="single" w:sz="8" w:color="auto"/>
            </w:tcBorders>
            <w:shd w:val="clear" w:color="auto" w:fill="C0C0C0"/>
          </w:tcPr>
          <w:p>
            <w:pPr>
              <w:spacing w:after="0"/>
              <w:rPr>
                <w:sz w:val="15"/>
                <w:szCs w:val="15"/>
                <w:color w:val="auto"/>
              </w:rPr>
            </w:pPr>
          </w:p>
        </w:tc>
        <w:tc>
          <w:tcPr>
            <w:tcW w:w="1080" w:type="dxa"/>
            <w:vAlign w:val="bottom"/>
            <w:tcBorders>
              <w:right w:val="single" w:sz="8" w:color="auto"/>
            </w:tcBorders>
            <w:shd w:val="clear" w:color="auto" w:fill="C0C0C0"/>
          </w:tcPr>
          <w:p>
            <w:pPr>
              <w:spacing w:after="0"/>
              <w:rPr>
                <w:sz w:val="15"/>
                <w:szCs w:val="15"/>
                <w:color w:val="auto"/>
              </w:rPr>
            </w:pPr>
          </w:p>
        </w:tc>
        <w:tc>
          <w:tcPr>
            <w:tcW w:w="13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5"/>
                <w:szCs w:val="15"/>
                <w:b w:val="1"/>
                <w:bCs w:val="1"/>
                <w:color w:val="auto"/>
                <w:w w:val="95"/>
              </w:rPr>
              <w:t>Original Amount</w:t>
            </w:r>
          </w:p>
        </w:tc>
        <w:tc>
          <w:tcPr>
            <w:tcW w:w="13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5"/>
                <w:szCs w:val="15"/>
                <w:b w:val="1"/>
                <w:bCs w:val="1"/>
                <w:color w:val="auto"/>
                <w:w w:val="91"/>
              </w:rPr>
              <w:t>Revised Amount</w:t>
            </w:r>
          </w:p>
        </w:tc>
        <w:tc>
          <w:tcPr>
            <w:tcW w:w="13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5"/>
                <w:szCs w:val="15"/>
                <w:b w:val="1"/>
                <w:bCs w:val="1"/>
                <w:color w:val="auto"/>
                <w:w w:val="89"/>
              </w:rPr>
              <w:t>Remittance Basis</w:t>
            </w:r>
          </w:p>
        </w:tc>
      </w:tr>
      <w:tr>
        <w:trPr>
          <w:trHeight w:val="176"/>
        </w:trPr>
        <w:tc>
          <w:tcPr>
            <w:tcW w:w="1180" w:type="dxa"/>
            <w:vAlign w:val="bottom"/>
            <w:tcBorders>
              <w:left w:val="single" w:sz="8" w:color="auto"/>
              <w:right w:val="single" w:sz="8" w:color="auto"/>
            </w:tcBorders>
            <w:shd w:val="clear" w:color="auto" w:fill="C0C0C0"/>
          </w:tcPr>
          <w:p>
            <w:pPr>
              <w:spacing w:after="0"/>
              <w:rPr>
                <w:sz w:val="15"/>
                <w:szCs w:val="15"/>
                <w:color w:val="auto"/>
              </w:rPr>
            </w:pPr>
          </w:p>
        </w:tc>
        <w:tc>
          <w:tcPr>
            <w:tcW w:w="820" w:type="dxa"/>
            <w:vAlign w:val="bottom"/>
            <w:tcBorders>
              <w:right w:val="single" w:sz="8" w:color="auto"/>
            </w:tcBorders>
            <w:shd w:val="clear" w:color="auto" w:fill="C0C0C0"/>
          </w:tcPr>
          <w:p>
            <w:pPr>
              <w:spacing w:after="0"/>
              <w:rPr>
                <w:sz w:val="15"/>
                <w:szCs w:val="15"/>
                <w:color w:val="auto"/>
              </w:rPr>
            </w:pPr>
          </w:p>
        </w:tc>
        <w:tc>
          <w:tcPr>
            <w:tcW w:w="1080" w:type="dxa"/>
            <w:vAlign w:val="bottom"/>
            <w:tcBorders>
              <w:right w:val="single" w:sz="8" w:color="auto"/>
            </w:tcBorders>
            <w:shd w:val="clear" w:color="auto" w:fill="C0C0C0"/>
          </w:tcPr>
          <w:p>
            <w:pPr>
              <w:spacing w:after="0"/>
              <w:rPr>
                <w:sz w:val="15"/>
                <w:szCs w:val="15"/>
                <w:color w:val="auto"/>
              </w:rPr>
            </w:pPr>
          </w:p>
        </w:tc>
        <w:tc>
          <w:tcPr>
            <w:tcW w:w="13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5"/>
                <w:szCs w:val="15"/>
                <w:b w:val="1"/>
                <w:bCs w:val="1"/>
                <w:color w:val="auto"/>
                <w:w w:val="93"/>
              </w:rPr>
              <w:t>(Remittance</w:t>
            </w:r>
          </w:p>
        </w:tc>
        <w:tc>
          <w:tcPr>
            <w:tcW w:w="13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5"/>
                <w:szCs w:val="15"/>
                <w:b w:val="1"/>
                <w:bCs w:val="1"/>
                <w:color w:val="auto"/>
                <w:w w:val="93"/>
              </w:rPr>
              <w:t>(Remittance</w:t>
            </w:r>
          </w:p>
        </w:tc>
        <w:tc>
          <w:tcPr>
            <w:tcW w:w="13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5"/>
                <w:szCs w:val="15"/>
                <w:b w:val="1"/>
                <w:bCs w:val="1"/>
                <w:color w:val="auto"/>
                <w:w w:val="90"/>
              </w:rPr>
              <w:t>Report</w:t>
            </w:r>
          </w:p>
        </w:tc>
      </w:tr>
      <w:tr>
        <w:trPr>
          <w:trHeight w:val="213"/>
        </w:trPr>
        <w:tc>
          <w:tcPr>
            <w:tcW w:w="1180" w:type="dxa"/>
            <w:vAlign w:val="bottom"/>
            <w:tcBorders>
              <w:left w:val="single" w:sz="8" w:color="auto"/>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5"/>
                <w:szCs w:val="15"/>
                <w:b w:val="1"/>
                <w:bCs w:val="1"/>
                <w:color w:val="auto"/>
                <w:w w:val="92"/>
              </w:rPr>
              <w:t>Date</w:t>
            </w:r>
          </w:p>
        </w:tc>
        <w:tc>
          <w:tcPr>
            <w:tcW w:w="8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5"/>
                <w:szCs w:val="15"/>
                <w:b w:val="1"/>
                <w:bCs w:val="1"/>
                <w:color w:val="auto"/>
                <w:w w:val="97"/>
              </w:rPr>
              <w:t>Hour</w:t>
            </w:r>
          </w:p>
        </w:tc>
        <w:tc>
          <w:tcPr>
            <w:tcW w:w="10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5"/>
                <w:szCs w:val="15"/>
                <w:b w:val="1"/>
                <w:bCs w:val="1"/>
                <w:color w:val="auto"/>
                <w:w w:val="93"/>
              </w:rPr>
              <w:t>Contract</w:t>
            </w:r>
          </w:p>
        </w:tc>
        <w:tc>
          <w:tcPr>
            <w:tcW w:w="13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5"/>
                <w:szCs w:val="15"/>
                <w:b w:val="1"/>
                <w:bCs w:val="1"/>
                <w:color w:val="auto"/>
                <w:w w:val="90"/>
              </w:rPr>
              <w:t>Basis Report)</w:t>
            </w:r>
          </w:p>
        </w:tc>
        <w:tc>
          <w:tcPr>
            <w:tcW w:w="13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5"/>
                <w:szCs w:val="15"/>
                <w:b w:val="1"/>
                <w:bCs w:val="1"/>
                <w:color w:val="auto"/>
                <w:w w:val="90"/>
              </w:rPr>
              <w:t>Basis Report)</w:t>
            </w:r>
          </w:p>
        </w:tc>
        <w:tc>
          <w:tcPr>
            <w:tcW w:w="13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5"/>
                <w:szCs w:val="15"/>
                <w:b w:val="1"/>
                <w:bCs w:val="1"/>
                <w:color w:val="auto"/>
              </w:rPr>
              <w:t>(E - D)</w:t>
            </w:r>
          </w:p>
        </w:tc>
      </w:tr>
      <w:tr>
        <w:trPr>
          <w:trHeight w:val="151"/>
        </w:trPr>
        <w:tc>
          <w:tcPr>
            <w:tcW w:w="1180" w:type="dxa"/>
            <w:vAlign w:val="bottom"/>
            <w:tcBorders>
              <w:top w:val="single" w:sz="8" w:color="C0C0C0"/>
              <w:left w:val="single" w:sz="8" w:color="auto"/>
              <w:bottom w:val="single" w:sz="8" w:color="auto"/>
              <w:right w:val="single" w:sz="8" w:color="auto"/>
            </w:tcBorders>
            <w:shd w:val="clear" w:color="auto" w:fill="C0C0C0"/>
          </w:tcPr>
          <w:p>
            <w:pPr>
              <w:jc w:val="center"/>
              <w:spacing w:after="0" w:line="151" w:lineRule="exact"/>
              <w:rPr>
                <w:sz w:val="20"/>
                <w:szCs w:val="20"/>
                <w:color w:val="auto"/>
              </w:rPr>
            </w:pPr>
            <w:r>
              <w:rPr>
                <w:rFonts w:ascii="Arial" w:cs="Arial" w:eastAsia="Arial" w:hAnsi="Arial"/>
                <w:sz w:val="15"/>
                <w:szCs w:val="15"/>
                <w:b w:val="1"/>
                <w:bCs w:val="1"/>
                <w:color w:val="auto"/>
              </w:rPr>
              <w:t>A</w:t>
            </w:r>
          </w:p>
        </w:tc>
        <w:tc>
          <w:tcPr>
            <w:tcW w:w="820" w:type="dxa"/>
            <w:vAlign w:val="bottom"/>
            <w:tcBorders>
              <w:top w:val="single" w:sz="8" w:color="C0C0C0"/>
              <w:bottom w:val="single" w:sz="8" w:color="auto"/>
              <w:right w:val="single" w:sz="8" w:color="auto"/>
            </w:tcBorders>
            <w:shd w:val="clear" w:color="auto" w:fill="C0C0C0"/>
          </w:tcPr>
          <w:p>
            <w:pPr>
              <w:jc w:val="center"/>
              <w:spacing w:after="0" w:line="151" w:lineRule="exact"/>
              <w:rPr>
                <w:sz w:val="20"/>
                <w:szCs w:val="20"/>
                <w:color w:val="auto"/>
              </w:rPr>
            </w:pPr>
            <w:r>
              <w:rPr>
                <w:rFonts w:ascii="Arial" w:cs="Arial" w:eastAsia="Arial" w:hAnsi="Arial"/>
                <w:sz w:val="15"/>
                <w:szCs w:val="15"/>
                <w:b w:val="1"/>
                <w:bCs w:val="1"/>
                <w:color w:val="auto"/>
                <w:w w:val="91"/>
              </w:rPr>
              <w:t>B</w:t>
            </w:r>
          </w:p>
        </w:tc>
        <w:tc>
          <w:tcPr>
            <w:tcW w:w="1080" w:type="dxa"/>
            <w:vAlign w:val="bottom"/>
            <w:tcBorders>
              <w:top w:val="single" w:sz="8" w:color="C0C0C0"/>
              <w:bottom w:val="single" w:sz="8" w:color="auto"/>
              <w:right w:val="single" w:sz="8" w:color="auto"/>
            </w:tcBorders>
            <w:shd w:val="clear" w:color="auto" w:fill="C0C0C0"/>
          </w:tcPr>
          <w:p>
            <w:pPr>
              <w:jc w:val="center"/>
              <w:spacing w:after="0" w:line="151" w:lineRule="exact"/>
              <w:rPr>
                <w:sz w:val="20"/>
                <w:szCs w:val="20"/>
                <w:color w:val="auto"/>
              </w:rPr>
            </w:pPr>
            <w:r>
              <w:rPr>
                <w:rFonts w:ascii="Arial" w:cs="Arial" w:eastAsia="Arial" w:hAnsi="Arial"/>
                <w:sz w:val="15"/>
                <w:szCs w:val="15"/>
                <w:b w:val="1"/>
                <w:bCs w:val="1"/>
                <w:color w:val="auto"/>
                <w:w w:val="91"/>
              </w:rPr>
              <w:t>C</w:t>
            </w:r>
          </w:p>
        </w:tc>
        <w:tc>
          <w:tcPr>
            <w:tcW w:w="1360" w:type="dxa"/>
            <w:vAlign w:val="bottom"/>
            <w:tcBorders>
              <w:top w:val="single" w:sz="8" w:color="C0C0C0"/>
              <w:bottom w:val="single" w:sz="8" w:color="auto"/>
              <w:right w:val="single" w:sz="8" w:color="auto"/>
            </w:tcBorders>
            <w:shd w:val="clear" w:color="auto" w:fill="C0C0C0"/>
          </w:tcPr>
          <w:p>
            <w:pPr>
              <w:ind w:left="600"/>
              <w:spacing w:after="0" w:line="151" w:lineRule="exact"/>
              <w:rPr>
                <w:sz w:val="20"/>
                <w:szCs w:val="20"/>
                <w:color w:val="auto"/>
              </w:rPr>
            </w:pPr>
            <w:r>
              <w:rPr>
                <w:rFonts w:ascii="Arial" w:cs="Arial" w:eastAsia="Arial" w:hAnsi="Arial"/>
                <w:sz w:val="15"/>
                <w:szCs w:val="15"/>
                <w:b w:val="1"/>
                <w:bCs w:val="1"/>
                <w:color w:val="auto"/>
              </w:rPr>
              <w:t>D</w:t>
            </w:r>
          </w:p>
        </w:tc>
        <w:tc>
          <w:tcPr>
            <w:tcW w:w="1360" w:type="dxa"/>
            <w:vAlign w:val="bottom"/>
            <w:tcBorders>
              <w:top w:val="single" w:sz="8" w:color="C0C0C0"/>
              <w:bottom w:val="single" w:sz="8" w:color="auto"/>
              <w:right w:val="single" w:sz="8" w:color="auto"/>
            </w:tcBorders>
            <w:shd w:val="clear" w:color="auto" w:fill="C0C0C0"/>
          </w:tcPr>
          <w:p>
            <w:pPr>
              <w:ind w:left="620"/>
              <w:spacing w:after="0" w:line="151" w:lineRule="exact"/>
              <w:rPr>
                <w:sz w:val="20"/>
                <w:szCs w:val="20"/>
                <w:color w:val="auto"/>
              </w:rPr>
            </w:pPr>
            <w:r>
              <w:rPr>
                <w:rFonts w:ascii="Arial" w:cs="Arial" w:eastAsia="Arial" w:hAnsi="Arial"/>
                <w:sz w:val="15"/>
                <w:szCs w:val="15"/>
                <w:b w:val="1"/>
                <w:bCs w:val="1"/>
                <w:color w:val="auto"/>
              </w:rPr>
              <w:t>E</w:t>
            </w:r>
          </w:p>
        </w:tc>
        <w:tc>
          <w:tcPr>
            <w:tcW w:w="1340" w:type="dxa"/>
            <w:vAlign w:val="bottom"/>
            <w:tcBorders>
              <w:top w:val="single" w:sz="8" w:color="C0C0C0"/>
              <w:bottom w:val="single" w:sz="8" w:color="auto"/>
              <w:right w:val="single" w:sz="8" w:color="auto"/>
            </w:tcBorders>
            <w:shd w:val="clear" w:color="auto" w:fill="C0C0C0"/>
          </w:tcPr>
          <w:p>
            <w:pPr>
              <w:ind w:left="620"/>
              <w:spacing w:after="0" w:line="151" w:lineRule="exact"/>
              <w:rPr>
                <w:sz w:val="20"/>
                <w:szCs w:val="20"/>
                <w:color w:val="auto"/>
              </w:rPr>
            </w:pPr>
            <w:r>
              <w:rPr>
                <w:rFonts w:ascii="Arial" w:cs="Arial" w:eastAsia="Arial" w:hAnsi="Arial"/>
                <w:sz w:val="15"/>
                <w:szCs w:val="15"/>
                <w:b w:val="1"/>
                <w:bCs w:val="1"/>
                <w:color w:val="auto"/>
              </w:rPr>
              <w:t>F</w:t>
            </w:r>
          </w:p>
        </w:tc>
      </w:tr>
      <w:tr>
        <w:trPr>
          <w:trHeight w:val="153"/>
        </w:trPr>
        <w:tc>
          <w:tcPr>
            <w:tcW w:w="1180" w:type="dxa"/>
            <w:vAlign w:val="bottom"/>
            <w:tcBorders>
              <w:left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94"/>
              </w:rPr>
              <w:t>mm/dd/yyyy</w:t>
            </w:r>
          </w:p>
        </w:tc>
        <w:tc>
          <w:tcPr>
            <w:tcW w:w="82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9"/>
              </w:rPr>
              <w:t>xx</w:t>
            </w:r>
          </w:p>
        </w:tc>
        <w:tc>
          <w:tcPr>
            <w:tcW w:w="10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99"/>
              </w:rPr>
              <w:t>xxxxxxxx</w:t>
            </w:r>
          </w:p>
        </w:tc>
        <w:tc>
          <w:tcPr>
            <w:tcW w:w="1360" w:type="dxa"/>
            <w:vAlign w:val="bottom"/>
          </w:tcPr>
          <w:p>
            <w:pPr>
              <w:ind w:left="620"/>
              <w:spacing w:after="0" w:line="153" w:lineRule="exact"/>
              <w:rPr>
                <w:sz w:val="20"/>
                <w:szCs w:val="20"/>
                <w:color w:val="auto"/>
              </w:rPr>
            </w:pPr>
            <w:r>
              <w:rPr>
                <w:rFonts w:ascii="Arial" w:cs="Arial" w:eastAsia="Arial" w:hAnsi="Arial"/>
                <w:sz w:val="14"/>
                <w:szCs w:val="14"/>
                <w:color w:val="auto"/>
              </w:rPr>
              <w:t>xxx,xxx.xx</w:t>
            </w:r>
          </w:p>
        </w:tc>
        <w:tc>
          <w:tcPr>
            <w:tcW w:w="1360" w:type="dxa"/>
            <w:vAlign w:val="bottom"/>
          </w:tcPr>
          <w:p>
            <w:pPr>
              <w:ind w:left="640"/>
              <w:spacing w:after="0" w:line="153" w:lineRule="exact"/>
              <w:rPr>
                <w:sz w:val="20"/>
                <w:szCs w:val="20"/>
                <w:color w:val="auto"/>
              </w:rPr>
            </w:pPr>
            <w:r>
              <w:rPr>
                <w:rFonts w:ascii="Arial" w:cs="Arial" w:eastAsia="Arial" w:hAnsi="Arial"/>
                <w:sz w:val="14"/>
                <w:szCs w:val="14"/>
                <w:color w:val="auto"/>
              </w:rPr>
              <w:t>xxx,xxx.xx</w:t>
            </w:r>
          </w:p>
        </w:tc>
        <w:tc>
          <w:tcPr>
            <w:tcW w:w="1340" w:type="dxa"/>
            <w:vAlign w:val="bottom"/>
          </w:tcPr>
          <w:p>
            <w:pPr>
              <w:ind w:left="620"/>
              <w:spacing w:after="0" w:line="153" w:lineRule="exact"/>
              <w:rPr>
                <w:sz w:val="20"/>
                <w:szCs w:val="20"/>
                <w:color w:val="auto"/>
              </w:rPr>
            </w:pPr>
            <w:r>
              <w:rPr>
                <w:rFonts w:ascii="Arial" w:cs="Arial" w:eastAsia="Arial" w:hAnsi="Arial"/>
                <w:sz w:val="14"/>
                <w:szCs w:val="14"/>
                <w:color w:val="auto"/>
              </w:rPr>
              <w:t>xxx,xxx.xx</w:t>
            </w:r>
          </w:p>
        </w:tc>
      </w:tr>
      <w:tr>
        <w:trPr>
          <w:trHeight w:val="17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mm/dd/yyyy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xx</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xxxxxxxx</w:t>
            </w:r>
          </w:p>
        </w:tc>
        <w:tc>
          <w:tcPr>
            <w:tcW w:w="1360" w:type="dxa"/>
            <w:vAlign w:val="bottom"/>
          </w:tcPr>
          <w:p>
            <w:pPr>
              <w:ind w:left="620"/>
              <w:spacing w:after="0"/>
              <w:rPr>
                <w:sz w:val="20"/>
                <w:szCs w:val="20"/>
                <w:color w:val="auto"/>
              </w:rPr>
            </w:pPr>
            <w:r>
              <w:rPr>
                <w:rFonts w:ascii="Arial" w:cs="Arial" w:eastAsia="Arial" w:hAnsi="Arial"/>
                <w:sz w:val="14"/>
                <w:szCs w:val="14"/>
                <w:color w:val="auto"/>
              </w:rPr>
              <w:t>xxx,xxx.xx</w:t>
            </w:r>
          </w:p>
        </w:tc>
        <w:tc>
          <w:tcPr>
            <w:tcW w:w="1360" w:type="dxa"/>
            <w:vAlign w:val="bottom"/>
          </w:tcPr>
          <w:p>
            <w:pPr>
              <w:ind w:left="640"/>
              <w:spacing w:after="0"/>
              <w:rPr>
                <w:sz w:val="20"/>
                <w:szCs w:val="20"/>
                <w:color w:val="auto"/>
              </w:rPr>
            </w:pPr>
            <w:r>
              <w:rPr>
                <w:rFonts w:ascii="Arial" w:cs="Arial" w:eastAsia="Arial" w:hAnsi="Arial"/>
                <w:sz w:val="14"/>
                <w:szCs w:val="14"/>
                <w:color w:val="auto"/>
              </w:rPr>
              <w:t>xxx,xxx.xx</w:t>
            </w:r>
          </w:p>
        </w:tc>
        <w:tc>
          <w:tcPr>
            <w:tcW w:w="1340" w:type="dxa"/>
            <w:vAlign w:val="bottom"/>
          </w:tcPr>
          <w:p>
            <w:pPr>
              <w:ind w:left="620"/>
              <w:spacing w:after="0"/>
              <w:rPr>
                <w:sz w:val="20"/>
                <w:szCs w:val="20"/>
                <w:color w:val="auto"/>
              </w:rPr>
            </w:pPr>
            <w:r>
              <w:rPr>
                <w:rFonts w:ascii="Arial" w:cs="Arial" w:eastAsia="Arial" w:hAnsi="Arial"/>
                <w:sz w:val="14"/>
                <w:szCs w:val="14"/>
                <w:color w:val="auto"/>
              </w:rPr>
              <w:t>xxx,xxx.xx</w:t>
            </w:r>
          </w:p>
        </w:tc>
      </w:tr>
      <w:tr>
        <w:trPr>
          <w:trHeight w:val="17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mm/dd/yyyy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xx</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xxxxxxxx</w:t>
            </w:r>
          </w:p>
        </w:tc>
        <w:tc>
          <w:tcPr>
            <w:tcW w:w="1360" w:type="dxa"/>
            <w:vAlign w:val="bottom"/>
          </w:tcPr>
          <w:p>
            <w:pPr>
              <w:ind w:left="620"/>
              <w:spacing w:after="0"/>
              <w:rPr>
                <w:sz w:val="20"/>
                <w:szCs w:val="20"/>
                <w:color w:val="auto"/>
              </w:rPr>
            </w:pPr>
            <w:r>
              <w:rPr>
                <w:rFonts w:ascii="Arial" w:cs="Arial" w:eastAsia="Arial" w:hAnsi="Arial"/>
                <w:sz w:val="14"/>
                <w:szCs w:val="14"/>
                <w:color w:val="auto"/>
              </w:rPr>
              <w:t>xxx,xxx.xx</w:t>
            </w:r>
          </w:p>
        </w:tc>
        <w:tc>
          <w:tcPr>
            <w:tcW w:w="1360" w:type="dxa"/>
            <w:vAlign w:val="bottom"/>
          </w:tcPr>
          <w:p>
            <w:pPr>
              <w:ind w:left="640"/>
              <w:spacing w:after="0"/>
              <w:rPr>
                <w:sz w:val="20"/>
                <w:szCs w:val="20"/>
                <w:color w:val="auto"/>
              </w:rPr>
            </w:pPr>
            <w:r>
              <w:rPr>
                <w:rFonts w:ascii="Arial" w:cs="Arial" w:eastAsia="Arial" w:hAnsi="Arial"/>
                <w:sz w:val="14"/>
                <w:szCs w:val="14"/>
                <w:color w:val="auto"/>
              </w:rPr>
              <w:t>xxx,xxx.xx</w:t>
            </w:r>
          </w:p>
        </w:tc>
        <w:tc>
          <w:tcPr>
            <w:tcW w:w="1340" w:type="dxa"/>
            <w:vAlign w:val="bottom"/>
          </w:tcPr>
          <w:p>
            <w:pPr>
              <w:ind w:left="620"/>
              <w:spacing w:after="0"/>
              <w:rPr>
                <w:sz w:val="20"/>
                <w:szCs w:val="20"/>
                <w:color w:val="auto"/>
              </w:rPr>
            </w:pPr>
            <w:r>
              <w:rPr>
                <w:rFonts w:ascii="Arial" w:cs="Arial" w:eastAsia="Arial" w:hAnsi="Arial"/>
                <w:sz w:val="14"/>
                <w:szCs w:val="14"/>
                <w:color w:val="auto"/>
              </w:rPr>
              <w:t>xxx,xxx.xx</w:t>
            </w:r>
          </w:p>
        </w:tc>
      </w:tr>
      <w:tr>
        <w:trPr>
          <w:trHeight w:val="17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mm/dd/yyyy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xx</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xxxxxxxx</w:t>
            </w:r>
          </w:p>
        </w:tc>
        <w:tc>
          <w:tcPr>
            <w:tcW w:w="1360" w:type="dxa"/>
            <w:vAlign w:val="bottom"/>
          </w:tcPr>
          <w:p>
            <w:pPr>
              <w:ind w:left="620"/>
              <w:spacing w:after="0"/>
              <w:rPr>
                <w:sz w:val="20"/>
                <w:szCs w:val="20"/>
                <w:color w:val="auto"/>
              </w:rPr>
            </w:pPr>
            <w:r>
              <w:rPr>
                <w:rFonts w:ascii="Arial" w:cs="Arial" w:eastAsia="Arial" w:hAnsi="Arial"/>
                <w:sz w:val="14"/>
                <w:szCs w:val="14"/>
                <w:color w:val="auto"/>
              </w:rPr>
              <w:t>xxx,xxx.xx</w:t>
            </w:r>
          </w:p>
        </w:tc>
        <w:tc>
          <w:tcPr>
            <w:tcW w:w="1360" w:type="dxa"/>
            <w:vAlign w:val="bottom"/>
          </w:tcPr>
          <w:p>
            <w:pPr>
              <w:ind w:left="640"/>
              <w:spacing w:after="0"/>
              <w:rPr>
                <w:sz w:val="20"/>
                <w:szCs w:val="20"/>
                <w:color w:val="auto"/>
              </w:rPr>
            </w:pPr>
            <w:r>
              <w:rPr>
                <w:rFonts w:ascii="Arial" w:cs="Arial" w:eastAsia="Arial" w:hAnsi="Arial"/>
                <w:sz w:val="14"/>
                <w:szCs w:val="14"/>
                <w:color w:val="auto"/>
              </w:rPr>
              <w:t>xxx,xxx.xx</w:t>
            </w:r>
          </w:p>
        </w:tc>
        <w:tc>
          <w:tcPr>
            <w:tcW w:w="1340" w:type="dxa"/>
            <w:vAlign w:val="bottom"/>
          </w:tcPr>
          <w:p>
            <w:pPr>
              <w:ind w:left="620"/>
              <w:spacing w:after="0"/>
              <w:rPr>
                <w:sz w:val="20"/>
                <w:szCs w:val="20"/>
                <w:color w:val="auto"/>
              </w:rPr>
            </w:pPr>
            <w:r>
              <w:rPr>
                <w:rFonts w:ascii="Arial" w:cs="Arial" w:eastAsia="Arial" w:hAnsi="Arial"/>
                <w:sz w:val="14"/>
                <w:szCs w:val="14"/>
                <w:color w:val="auto"/>
              </w:rPr>
              <w:t>xxx,xxx.xx</w:t>
            </w:r>
          </w:p>
        </w:tc>
      </w:tr>
      <w:tr>
        <w:trPr>
          <w:trHeight w:val="17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mm/dd/yyyy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xx</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xxxxxxxx</w:t>
            </w:r>
          </w:p>
        </w:tc>
        <w:tc>
          <w:tcPr>
            <w:tcW w:w="1360" w:type="dxa"/>
            <w:vAlign w:val="bottom"/>
          </w:tcPr>
          <w:p>
            <w:pPr>
              <w:ind w:left="620"/>
              <w:spacing w:after="0"/>
              <w:rPr>
                <w:sz w:val="20"/>
                <w:szCs w:val="20"/>
                <w:color w:val="auto"/>
              </w:rPr>
            </w:pPr>
            <w:r>
              <w:rPr>
                <w:rFonts w:ascii="Arial" w:cs="Arial" w:eastAsia="Arial" w:hAnsi="Arial"/>
                <w:sz w:val="14"/>
                <w:szCs w:val="14"/>
                <w:color w:val="auto"/>
              </w:rPr>
              <w:t>xxx,xxx.xx</w:t>
            </w:r>
          </w:p>
        </w:tc>
        <w:tc>
          <w:tcPr>
            <w:tcW w:w="1360" w:type="dxa"/>
            <w:vAlign w:val="bottom"/>
          </w:tcPr>
          <w:p>
            <w:pPr>
              <w:ind w:left="640"/>
              <w:spacing w:after="0"/>
              <w:rPr>
                <w:sz w:val="20"/>
                <w:szCs w:val="20"/>
                <w:color w:val="auto"/>
              </w:rPr>
            </w:pPr>
            <w:r>
              <w:rPr>
                <w:rFonts w:ascii="Arial" w:cs="Arial" w:eastAsia="Arial" w:hAnsi="Arial"/>
                <w:sz w:val="14"/>
                <w:szCs w:val="14"/>
                <w:color w:val="auto"/>
              </w:rPr>
              <w:t>xxx,xxx.xx</w:t>
            </w:r>
          </w:p>
        </w:tc>
        <w:tc>
          <w:tcPr>
            <w:tcW w:w="1340" w:type="dxa"/>
            <w:vAlign w:val="bottom"/>
          </w:tcPr>
          <w:p>
            <w:pPr>
              <w:ind w:left="620"/>
              <w:spacing w:after="0"/>
              <w:rPr>
                <w:sz w:val="20"/>
                <w:szCs w:val="20"/>
                <w:color w:val="auto"/>
              </w:rPr>
            </w:pPr>
            <w:r>
              <w:rPr>
                <w:rFonts w:ascii="Arial" w:cs="Arial" w:eastAsia="Arial" w:hAnsi="Arial"/>
                <w:sz w:val="14"/>
                <w:szCs w:val="14"/>
                <w:color w:val="auto"/>
              </w:rPr>
              <w:t>xxx,xxx.xx</w:t>
            </w:r>
          </w:p>
        </w:tc>
      </w:tr>
      <w:tr>
        <w:trPr>
          <w:trHeight w:val="17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mm/dd/yyyy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xx</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xxxxxxxx</w:t>
            </w:r>
          </w:p>
        </w:tc>
        <w:tc>
          <w:tcPr>
            <w:tcW w:w="1360" w:type="dxa"/>
            <w:vAlign w:val="bottom"/>
          </w:tcPr>
          <w:p>
            <w:pPr>
              <w:ind w:left="620"/>
              <w:spacing w:after="0"/>
              <w:rPr>
                <w:sz w:val="20"/>
                <w:szCs w:val="20"/>
                <w:color w:val="auto"/>
              </w:rPr>
            </w:pPr>
            <w:r>
              <w:rPr>
                <w:rFonts w:ascii="Arial" w:cs="Arial" w:eastAsia="Arial" w:hAnsi="Arial"/>
                <w:sz w:val="14"/>
                <w:szCs w:val="14"/>
                <w:color w:val="auto"/>
              </w:rPr>
              <w:t>xxx,xxx.xx</w:t>
            </w:r>
          </w:p>
        </w:tc>
        <w:tc>
          <w:tcPr>
            <w:tcW w:w="1360" w:type="dxa"/>
            <w:vAlign w:val="bottom"/>
          </w:tcPr>
          <w:p>
            <w:pPr>
              <w:ind w:left="640"/>
              <w:spacing w:after="0"/>
              <w:rPr>
                <w:sz w:val="20"/>
                <w:szCs w:val="20"/>
                <w:color w:val="auto"/>
              </w:rPr>
            </w:pPr>
            <w:r>
              <w:rPr>
                <w:rFonts w:ascii="Arial" w:cs="Arial" w:eastAsia="Arial" w:hAnsi="Arial"/>
                <w:sz w:val="14"/>
                <w:szCs w:val="14"/>
                <w:color w:val="auto"/>
              </w:rPr>
              <w:t>xxx,xxx.xx</w:t>
            </w:r>
          </w:p>
        </w:tc>
        <w:tc>
          <w:tcPr>
            <w:tcW w:w="1340" w:type="dxa"/>
            <w:vAlign w:val="bottom"/>
          </w:tcPr>
          <w:p>
            <w:pPr>
              <w:ind w:left="620"/>
              <w:spacing w:after="0"/>
              <w:rPr>
                <w:sz w:val="20"/>
                <w:szCs w:val="20"/>
                <w:color w:val="auto"/>
              </w:rPr>
            </w:pPr>
            <w:r>
              <w:rPr>
                <w:rFonts w:ascii="Arial" w:cs="Arial" w:eastAsia="Arial" w:hAnsi="Arial"/>
                <w:sz w:val="14"/>
                <w:szCs w:val="14"/>
                <w:color w:val="auto"/>
              </w:rPr>
              <w:t>xxx,xxx.xx</w:t>
            </w:r>
          </w:p>
        </w:tc>
      </w:tr>
      <w:tr>
        <w:trPr>
          <w:trHeight w:val="17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mm/dd/yyyy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xx</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xxxxxxxx</w:t>
            </w:r>
          </w:p>
        </w:tc>
        <w:tc>
          <w:tcPr>
            <w:tcW w:w="1360" w:type="dxa"/>
            <w:vAlign w:val="bottom"/>
          </w:tcPr>
          <w:p>
            <w:pPr>
              <w:ind w:left="620"/>
              <w:spacing w:after="0"/>
              <w:rPr>
                <w:sz w:val="20"/>
                <w:szCs w:val="20"/>
                <w:color w:val="auto"/>
              </w:rPr>
            </w:pPr>
            <w:r>
              <w:rPr>
                <w:rFonts w:ascii="Arial" w:cs="Arial" w:eastAsia="Arial" w:hAnsi="Arial"/>
                <w:sz w:val="14"/>
                <w:szCs w:val="14"/>
                <w:color w:val="auto"/>
              </w:rPr>
              <w:t>xxx,xxx.xx</w:t>
            </w:r>
          </w:p>
        </w:tc>
        <w:tc>
          <w:tcPr>
            <w:tcW w:w="1360" w:type="dxa"/>
            <w:vAlign w:val="bottom"/>
          </w:tcPr>
          <w:p>
            <w:pPr>
              <w:ind w:left="640"/>
              <w:spacing w:after="0"/>
              <w:rPr>
                <w:sz w:val="20"/>
                <w:szCs w:val="20"/>
                <w:color w:val="auto"/>
              </w:rPr>
            </w:pPr>
            <w:r>
              <w:rPr>
                <w:rFonts w:ascii="Arial" w:cs="Arial" w:eastAsia="Arial" w:hAnsi="Arial"/>
                <w:sz w:val="14"/>
                <w:szCs w:val="14"/>
                <w:color w:val="auto"/>
              </w:rPr>
              <w:t>xxx,xxx.xx</w:t>
            </w:r>
          </w:p>
        </w:tc>
        <w:tc>
          <w:tcPr>
            <w:tcW w:w="1340" w:type="dxa"/>
            <w:vAlign w:val="bottom"/>
          </w:tcPr>
          <w:p>
            <w:pPr>
              <w:ind w:left="620"/>
              <w:spacing w:after="0"/>
              <w:rPr>
                <w:sz w:val="20"/>
                <w:szCs w:val="20"/>
                <w:color w:val="auto"/>
              </w:rPr>
            </w:pPr>
            <w:r>
              <w:rPr>
                <w:rFonts w:ascii="Arial" w:cs="Arial" w:eastAsia="Arial" w:hAnsi="Arial"/>
                <w:sz w:val="14"/>
                <w:szCs w:val="14"/>
                <w:color w:val="auto"/>
              </w:rPr>
              <w:t>xxx,xxx.xx</w:t>
            </w:r>
          </w:p>
        </w:tc>
      </w:tr>
      <w:tr>
        <w:trPr>
          <w:trHeight w:val="17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mm/dd/yyyy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xx</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xxxxxxxx</w:t>
            </w:r>
          </w:p>
        </w:tc>
        <w:tc>
          <w:tcPr>
            <w:tcW w:w="1360" w:type="dxa"/>
            <w:vAlign w:val="bottom"/>
          </w:tcPr>
          <w:p>
            <w:pPr>
              <w:ind w:left="620"/>
              <w:spacing w:after="0"/>
              <w:rPr>
                <w:sz w:val="20"/>
                <w:szCs w:val="20"/>
                <w:color w:val="auto"/>
              </w:rPr>
            </w:pPr>
            <w:r>
              <w:rPr>
                <w:rFonts w:ascii="Arial" w:cs="Arial" w:eastAsia="Arial" w:hAnsi="Arial"/>
                <w:sz w:val="14"/>
                <w:szCs w:val="14"/>
                <w:color w:val="auto"/>
              </w:rPr>
              <w:t>xxx,xxx.xx</w:t>
            </w:r>
          </w:p>
        </w:tc>
        <w:tc>
          <w:tcPr>
            <w:tcW w:w="1360" w:type="dxa"/>
            <w:vAlign w:val="bottom"/>
          </w:tcPr>
          <w:p>
            <w:pPr>
              <w:ind w:left="640"/>
              <w:spacing w:after="0"/>
              <w:rPr>
                <w:sz w:val="20"/>
                <w:szCs w:val="20"/>
                <w:color w:val="auto"/>
              </w:rPr>
            </w:pPr>
            <w:r>
              <w:rPr>
                <w:rFonts w:ascii="Arial" w:cs="Arial" w:eastAsia="Arial" w:hAnsi="Arial"/>
                <w:sz w:val="14"/>
                <w:szCs w:val="14"/>
                <w:color w:val="auto"/>
              </w:rPr>
              <w:t>xxx,xxx.xx</w:t>
            </w:r>
          </w:p>
        </w:tc>
        <w:tc>
          <w:tcPr>
            <w:tcW w:w="1340" w:type="dxa"/>
            <w:vAlign w:val="bottom"/>
          </w:tcPr>
          <w:p>
            <w:pPr>
              <w:ind w:left="620"/>
              <w:spacing w:after="0"/>
              <w:rPr>
                <w:sz w:val="20"/>
                <w:szCs w:val="20"/>
                <w:color w:val="auto"/>
              </w:rPr>
            </w:pPr>
            <w:r>
              <w:rPr>
                <w:rFonts w:ascii="Arial" w:cs="Arial" w:eastAsia="Arial" w:hAnsi="Arial"/>
                <w:sz w:val="14"/>
                <w:szCs w:val="14"/>
                <w:color w:val="auto"/>
              </w:rPr>
              <w:t>xxx,xxx.xx</w:t>
            </w:r>
          </w:p>
        </w:tc>
      </w:tr>
      <w:tr>
        <w:trPr>
          <w:trHeight w:val="17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mm/dd/yyyy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xx</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xxxxxxxx</w:t>
            </w:r>
          </w:p>
        </w:tc>
        <w:tc>
          <w:tcPr>
            <w:tcW w:w="1360" w:type="dxa"/>
            <w:vAlign w:val="bottom"/>
          </w:tcPr>
          <w:p>
            <w:pPr>
              <w:ind w:left="620"/>
              <w:spacing w:after="0"/>
              <w:rPr>
                <w:sz w:val="20"/>
                <w:szCs w:val="20"/>
                <w:color w:val="auto"/>
              </w:rPr>
            </w:pPr>
            <w:r>
              <w:rPr>
                <w:rFonts w:ascii="Arial" w:cs="Arial" w:eastAsia="Arial" w:hAnsi="Arial"/>
                <w:sz w:val="14"/>
                <w:szCs w:val="14"/>
                <w:color w:val="auto"/>
              </w:rPr>
              <w:t>xxx,xxx.xx</w:t>
            </w:r>
          </w:p>
        </w:tc>
        <w:tc>
          <w:tcPr>
            <w:tcW w:w="1360" w:type="dxa"/>
            <w:vAlign w:val="bottom"/>
          </w:tcPr>
          <w:p>
            <w:pPr>
              <w:ind w:left="640"/>
              <w:spacing w:after="0"/>
              <w:rPr>
                <w:sz w:val="20"/>
                <w:szCs w:val="20"/>
                <w:color w:val="auto"/>
              </w:rPr>
            </w:pPr>
            <w:r>
              <w:rPr>
                <w:rFonts w:ascii="Arial" w:cs="Arial" w:eastAsia="Arial" w:hAnsi="Arial"/>
                <w:sz w:val="14"/>
                <w:szCs w:val="14"/>
                <w:color w:val="auto"/>
              </w:rPr>
              <w:t>xxx,xxx.xx</w:t>
            </w:r>
          </w:p>
        </w:tc>
        <w:tc>
          <w:tcPr>
            <w:tcW w:w="1340" w:type="dxa"/>
            <w:vAlign w:val="bottom"/>
          </w:tcPr>
          <w:p>
            <w:pPr>
              <w:ind w:left="620"/>
              <w:spacing w:after="0"/>
              <w:rPr>
                <w:sz w:val="20"/>
                <w:szCs w:val="20"/>
                <w:color w:val="auto"/>
              </w:rPr>
            </w:pPr>
            <w:r>
              <w:rPr>
                <w:rFonts w:ascii="Arial" w:cs="Arial" w:eastAsia="Arial" w:hAnsi="Arial"/>
                <w:sz w:val="14"/>
                <w:szCs w:val="14"/>
                <w:color w:val="auto"/>
              </w:rPr>
              <w:t>xxx,xxx.xx</w:t>
            </w:r>
          </w:p>
        </w:tc>
      </w:tr>
      <w:tr>
        <w:trPr>
          <w:trHeight w:val="17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mm/dd/yyyy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xx</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xxxxxxxx</w:t>
            </w:r>
          </w:p>
        </w:tc>
        <w:tc>
          <w:tcPr>
            <w:tcW w:w="1360" w:type="dxa"/>
            <w:vAlign w:val="bottom"/>
          </w:tcPr>
          <w:p>
            <w:pPr>
              <w:ind w:left="620"/>
              <w:spacing w:after="0"/>
              <w:rPr>
                <w:sz w:val="20"/>
                <w:szCs w:val="20"/>
                <w:color w:val="auto"/>
              </w:rPr>
            </w:pPr>
            <w:r>
              <w:rPr>
                <w:rFonts w:ascii="Arial" w:cs="Arial" w:eastAsia="Arial" w:hAnsi="Arial"/>
                <w:sz w:val="14"/>
                <w:szCs w:val="14"/>
                <w:color w:val="auto"/>
              </w:rPr>
              <w:t>xxx,xxx.xx</w:t>
            </w:r>
          </w:p>
        </w:tc>
        <w:tc>
          <w:tcPr>
            <w:tcW w:w="1360" w:type="dxa"/>
            <w:vAlign w:val="bottom"/>
          </w:tcPr>
          <w:p>
            <w:pPr>
              <w:ind w:left="640"/>
              <w:spacing w:after="0"/>
              <w:rPr>
                <w:sz w:val="20"/>
                <w:szCs w:val="20"/>
                <w:color w:val="auto"/>
              </w:rPr>
            </w:pPr>
            <w:r>
              <w:rPr>
                <w:rFonts w:ascii="Arial" w:cs="Arial" w:eastAsia="Arial" w:hAnsi="Arial"/>
                <w:sz w:val="14"/>
                <w:szCs w:val="14"/>
                <w:color w:val="auto"/>
              </w:rPr>
              <w:t>xxx,xxx.xx</w:t>
            </w:r>
          </w:p>
        </w:tc>
        <w:tc>
          <w:tcPr>
            <w:tcW w:w="1340" w:type="dxa"/>
            <w:vAlign w:val="bottom"/>
          </w:tcPr>
          <w:p>
            <w:pPr>
              <w:ind w:left="620"/>
              <w:spacing w:after="0"/>
              <w:rPr>
                <w:sz w:val="20"/>
                <w:szCs w:val="20"/>
                <w:color w:val="auto"/>
              </w:rPr>
            </w:pPr>
            <w:r>
              <w:rPr>
                <w:rFonts w:ascii="Arial" w:cs="Arial" w:eastAsia="Arial" w:hAnsi="Arial"/>
                <w:sz w:val="14"/>
                <w:szCs w:val="14"/>
                <w:color w:val="auto"/>
              </w:rPr>
              <w:t>xxx,xxx.xx</w:t>
            </w:r>
          </w:p>
        </w:tc>
      </w:tr>
      <w:tr>
        <w:trPr>
          <w:trHeight w:val="17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mm/dd/yyyy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xx</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xxxxxxxx</w:t>
            </w:r>
          </w:p>
        </w:tc>
        <w:tc>
          <w:tcPr>
            <w:tcW w:w="1360" w:type="dxa"/>
            <w:vAlign w:val="bottom"/>
          </w:tcPr>
          <w:p>
            <w:pPr>
              <w:ind w:left="620"/>
              <w:spacing w:after="0"/>
              <w:rPr>
                <w:sz w:val="20"/>
                <w:szCs w:val="20"/>
                <w:color w:val="auto"/>
              </w:rPr>
            </w:pPr>
            <w:r>
              <w:rPr>
                <w:rFonts w:ascii="Arial" w:cs="Arial" w:eastAsia="Arial" w:hAnsi="Arial"/>
                <w:sz w:val="14"/>
                <w:szCs w:val="14"/>
                <w:color w:val="auto"/>
              </w:rPr>
              <w:t>xxx,xxx.xx</w:t>
            </w:r>
          </w:p>
        </w:tc>
        <w:tc>
          <w:tcPr>
            <w:tcW w:w="1360" w:type="dxa"/>
            <w:vAlign w:val="bottom"/>
          </w:tcPr>
          <w:p>
            <w:pPr>
              <w:ind w:left="640"/>
              <w:spacing w:after="0"/>
              <w:rPr>
                <w:sz w:val="20"/>
                <w:szCs w:val="20"/>
                <w:color w:val="auto"/>
              </w:rPr>
            </w:pPr>
            <w:r>
              <w:rPr>
                <w:rFonts w:ascii="Arial" w:cs="Arial" w:eastAsia="Arial" w:hAnsi="Arial"/>
                <w:sz w:val="14"/>
                <w:szCs w:val="14"/>
                <w:color w:val="auto"/>
              </w:rPr>
              <w:t>xxx,xxx.xx</w:t>
            </w:r>
          </w:p>
        </w:tc>
        <w:tc>
          <w:tcPr>
            <w:tcW w:w="1340" w:type="dxa"/>
            <w:vAlign w:val="bottom"/>
          </w:tcPr>
          <w:p>
            <w:pPr>
              <w:ind w:left="620"/>
              <w:spacing w:after="0"/>
              <w:rPr>
                <w:sz w:val="20"/>
                <w:szCs w:val="20"/>
                <w:color w:val="auto"/>
              </w:rPr>
            </w:pPr>
            <w:r>
              <w:rPr>
                <w:rFonts w:ascii="Arial" w:cs="Arial" w:eastAsia="Arial" w:hAnsi="Arial"/>
                <w:sz w:val="14"/>
                <w:szCs w:val="14"/>
                <w:color w:val="auto"/>
              </w:rPr>
              <w:t>xxx,xxx.xx</w:t>
            </w:r>
          </w:p>
        </w:tc>
      </w:tr>
      <w:tr>
        <w:trPr>
          <w:trHeight w:val="17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mm/dd/yyyy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xx</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xxxxxxxx</w:t>
            </w:r>
          </w:p>
        </w:tc>
        <w:tc>
          <w:tcPr>
            <w:tcW w:w="1360" w:type="dxa"/>
            <w:vAlign w:val="bottom"/>
          </w:tcPr>
          <w:p>
            <w:pPr>
              <w:ind w:left="620"/>
              <w:spacing w:after="0"/>
              <w:rPr>
                <w:sz w:val="20"/>
                <w:szCs w:val="20"/>
                <w:color w:val="auto"/>
              </w:rPr>
            </w:pPr>
            <w:r>
              <w:rPr>
                <w:rFonts w:ascii="Arial" w:cs="Arial" w:eastAsia="Arial" w:hAnsi="Arial"/>
                <w:sz w:val="14"/>
                <w:szCs w:val="14"/>
                <w:color w:val="auto"/>
              </w:rPr>
              <w:t>xxx,xxx.xx</w:t>
            </w:r>
          </w:p>
        </w:tc>
        <w:tc>
          <w:tcPr>
            <w:tcW w:w="1360" w:type="dxa"/>
            <w:vAlign w:val="bottom"/>
          </w:tcPr>
          <w:p>
            <w:pPr>
              <w:ind w:left="640"/>
              <w:spacing w:after="0"/>
              <w:rPr>
                <w:sz w:val="20"/>
                <w:szCs w:val="20"/>
                <w:color w:val="auto"/>
              </w:rPr>
            </w:pPr>
            <w:r>
              <w:rPr>
                <w:rFonts w:ascii="Arial" w:cs="Arial" w:eastAsia="Arial" w:hAnsi="Arial"/>
                <w:sz w:val="14"/>
                <w:szCs w:val="14"/>
                <w:color w:val="auto"/>
              </w:rPr>
              <w:t>xxx,xxx.xx</w:t>
            </w:r>
          </w:p>
        </w:tc>
        <w:tc>
          <w:tcPr>
            <w:tcW w:w="1340" w:type="dxa"/>
            <w:vAlign w:val="bottom"/>
          </w:tcPr>
          <w:p>
            <w:pPr>
              <w:ind w:left="620"/>
              <w:spacing w:after="0"/>
              <w:rPr>
                <w:sz w:val="20"/>
                <w:szCs w:val="20"/>
                <w:color w:val="auto"/>
              </w:rPr>
            </w:pPr>
            <w:r>
              <w:rPr>
                <w:rFonts w:ascii="Arial" w:cs="Arial" w:eastAsia="Arial" w:hAnsi="Arial"/>
                <w:sz w:val="14"/>
                <w:szCs w:val="14"/>
                <w:color w:val="auto"/>
              </w:rPr>
              <w:t>xxx,xxx.xx</w:t>
            </w:r>
          </w:p>
        </w:tc>
      </w:tr>
      <w:tr>
        <w:trPr>
          <w:trHeight w:val="17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mm/dd/yyyy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xx</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xxxxxxxx</w:t>
            </w:r>
          </w:p>
        </w:tc>
        <w:tc>
          <w:tcPr>
            <w:tcW w:w="1360" w:type="dxa"/>
            <w:vAlign w:val="bottom"/>
          </w:tcPr>
          <w:p>
            <w:pPr>
              <w:ind w:left="620"/>
              <w:spacing w:after="0"/>
              <w:rPr>
                <w:sz w:val="20"/>
                <w:szCs w:val="20"/>
                <w:color w:val="auto"/>
              </w:rPr>
            </w:pPr>
            <w:r>
              <w:rPr>
                <w:rFonts w:ascii="Arial" w:cs="Arial" w:eastAsia="Arial" w:hAnsi="Arial"/>
                <w:sz w:val="14"/>
                <w:szCs w:val="14"/>
                <w:color w:val="auto"/>
              </w:rPr>
              <w:t>xxx,xxx.xx</w:t>
            </w:r>
          </w:p>
        </w:tc>
        <w:tc>
          <w:tcPr>
            <w:tcW w:w="1360" w:type="dxa"/>
            <w:vAlign w:val="bottom"/>
          </w:tcPr>
          <w:p>
            <w:pPr>
              <w:ind w:left="640"/>
              <w:spacing w:after="0"/>
              <w:rPr>
                <w:sz w:val="20"/>
                <w:szCs w:val="20"/>
                <w:color w:val="auto"/>
              </w:rPr>
            </w:pPr>
            <w:r>
              <w:rPr>
                <w:rFonts w:ascii="Arial" w:cs="Arial" w:eastAsia="Arial" w:hAnsi="Arial"/>
                <w:sz w:val="14"/>
                <w:szCs w:val="14"/>
                <w:color w:val="auto"/>
              </w:rPr>
              <w:t>xxx,xxx.xx</w:t>
            </w:r>
          </w:p>
        </w:tc>
        <w:tc>
          <w:tcPr>
            <w:tcW w:w="1340" w:type="dxa"/>
            <w:vAlign w:val="bottom"/>
          </w:tcPr>
          <w:p>
            <w:pPr>
              <w:ind w:left="620"/>
              <w:spacing w:after="0"/>
              <w:rPr>
                <w:sz w:val="20"/>
                <w:szCs w:val="20"/>
                <w:color w:val="auto"/>
              </w:rPr>
            </w:pPr>
            <w:r>
              <w:rPr>
                <w:rFonts w:ascii="Arial" w:cs="Arial" w:eastAsia="Arial" w:hAnsi="Arial"/>
                <w:sz w:val="14"/>
                <w:szCs w:val="14"/>
                <w:color w:val="auto"/>
              </w:rPr>
              <w:t>xxx,xxx.xx</w:t>
            </w:r>
          </w:p>
        </w:tc>
      </w:tr>
      <w:tr>
        <w:trPr>
          <w:trHeight w:val="17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mm/dd/yyyy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xx</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xxxxxxxx</w:t>
            </w:r>
          </w:p>
        </w:tc>
        <w:tc>
          <w:tcPr>
            <w:tcW w:w="1360" w:type="dxa"/>
            <w:vAlign w:val="bottom"/>
          </w:tcPr>
          <w:p>
            <w:pPr>
              <w:ind w:left="620"/>
              <w:spacing w:after="0"/>
              <w:rPr>
                <w:sz w:val="20"/>
                <w:szCs w:val="20"/>
                <w:color w:val="auto"/>
              </w:rPr>
            </w:pPr>
            <w:r>
              <w:rPr>
                <w:rFonts w:ascii="Arial" w:cs="Arial" w:eastAsia="Arial" w:hAnsi="Arial"/>
                <w:sz w:val="14"/>
                <w:szCs w:val="14"/>
                <w:color w:val="auto"/>
              </w:rPr>
              <w:t>xxx,xxx.xx</w:t>
            </w:r>
          </w:p>
        </w:tc>
        <w:tc>
          <w:tcPr>
            <w:tcW w:w="1360" w:type="dxa"/>
            <w:vAlign w:val="bottom"/>
          </w:tcPr>
          <w:p>
            <w:pPr>
              <w:ind w:left="640"/>
              <w:spacing w:after="0"/>
              <w:rPr>
                <w:sz w:val="20"/>
                <w:szCs w:val="20"/>
                <w:color w:val="auto"/>
              </w:rPr>
            </w:pPr>
            <w:r>
              <w:rPr>
                <w:rFonts w:ascii="Arial" w:cs="Arial" w:eastAsia="Arial" w:hAnsi="Arial"/>
                <w:sz w:val="14"/>
                <w:szCs w:val="14"/>
                <w:color w:val="auto"/>
              </w:rPr>
              <w:t>xxx,xxx.xx</w:t>
            </w:r>
          </w:p>
        </w:tc>
        <w:tc>
          <w:tcPr>
            <w:tcW w:w="1340" w:type="dxa"/>
            <w:vAlign w:val="bottom"/>
          </w:tcPr>
          <w:p>
            <w:pPr>
              <w:ind w:left="620"/>
              <w:spacing w:after="0"/>
              <w:rPr>
                <w:sz w:val="20"/>
                <w:szCs w:val="20"/>
                <w:color w:val="auto"/>
              </w:rPr>
            </w:pPr>
            <w:r>
              <w:rPr>
                <w:rFonts w:ascii="Arial" w:cs="Arial" w:eastAsia="Arial" w:hAnsi="Arial"/>
                <w:sz w:val="14"/>
                <w:szCs w:val="14"/>
                <w:color w:val="auto"/>
              </w:rPr>
              <w:t>xxx,xxx.xx</w:t>
            </w:r>
          </w:p>
        </w:tc>
      </w:tr>
      <w:tr>
        <w:trPr>
          <w:trHeight w:val="17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mm/dd/yyyy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xx</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xxxxxxxx</w:t>
            </w:r>
          </w:p>
        </w:tc>
        <w:tc>
          <w:tcPr>
            <w:tcW w:w="1360" w:type="dxa"/>
            <w:vAlign w:val="bottom"/>
          </w:tcPr>
          <w:p>
            <w:pPr>
              <w:ind w:left="620"/>
              <w:spacing w:after="0"/>
              <w:rPr>
                <w:sz w:val="20"/>
                <w:szCs w:val="20"/>
                <w:color w:val="auto"/>
              </w:rPr>
            </w:pPr>
            <w:r>
              <w:rPr>
                <w:rFonts w:ascii="Arial" w:cs="Arial" w:eastAsia="Arial" w:hAnsi="Arial"/>
                <w:sz w:val="14"/>
                <w:szCs w:val="14"/>
                <w:color w:val="auto"/>
              </w:rPr>
              <w:t>xxx,xxx.xx</w:t>
            </w:r>
          </w:p>
        </w:tc>
        <w:tc>
          <w:tcPr>
            <w:tcW w:w="1360" w:type="dxa"/>
            <w:vAlign w:val="bottom"/>
          </w:tcPr>
          <w:p>
            <w:pPr>
              <w:ind w:left="640"/>
              <w:spacing w:after="0"/>
              <w:rPr>
                <w:sz w:val="20"/>
                <w:szCs w:val="20"/>
                <w:color w:val="auto"/>
              </w:rPr>
            </w:pPr>
            <w:r>
              <w:rPr>
                <w:rFonts w:ascii="Arial" w:cs="Arial" w:eastAsia="Arial" w:hAnsi="Arial"/>
                <w:sz w:val="14"/>
                <w:szCs w:val="14"/>
                <w:color w:val="auto"/>
              </w:rPr>
              <w:t>xxx,xxx.xx</w:t>
            </w:r>
          </w:p>
        </w:tc>
        <w:tc>
          <w:tcPr>
            <w:tcW w:w="1340" w:type="dxa"/>
            <w:vAlign w:val="bottom"/>
          </w:tcPr>
          <w:p>
            <w:pPr>
              <w:ind w:left="620"/>
              <w:spacing w:after="0"/>
              <w:rPr>
                <w:sz w:val="20"/>
                <w:szCs w:val="20"/>
                <w:color w:val="auto"/>
              </w:rPr>
            </w:pPr>
            <w:r>
              <w:rPr>
                <w:rFonts w:ascii="Arial" w:cs="Arial" w:eastAsia="Arial" w:hAnsi="Arial"/>
                <w:sz w:val="14"/>
                <w:szCs w:val="14"/>
                <w:color w:val="auto"/>
              </w:rPr>
              <w:t>xxx,xxx.xx</w:t>
            </w:r>
          </w:p>
        </w:tc>
      </w:tr>
      <w:tr>
        <w:trPr>
          <w:trHeight w:val="17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mm/dd/yyyy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xx</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xxxxxxxx</w:t>
            </w:r>
          </w:p>
        </w:tc>
        <w:tc>
          <w:tcPr>
            <w:tcW w:w="1360" w:type="dxa"/>
            <w:vAlign w:val="bottom"/>
          </w:tcPr>
          <w:p>
            <w:pPr>
              <w:ind w:left="620"/>
              <w:spacing w:after="0"/>
              <w:rPr>
                <w:sz w:val="20"/>
                <w:szCs w:val="20"/>
                <w:color w:val="auto"/>
              </w:rPr>
            </w:pPr>
            <w:r>
              <w:rPr>
                <w:rFonts w:ascii="Arial" w:cs="Arial" w:eastAsia="Arial" w:hAnsi="Arial"/>
                <w:sz w:val="14"/>
                <w:szCs w:val="14"/>
                <w:color w:val="auto"/>
              </w:rPr>
              <w:t>xxx,xxx.xx</w:t>
            </w:r>
          </w:p>
        </w:tc>
        <w:tc>
          <w:tcPr>
            <w:tcW w:w="1360" w:type="dxa"/>
            <w:vAlign w:val="bottom"/>
          </w:tcPr>
          <w:p>
            <w:pPr>
              <w:ind w:left="640"/>
              <w:spacing w:after="0"/>
              <w:rPr>
                <w:sz w:val="20"/>
                <w:szCs w:val="20"/>
                <w:color w:val="auto"/>
              </w:rPr>
            </w:pPr>
            <w:r>
              <w:rPr>
                <w:rFonts w:ascii="Arial" w:cs="Arial" w:eastAsia="Arial" w:hAnsi="Arial"/>
                <w:sz w:val="14"/>
                <w:szCs w:val="14"/>
                <w:color w:val="auto"/>
              </w:rPr>
              <w:t>xxx,xxx.xx</w:t>
            </w:r>
          </w:p>
        </w:tc>
        <w:tc>
          <w:tcPr>
            <w:tcW w:w="1340" w:type="dxa"/>
            <w:vAlign w:val="bottom"/>
          </w:tcPr>
          <w:p>
            <w:pPr>
              <w:ind w:left="620"/>
              <w:spacing w:after="0"/>
              <w:rPr>
                <w:sz w:val="20"/>
                <w:szCs w:val="20"/>
                <w:color w:val="auto"/>
              </w:rPr>
            </w:pPr>
            <w:r>
              <w:rPr>
                <w:rFonts w:ascii="Arial" w:cs="Arial" w:eastAsia="Arial" w:hAnsi="Arial"/>
                <w:sz w:val="14"/>
                <w:szCs w:val="14"/>
                <w:color w:val="auto"/>
              </w:rPr>
              <w:t>xxx,xxx.xx</w:t>
            </w:r>
          </w:p>
        </w:tc>
      </w:tr>
      <w:tr>
        <w:trPr>
          <w:trHeight w:val="17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mm/dd/yyyy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xx</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xxxxxxxx</w:t>
            </w:r>
          </w:p>
        </w:tc>
        <w:tc>
          <w:tcPr>
            <w:tcW w:w="1360" w:type="dxa"/>
            <w:vAlign w:val="bottom"/>
          </w:tcPr>
          <w:p>
            <w:pPr>
              <w:ind w:left="620"/>
              <w:spacing w:after="0"/>
              <w:rPr>
                <w:sz w:val="20"/>
                <w:szCs w:val="20"/>
                <w:color w:val="auto"/>
              </w:rPr>
            </w:pPr>
            <w:r>
              <w:rPr>
                <w:rFonts w:ascii="Arial" w:cs="Arial" w:eastAsia="Arial" w:hAnsi="Arial"/>
                <w:sz w:val="14"/>
                <w:szCs w:val="14"/>
                <w:color w:val="auto"/>
              </w:rPr>
              <w:t>xxx,xxx.xx</w:t>
            </w:r>
          </w:p>
        </w:tc>
        <w:tc>
          <w:tcPr>
            <w:tcW w:w="1360" w:type="dxa"/>
            <w:vAlign w:val="bottom"/>
          </w:tcPr>
          <w:p>
            <w:pPr>
              <w:ind w:left="640"/>
              <w:spacing w:after="0"/>
              <w:rPr>
                <w:sz w:val="20"/>
                <w:szCs w:val="20"/>
                <w:color w:val="auto"/>
              </w:rPr>
            </w:pPr>
            <w:r>
              <w:rPr>
                <w:rFonts w:ascii="Arial" w:cs="Arial" w:eastAsia="Arial" w:hAnsi="Arial"/>
                <w:sz w:val="14"/>
                <w:szCs w:val="14"/>
                <w:color w:val="auto"/>
              </w:rPr>
              <w:t>xxx,xxx.xx</w:t>
            </w:r>
          </w:p>
        </w:tc>
        <w:tc>
          <w:tcPr>
            <w:tcW w:w="1340" w:type="dxa"/>
            <w:vAlign w:val="bottom"/>
          </w:tcPr>
          <w:p>
            <w:pPr>
              <w:ind w:left="620"/>
              <w:spacing w:after="0"/>
              <w:rPr>
                <w:sz w:val="20"/>
                <w:szCs w:val="20"/>
                <w:color w:val="auto"/>
              </w:rPr>
            </w:pPr>
            <w:r>
              <w:rPr>
                <w:rFonts w:ascii="Arial" w:cs="Arial" w:eastAsia="Arial" w:hAnsi="Arial"/>
                <w:sz w:val="14"/>
                <w:szCs w:val="14"/>
                <w:color w:val="auto"/>
              </w:rPr>
              <w:t>xxx,xxx.xx</w:t>
            </w:r>
          </w:p>
        </w:tc>
      </w:tr>
      <w:tr>
        <w:trPr>
          <w:trHeight w:val="17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mm/dd/yyyy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xx</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xxxxxxxx</w:t>
            </w:r>
          </w:p>
        </w:tc>
        <w:tc>
          <w:tcPr>
            <w:tcW w:w="1360" w:type="dxa"/>
            <w:vAlign w:val="bottom"/>
          </w:tcPr>
          <w:p>
            <w:pPr>
              <w:ind w:left="620"/>
              <w:spacing w:after="0"/>
              <w:rPr>
                <w:sz w:val="20"/>
                <w:szCs w:val="20"/>
                <w:color w:val="auto"/>
              </w:rPr>
            </w:pPr>
            <w:r>
              <w:rPr>
                <w:rFonts w:ascii="Arial" w:cs="Arial" w:eastAsia="Arial" w:hAnsi="Arial"/>
                <w:sz w:val="14"/>
                <w:szCs w:val="14"/>
                <w:color w:val="auto"/>
              </w:rPr>
              <w:t>xxx,xxx.xx</w:t>
            </w:r>
          </w:p>
        </w:tc>
        <w:tc>
          <w:tcPr>
            <w:tcW w:w="1360" w:type="dxa"/>
            <w:vAlign w:val="bottom"/>
          </w:tcPr>
          <w:p>
            <w:pPr>
              <w:ind w:left="640"/>
              <w:spacing w:after="0"/>
              <w:rPr>
                <w:sz w:val="20"/>
                <w:szCs w:val="20"/>
                <w:color w:val="auto"/>
              </w:rPr>
            </w:pPr>
            <w:r>
              <w:rPr>
                <w:rFonts w:ascii="Arial" w:cs="Arial" w:eastAsia="Arial" w:hAnsi="Arial"/>
                <w:sz w:val="14"/>
                <w:szCs w:val="14"/>
                <w:color w:val="auto"/>
              </w:rPr>
              <w:t>xxx,xxx.xx</w:t>
            </w:r>
          </w:p>
        </w:tc>
        <w:tc>
          <w:tcPr>
            <w:tcW w:w="1340" w:type="dxa"/>
            <w:vAlign w:val="bottom"/>
          </w:tcPr>
          <w:p>
            <w:pPr>
              <w:ind w:left="620"/>
              <w:spacing w:after="0"/>
              <w:rPr>
                <w:sz w:val="20"/>
                <w:szCs w:val="20"/>
                <w:color w:val="auto"/>
              </w:rPr>
            </w:pPr>
            <w:r>
              <w:rPr>
                <w:rFonts w:ascii="Arial" w:cs="Arial" w:eastAsia="Arial" w:hAnsi="Arial"/>
                <w:sz w:val="14"/>
                <w:szCs w:val="14"/>
                <w:color w:val="auto"/>
              </w:rPr>
              <w:t>xxx,xxx.xx</w:t>
            </w:r>
          </w:p>
        </w:tc>
      </w:tr>
      <w:tr>
        <w:trPr>
          <w:trHeight w:val="17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mm/dd/yyyy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xx</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xxxxxxxx</w:t>
            </w:r>
          </w:p>
        </w:tc>
        <w:tc>
          <w:tcPr>
            <w:tcW w:w="1360" w:type="dxa"/>
            <w:vAlign w:val="bottom"/>
          </w:tcPr>
          <w:p>
            <w:pPr>
              <w:ind w:left="620"/>
              <w:spacing w:after="0"/>
              <w:rPr>
                <w:sz w:val="20"/>
                <w:szCs w:val="20"/>
                <w:color w:val="auto"/>
              </w:rPr>
            </w:pPr>
            <w:r>
              <w:rPr>
                <w:rFonts w:ascii="Arial" w:cs="Arial" w:eastAsia="Arial" w:hAnsi="Arial"/>
                <w:sz w:val="14"/>
                <w:szCs w:val="14"/>
                <w:color w:val="auto"/>
              </w:rPr>
              <w:t>xxx,xxx.xx</w:t>
            </w:r>
          </w:p>
        </w:tc>
        <w:tc>
          <w:tcPr>
            <w:tcW w:w="1360" w:type="dxa"/>
            <w:vAlign w:val="bottom"/>
          </w:tcPr>
          <w:p>
            <w:pPr>
              <w:ind w:left="640"/>
              <w:spacing w:after="0"/>
              <w:rPr>
                <w:sz w:val="20"/>
                <w:szCs w:val="20"/>
                <w:color w:val="auto"/>
              </w:rPr>
            </w:pPr>
            <w:r>
              <w:rPr>
                <w:rFonts w:ascii="Arial" w:cs="Arial" w:eastAsia="Arial" w:hAnsi="Arial"/>
                <w:sz w:val="14"/>
                <w:szCs w:val="14"/>
                <w:color w:val="auto"/>
              </w:rPr>
              <w:t>xxx,xxx.xx</w:t>
            </w:r>
          </w:p>
        </w:tc>
        <w:tc>
          <w:tcPr>
            <w:tcW w:w="1340" w:type="dxa"/>
            <w:vAlign w:val="bottom"/>
          </w:tcPr>
          <w:p>
            <w:pPr>
              <w:ind w:left="620"/>
              <w:spacing w:after="0"/>
              <w:rPr>
                <w:sz w:val="20"/>
                <w:szCs w:val="20"/>
                <w:color w:val="auto"/>
              </w:rPr>
            </w:pPr>
            <w:r>
              <w:rPr>
                <w:rFonts w:ascii="Arial" w:cs="Arial" w:eastAsia="Arial" w:hAnsi="Arial"/>
                <w:sz w:val="14"/>
                <w:szCs w:val="14"/>
                <w:color w:val="auto"/>
              </w:rPr>
              <w:t>xxx,xxx.xx</w:t>
            </w:r>
          </w:p>
        </w:tc>
      </w:tr>
      <w:tr>
        <w:trPr>
          <w:trHeight w:val="17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mm/dd/yyyy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xx</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xxxxxxxx</w:t>
            </w:r>
          </w:p>
        </w:tc>
        <w:tc>
          <w:tcPr>
            <w:tcW w:w="1360" w:type="dxa"/>
            <w:vAlign w:val="bottom"/>
          </w:tcPr>
          <w:p>
            <w:pPr>
              <w:ind w:left="620"/>
              <w:spacing w:after="0"/>
              <w:rPr>
                <w:sz w:val="20"/>
                <w:szCs w:val="20"/>
                <w:color w:val="auto"/>
              </w:rPr>
            </w:pPr>
            <w:r>
              <w:rPr>
                <w:rFonts w:ascii="Arial" w:cs="Arial" w:eastAsia="Arial" w:hAnsi="Arial"/>
                <w:sz w:val="14"/>
                <w:szCs w:val="14"/>
                <w:color w:val="auto"/>
              </w:rPr>
              <w:t>xxx,xxx.xx</w:t>
            </w:r>
          </w:p>
        </w:tc>
        <w:tc>
          <w:tcPr>
            <w:tcW w:w="1360" w:type="dxa"/>
            <w:vAlign w:val="bottom"/>
          </w:tcPr>
          <w:p>
            <w:pPr>
              <w:ind w:left="640"/>
              <w:spacing w:after="0"/>
              <w:rPr>
                <w:sz w:val="20"/>
                <w:szCs w:val="20"/>
                <w:color w:val="auto"/>
              </w:rPr>
            </w:pPr>
            <w:r>
              <w:rPr>
                <w:rFonts w:ascii="Arial" w:cs="Arial" w:eastAsia="Arial" w:hAnsi="Arial"/>
                <w:sz w:val="14"/>
                <w:szCs w:val="14"/>
                <w:color w:val="auto"/>
              </w:rPr>
              <w:t>xxx,xxx.xx</w:t>
            </w:r>
          </w:p>
        </w:tc>
        <w:tc>
          <w:tcPr>
            <w:tcW w:w="1340" w:type="dxa"/>
            <w:vAlign w:val="bottom"/>
          </w:tcPr>
          <w:p>
            <w:pPr>
              <w:ind w:left="620"/>
              <w:spacing w:after="0"/>
              <w:rPr>
                <w:sz w:val="20"/>
                <w:szCs w:val="20"/>
                <w:color w:val="auto"/>
              </w:rPr>
            </w:pPr>
            <w:r>
              <w:rPr>
                <w:rFonts w:ascii="Arial" w:cs="Arial" w:eastAsia="Arial" w:hAnsi="Arial"/>
                <w:sz w:val="14"/>
                <w:szCs w:val="14"/>
                <w:color w:val="auto"/>
              </w:rPr>
              <w:t>xxx,xxx.xx</w:t>
            </w:r>
          </w:p>
        </w:tc>
      </w:tr>
      <w:tr>
        <w:trPr>
          <w:trHeight w:val="17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mm/dd/yyyy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xx</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xxxxxxxx</w:t>
            </w:r>
          </w:p>
        </w:tc>
        <w:tc>
          <w:tcPr>
            <w:tcW w:w="1360" w:type="dxa"/>
            <w:vAlign w:val="bottom"/>
          </w:tcPr>
          <w:p>
            <w:pPr>
              <w:ind w:left="620"/>
              <w:spacing w:after="0"/>
              <w:rPr>
                <w:sz w:val="20"/>
                <w:szCs w:val="20"/>
                <w:color w:val="auto"/>
              </w:rPr>
            </w:pPr>
            <w:r>
              <w:rPr>
                <w:rFonts w:ascii="Arial" w:cs="Arial" w:eastAsia="Arial" w:hAnsi="Arial"/>
                <w:sz w:val="14"/>
                <w:szCs w:val="14"/>
                <w:color w:val="auto"/>
              </w:rPr>
              <w:t>xxx,xxx.xx</w:t>
            </w:r>
          </w:p>
        </w:tc>
        <w:tc>
          <w:tcPr>
            <w:tcW w:w="1360" w:type="dxa"/>
            <w:vAlign w:val="bottom"/>
          </w:tcPr>
          <w:p>
            <w:pPr>
              <w:ind w:left="640"/>
              <w:spacing w:after="0"/>
              <w:rPr>
                <w:sz w:val="20"/>
                <w:szCs w:val="20"/>
                <w:color w:val="auto"/>
              </w:rPr>
            </w:pPr>
            <w:r>
              <w:rPr>
                <w:rFonts w:ascii="Arial" w:cs="Arial" w:eastAsia="Arial" w:hAnsi="Arial"/>
                <w:sz w:val="14"/>
                <w:szCs w:val="14"/>
                <w:color w:val="auto"/>
              </w:rPr>
              <w:t>xxx,xxx.xx</w:t>
            </w:r>
          </w:p>
        </w:tc>
        <w:tc>
          <w:tcPr>
            <w:tcW w:w="1340" w:type="dxa"/>
            <w:vAlign w:val="bottom"/>
          </w:tcPr>
          <w:p>
            <w:pPr>
              <w:ind w:left="620"/>
              <w:spacing w:after="0"/>
              <w:rPr>
                <w:sz w:val="20"/>
                <w:szCs w:val="20"/>
                <w:color w:val="auto"/>
              </w:rPr>
            </w:pPr>
            <w:r>
              <w:rPr>
                <w:rFonts w:ascii="Arial" w:cs="Arial" w:eastAsia="Arial" w:hAnsi="Arial"/>
                <w:sz w:val="14"/>
                <w:szCs w:val="14"/>
                <w:color w:val="auto"/>
              </w:rPr>
              <w:t>xxx,xxx.xx</w:t>
            </w:r>
          </w:p>
        </w:tc>
      </w:tr>
      <w:tr>
        <w:trPr>
          <w:trHeight w:val="17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mm/dd/yyyy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xx</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xxxxxxxx</w:t>
            </w:r>
          </w:p>
        </w:tc>
        <w:tc>
          <w:tcPr>
            <w:tcW w:w="1360" w:type="dxa"/>
            <w:vAlign w:val="bottom"/>
          </w:tcPr>
          <w:p>
            <w:pPr>
              <w:ind w:left="620"/>
              <w:spacing w:after="0"/>
              <w:rPr>
                <w:sz w:val="20"/>
                <w:szCs w:val="20"/>
                <w:color w:val="auto"/>
              </w:rPr>
            </w:pPr>
            <w:r>
              <w:rPr>
                <w:rFonts w:ascii="Arial" w:cs="Arial" w:eastAsia="Arial" w:hAnsi="Arial"/>
                <w:sz w:val="14"/>
                <w:szCs w:val="14"/>
                <w:color w:val="auto"/>
              </w:rPr>
              <w:t>xxx,xxx.xx</w:t>
            </w:r>
          </w:p>
        </w:tc>
        <w:tc>
          <w:tcPr>
            <w:tcW w:w="1360" w:type="dxa"/>
            <w:vAlign w:val="bottom"/>
          </w:tcPr>
          <w:p>
            <w:pPr>
              <w:ind w:left="640"/>
              <w:spacing w:after="0"/>
              <w:rPr>
                <w:sz w:val="20"/>
                <w:szCs w:val="20"/>
                <w:color w:val="auto"/>
              </w:rPr>
            </w:pPr>
            <w:r>
              <w:rPr>
                <w:rFonts w:ascii="Arial" w:cs="Arial" w:eastAsia="Arial" w:hAnsi="Arial"/>
                <w:sz w:val="14"/>
                <w:szCs w:val="14"/>
                <w:color w:val="auto"/>
              </w:rPr>
              <w:t>xxx,xxx.xx</w:t>
            </w:r>
          </w:p>
        </w:tc>
        <w:tc>
          <w:tcPr>
            <w:tcW w:w="1340" w:type="dxa"/>
            <w:vAlign w:val="bottom"/>
          </w:tcPr>
          <w:p>
            <w:pPr>
              <w:ind w:left="620"/>
              <w:spacing w:after="0"/>
              <w:rPr>
                <w:sz w:val="20"/>
                <w:szCs w:val="20"/>
                <w:color w:val="auto"/>
              </w:rPr>
            </w:pPr>
            <w:r>
              <w:rPr>
                <w:rFonts w:ascii="Arial" w:cs="Arial" w:eastAsia="Arial" w:hAnsi="Arial"/>
                <w:sz w:val="14"/>
                <w:szCs w:val="14"/>
                <w:color w:val="auto"/>
              </w:rPr>
              <w:t>xxx,xxx.xx</w:t>
            </w:r>
          </w:p>
        </w:tc>
      </w:tr>
      <w:tr>
        <w:trPr>
          <w:trHeight w:val="176"/>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mm/dd/yyyy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xx</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xxxxxxxx</w:t>
            </w:r>
          </w:p>
        </w:tc>
        <w:tc>
          <w:tcPr>
            <w:tcW w:w="1360" w:type="dxa"/>
            <w:vAlign w:val="bottom"/>
          </w:tcPr>
          <w:p>
            <w:pPr>
              <w:ind w:left="620"/>
              <w:spacing w:after="0"/>
              <w:rPr>
                <w:sz w:val="20"/>
                <w:szCs w:val="20"/>
                <w:color w:val="auto"/>
              </w:rPr>
            </w:pPr>
            <w:r>
              <w:rPr>
                <w:rFonts w:ascii="Arial" w:cs="Arial" w:eastAsia="Arial" w:hAnsi="Arial"/>
                <w:sz w:val="14"/>
                <w:szCs w:val="14"/>
                <w:color w:val="auto"/>
              </w:rPr>
              <w:t>xxx,xxx.xx</w:t>
            </w:r>
          </w:p>
        </w:tc>
        <w:tc>
          <w:tcPr>
            <w:tcW w:w="1360" w:type="dxa"/>
            <w:vAlign w:val="bottom"/>
          </w:tcPr>
          <w:p>
            <w:pPr>
              <w:ind w:left="640"/>
              <w:spacing w:after="0"/>
              <w:rPr>
                <w:sz w:val="20"/>
                <w:szCs w:val="20"/>
                <w:color w:val="auto"/>
              </w:rPr>
            </w:pPr>
            <w:r>
              <w:rPr>
                <w:rFonts w:ascii="Arial" w:cs="Arial" w:eastAsia="Arial" w:hAnsi="Arial"/>
                <w:sz w:val="14"/>
                <w:szCs w:val="14"/>
                <w:color w:val="auto"/>
              </w:rPr>
              <w:t>xxx,xxx.xx</w:t>
            </w:r>
          </w:p>
        </w:tc>
        <w:tc>
          <w:tcPr>
            <w:tcW w:w="1340" w:type="dxa"/>
            <w:vAlign w:val="bottom"/>
          </w:tcPr>
          <w:p>
            <w:pPr>
              <w:ind w:left="620"/>
              <w:spacing w:after="0"/>
              <w:rPr>
                <w:sz w:val="20"/>
                <w:szCs w:val="20"/>
                <w:color w:val="auto"/>
              </w:rPr>
            </w:pPr>
            <w:r>
              <w:rPr>
                <w:rFonts w:ascii="Arial" w:cs="Arial" w:eastAsia="Arial" w:hAnsi="Arial"/>
                <w:sz w:val="14"/>
                <w:szCs w:val="14"/>
                <w:color w:val="auto"/>
              </w:rPr>
              <w:t>xxx,xxx.xx</w:t>
            </w:r>
          </w:p>
        </w:tc>
      </w:tr>
      <w:tr>
        <w:trPr>
          <w:trHeight w:val="188"/>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mm/dd/yyyy</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xx</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xxxxxxxx</w:t>
            </w:r>
          </w:p>
        </w:tc>
        <w:tc>
          <w:tcPr>
            <w:tcW w:w="136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xxx,xxx.xx</w:t>
            </w:r>
          </w:p>
        </w:tc>
        <w:tc>
          <w:tcPr>
            <w:tcW w:w="13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xxx,xxx.xx</w:t>
            </w:r>
          </w:p>
        </w:tc>
        <w:tc>
          <w:tcPr>
            <w:tcW w:w="134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xxx,xxx.xx</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C-</w:t>
      </w:r>
    </w:p>
    <w:p>
      <w:pPr>
        <w:sectPr>
          <w:pgSz w:w="11900" w:h="16838" w:orient="portrait"/>
          <w:cols w:equalWidth="0" w:num="1">
            <w:col w:w="10239"/>
          </w:cols>
          <w:pgMar w:left="220" w:top="495" w:right="1440" w:bottom="1440" w:gutter="0" w:footer="0" w:header="0"/>
        </w:sectPr>
      </w:pPr>
    </w:p>
    <w:bookmarkStart w:id="157" w:name="page158"/>
    <w:bookmarkEnd w:id="157"/>
    <w:tbl>
      <w:tblPr>
        <w:tblLayout w:type="fixed"/>
        <w:tblInd w:w="10" w:type="dxa"/>
        <w:tblCellMar>
          <w:top w:w="0" w:type="dxa"/>
          <w:left w:w="0" w:type="dxa"/>
          <w:bottom w:w="0" w:type="dxa"/>
          <w:right w:w="0" w:type="dxa"/>
        </w:tblCellMar>
      </w:tblPr>
      <w:tr>
        <w:trPr>
          <w:trHeight w:val="174"/>
        </w:trPr>
        <w:tc>
          <w:tcPr>
            <w:tcW w:w="1280" w:type="dxa"/>
            <w:vAlign w:val="bottom"/>
            <w:tcBorders>
              <w:top w:val="single" w:sz="8" w:color="auto"/>
              <w:left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5"/>
                <w:szCs w:val="15"/>
                <w:b w:val="1"/>
                <w:bCs w:val="1"/>
                <w:color w:val="auto"/>
                <w:w w:val="94"/>
              </w:rPr>
              <w:t>Date of</w:t>
            </w:r>
          </w:p>
        </w:tc>
        <w:tc>
          <w:tcPr>
            <w:tcW w:w="2140" w:type="dxa"/>
            <w:vAlign w:val="bottom"/>
            <w:tcBorders>
              <w:top w:val="single" w:sz="8" w:color="auto"/>
            </w:tcBorders>
            <w:shd w:val="clear" w:color="auto" w:fill="C0C0C0"/>
          </w:tcPr>
          <w:p>
            <w:pPr>
              <w:jc w:val="center"/>
              <w:ind w:right="964"/>
              <w:spacing w:after="0"/>
              <w:rPr>
                <w:sz w:val="20"/>
                <w:szCs w:val="20"/>
                <w:color w:val="auto"/>
              </w:rPr>
            </w:pPr>
            <w:r>
              <w:rPr>
                <w:rFonts w:ascii="Arial" w:cs="Arial" w:eastAsia="Arial" w:hAnsi="Arial"/>
                <w:sz w:val="15"/>
                <w:szCs w:val="15"/>
                <w:b w:val="1"/>
                <w:bCs w:val="1"/>
                <w:color w:val="auto"/>
                <w:w w:val="93"/>
              </w:rPr>
              <w:t>Hour of</w:t>
            </w:r>
          </w:p>
        </w:tc>
        <w:tc>
          <w:tcPr>
            <w:tcW w:w="4160" w:type="dxa"/>
            <w:vAlign w:val="bottom"/>
            <w:tcBorders>
              <w:top w:val="single" w:sz="8" w:color="auto"/>
            </w:tcBorders>
            <w:shd w:val="clear" w:color="auto" w:fill="C0C0C0"/>
          </w:tcPr>
          <w:p>
            <w:pPr>
              <w:spacing w:after="0"/>
              <w:rPr>
                <w:sz w:val="15"/>
                <w:szCs w:val="15"/>
                <w:color w:val="auto"/>
              </w:rPr>
            </w:pPr>
          </w:p>
        </w:tc>
      </w:tr>
      <w:tr>
        <w:trPr>
          <w:trHeight w:val="208"/>
        </w:trPr>
        <w:tc>
          <w:tcPr>
            <w:tcW w:w="1280" w:type="dxa"/>
            <w:vAlign w:val="bottom"/>
            <w:tcBorders>
              <w:left w:val="single" w:sz="8" w:color="auto"/>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5"/>
                <w:szCs w:val="15"/>
                <w:b w:val="1"/>
                <w:bCs w:val="1"/>
                <w:color w:val="auto"/>
                <w:w w:val="92"/>
              </w:rPr>
              <w:t>Adjustment</w:t>
            </w:r>
          </w:p>
        </w:tc>
        <w:tc>
          <w:tcPr>
            <w:tcW w:w="2140" w:type="dxa"/>
            <w:vAlign w:val="bottom"/>
            <w:tcBorders>
              <w:bottom w:val="single" w:sz="8" w:color="auto"/>
            </w:tcBorders>
            <w:shd w:val="clear" w:color="auto" w:fill="C0C0C0"/>
          </w:tcPr>
          <w:p>
            <w:pPr>
              <w:jc w:val="center"/>
              <w:ind w:right="964"/>
              <w:spacing w:after="0"/>
              <w:rPr>
                <w:sz w:val="20"/>
                <w:szCs w:val="20"/>
                <w:color w:val="auto"/>
              </w:rPr>
            </w:pPr>
            <w:r>
              <w:rPr>
                <w:rFonts w:ascii="Arial" w:cs="Arial" w:eastAsia="Arial" w:hAnsi="Arial"/>
                <w:sz w:val="15"/>
                <w:szCs w:val="15"/>
                <w:b w:val="1"/>
                <w:bCs w:val="1"/>
                <w:color w:val="auto"/>
                <w:w w:val="94"/>
              </w:rPr>
              <w:t>Adjustment</w:t>
            </w:r>
          </w:p>
        </w:tc>
        <w:tc>
          <w:tcPr>
            <w:tcW w:w="4160" w:type="dxa"/>
            <w:vAlign w:val="bottom"/>
            <w:tcBorders>
              <w:bottom w:val="single" w:sz="8" w:color="auto"/>
            </w:tcBorders>
            <w:shd w:val="clear" w:color="auto" w:fill="C0C0C0"/>
          </w:tcPr>
          <w:p>
            <w:pPr>
              <w:jc w:val="center"/>
              <w:ind w:right="944"/>
              <w:spacing w:after="0"/>
              <w:rPr>
                <w:sz w:val="20"/>
                <w:szCs w:val="20"/>
                <w:color w:val="auto"/>
              </w:rPr>
            </w:pPr>
            <w:r>
              <w:rPr>
                <w:rFonts w:ascii="Arial" w:cs="Arial" w:eastAsia="Arial" w:hAnsi="Arial"/>
                <w:sz w:val="15"/>
                <w:szCs w:val="15"/>
                <w:b w:val="1"/>
                <w:bCs w:val="1"/>
                <w:color w:val="auto"/>
                <w:w w:val="90"/>
              </w:rPr>
              <w:t>Comments</w:t>
            </w:r>
          </w:p>
        </w:tc>
      </w:tr>
      <w:tr>
        <w:trPr>
          <w:trHeight w:val="161"/>
        </w:trPr>
        <w:tc>
          <w:tcPr>
            <w:tcW w:w="128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rPr>
              <w:t>G</w:t>
            </w:r>
          </w:p>
        </w:tc>
        <w:tc>
          <w:tcPr>
            <w:tcW w:w="2140" w:type="dxa"/>
            <w:vAlign w:val="bottom"/>
          </w:tcPr>
          <w:p>
            <w:pPr>
              <w:jc w:val="center"/>
              <w:ind w:right="984"/>
              <w:spacing w:after="0" w:line="161" w:lineRule="exact"/>
              <w:rPr>
                <w:sz w:val="20"/>
                <w:szCs w:val="20"/>
                <w:color w:val="auto"/>
              </w:rPr>
            </w:pPr>
            <w:r>
              <w:rPr>
                <w:rFonts w:ascii="Arial" w:cs="Arial" w:eastAsia="Arial" w:hAnsi="Arial"/>
                <w:sz w:val="15"/>
                <w:szCs w:val="15"/>
                <w:b w:val="1"/>
                <w:bCs w:val="1"/>
                <w:color w:val="auto"/>
              </w:rPr>
              <w:t>H</w:t>
            </w:r>
          </w:p>
        </w:tc>
        <w:tc>
          <w:tcPr>
            <w:tcW w:w="4160" w:type="dxa"/>
            <w:vAlign w:val="bottom"/>
          </w:tcPr>
          <w:p>
            <w:pPr>
              <w:jc w:val="center"/>
              <w:ind w:right="944"/>
              <w:spacing w:after="0" w:line="161" w:lineRule="exact"/>
              <w:rPr>
                <w:sz w:val="20"/>
                <w:szCs w:val="20"/>
                <w:color w:val="auto"/>
              </w:rPr>
            </w:pPr>
            <w:r>
              <w:rPr>
                <w:rFonts w:ascii="Arial" w:cs="Arial" w:eastAsia="Arial" w:hAnsi="Arial"/>
                <w:sz w:val="15"/>
                <w:szCs w:val="15"/>
                <w:b w:val="1"/>
                <w:bCs w:val="1"/>
                <w:color w:val="auto"/>
              </w:rPr>
              <w:t>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4817745" cy="30391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817745" cy="3039110"/>
                    </a:xfrm>
                    <a:prstGeom prst="rect">
                      <a:avLst/>
                    </a:prstGeom>
                    <a:noFill/>
                  </pic:spPr>
                </pic:pic>
              </a:graphicData>
            </a:graphic>
          </wp:anchor>
        </w:drawing>
      </w:r>
    </w:p>
    <w:p>
      <w:pPr>
        <w:ind w:left="260"/>
        <w:spacing w:after="0"/>
        <w:tabs>
          <w:tab w:leader="none" w:pos="1740" w:val="left"/>
        </w:tabs>
        <w:rPr>
          <w:sz w:val="20"/>
          <w:szCs w:val="20"/>
          <w:color w:val="auto"/>
        </w:rPr>
      </w:pPr>
      <w:r>
        <w:rPr>
          <w:rFonts w:ascii="Arial" w:cs="Arial" w:eastAsia="Arial" w:hAnsi="Arial"/>
          <w:sz w:val="15"/>
          <w:szCs w:val="15"/>
          <w:color w:val="auto"/>
        </w:rPr>
        <w:t>mm/dd/yyyy</w:t>
      </w:r>
      <w:r>
        <w:rPr>
          <w:sz w:val="20"/>
          <w:szCs w:val="20"/>
          <w:color w:val="auto"/>
        </w:rPr>
        <w:tab/>
      </w:r>
      <w:r>
        <w:rPr>
          <w:rFonts w:ascii="Arial" w:cs="Arial" w:eastAsia="Arial" w:hAnsi="Arial"/>
          <w:sz w:val="14"/>
          <w:szCs w:val="14"/>
          <w:color w:val="auto"/>
        </w:rPr>
        <w:t>xx</w:t>
      </w:r>
    </w:p>
    <w:p>
      <w:pPr>
        <w:spacing w:after="0" w:line="3" w:lineRule="exact"/>
        <w:rPr>
          <w:sz w:val="20"/>
          <w:szCs w:val="20"/>
          <w:color w:val="auto"/>
        </w:rPr>
      </w:pPr>
    </w:p>
    <w:p>
      <w:pPr>
        <w:ind w:left="260"/>
        <w:spacing w:after="0"/>
        <w:tabs>
          <w:tab w:leader="none" w:pos="1740" w:val="left"/>
        </w:tabs>
        <w:rPr>
          <w:sz w:val="20"/>
          <w:szCs w:val="20"/>
          <w:color w:val="auto"/>
        </w:rPr>
      </w:pPr>
      <w:r>
        <w:rPr>
          <w:rFonts w:ascii="Arial" w:cs="Arial" w:eastAsia="Arial" w:hAnsi="Arial"/>
          <w:sz w:val="15"/>
          <w:szCs w:val="15"/>
          <w:color w:val="auto"/>
        </w:rPr>
        <w:t>mm/dd/yyyy</w:t>
      </w:r>
      <w:r>
        <w:rPr>
          <w:sz w:val="20"/>
          <w:szCs w:val="20"/>
          <w:color w:val="auto"/>
        </w:rPr>
        <w:tab/>
      </w:r>
      <w:r>
        <w:rPr>
          <w:rFonts w:ascii="Arial" w:cs="Arial" w:eastAsia="Arial" w:hAnsi="Arial"/>
          <w:sz w:val="14"/>
          <w:szCs w:val="14"/>
          <w:color w:val="auto"/>
        </w:rPr>
        <w:t>xx</w:t>
      </w:r>
    </w:p>
    <w:p>
      <w:pPr>
        <w:spacing w:after="0" w:line="3" w:lineRule="exact"/>
        <w:rPr>
          <w:sz w:val="20"/>
          <w:szCs w:val="20"/>
          <w:color w:val="auto"/>
        </w:rPr>
      </w:pPr>
    </w:p>
    <w:p>
      <w:pPr>
        <w:ind w:left="260"/>
        <w:spacing w:after="0"/>
        <w:tabs>
          <w:tab w:leader="none" w:pos="1740" w:val="left"/>
        </w:tabs>
        <w:rPr>
          <w:sz w:val="20"/>
          <w:szCs w:val="20"/>
          <w:color w:val="auto"/>
        </w:rPr>
      </w:pPr>
      <w:r>
        <w:rPr>
          <w:rFonts w:ascii="Arial" w:cs="Arial" w:eastAsia="Arial" w:hAnsi="Arial"/>
          <w:sz w:val="15"/>
          <w:szCs w:val="15"/>
          <w:color w:val="auto"/>
        </w:rPr>
        <w:t>mm/dd/yyyy</w:t>
      </w:r>
      <w:r>
        <w:rPr>
          <w:sz w:val="20"/>
          <w:szCs w:val="20"/>
          <w:color w:val="auto"/>
        </w:rPr>
        <w:tab/>
      </w:r>
      <w:r>
        <w:rPr>
          <w:rFonts w:ascii="Arial" w:cs="Arial" w:eastAsia="Arial" w:hAnsi="Arial"/>
          <w:sz w:val="14"/>
          <w:szCs w:val="14"/>
          <w:color w:val="auto"/>
        </w:rPr>
        <w:t>xx</w:t>
      </w:r>
    </w:p>
    <w:p>
      <w:pPr>
        <w:spacing w:after="0" w:line="3" w:lineRule="exact"/>
        <w:rPr>
          <w:sz w:val="20"/>
          <w:szCs w:val="20"/>
          <w:color w:val="auto"/>
        </w:rPr>
      </w:pPr>
    </w:p>
    <w:p>
      <w:pPr>
        <w:ind w:left="260"/>
        <w:spacing w:after="0"/>
        <w:tabs>
          <w:tab w:leader="none" w:pos="1740" w:val="left"/>
        </w:tabs>
        <w:rPr>
          <w:sz w:val="20"/>
          <w:szCs w:val="20"/>
          <w:color w:val="auto"/>
        </w:rPr>
      </w:pPr>
      <w:r>
        <w:rPr>
          <w:rFonts w:ascii="Arial" w:cs="Arial" w:eastAsia="Arial" w:hAnsi="Arial"/>
          <w:sz w:val="15"/>
          <w:szCs w:val="15"/>
          <w:color w:val="auto"/>
        </w:rPr>
        <w:t>mm/dd/yyyy</w:t>
      </w:r>
      <w:r>
        <w:rPr>
          <w:sz w:val="20"/>
          <w:szCs w:val="20"/>
          <w:color w:val="auto"/>
        </w:rPr>
        <w:tab/>
      </w:r>
      <w:r>
        <w:rPr>
          <w:rFonts w:ascii="Arial" w:cs="Arial" w:eastAsia="Arial" w:hAnsi="Arial"/>
          <w:sz w:val="14"/>
          <w:szCs w:val="14"/>
          <w:color w:val="auto"/>
        </w:rPr>
        <w:t>xx</w:t>
      </w:r>
    </w:p>
    <w:p>
      <w:pPr>
        <w:spacing w:after="0" w:line="3" w:lineRule="exact"/>
        <w:rPr>
          <w:sz w:val="20"/>
          <w:szCs w:val="20"/>
          <w:color w:val="auto"/>
        </w:rPr>
      </w:pPr>
    </w:p>
    <w:p>
      <w:pPr>
        <w:ind w:left="260"/>
        <w:spacing w:after="0"/>
        <w:tabs>
          <w:tab w:leader="none" w:pos="1740" w:val="left"/>
        </w:tabs>
        <w:rPr>
          <w:sz w:val="20"/>
          <w:szCs w:val="20"/>
          <w:color w:val="auto"/>
        </w:rPr>
      </w:pPr>
      <w:r>
        <w:rPr>
          <w:rFonts w:ascii="Arial" w:cs="Arial" w:eastAsia="Arial" w:hAnsi="Arial"/>
          <w:sz w:val="15"/>
          <w:szCs w:val="15"/>
          <w:color w:val="auto"/>
        </w:rPr>
        <w:t>mm/dd/yyyy</w:t>
      </w:r>
      <w:r>
        <w:rPr>
          <w:sz w:val="20"/>
          <w:szCs w:val="20"/>
          <w:color w:val="auto"/>
        </w:rPr>
        <w:tab/>
      </w:r>
      <w:r>
        <w:rPr>
          <w:rFonts w:ascii="Arial" w:cs="Arial" w:eastAsia="Arial" w:hAnsi="Arial"/>
          <w:sz w:val="14"/>
          <w:szCs w:val="14"/>
          <w:color w:val="auto"/>
        </w:rPr>
        <w:t>xx</w:t>
      </w:r>
    </w:p>
    <w:p>
      <w:pPr>
        <w:spacing w:after="0" w:line="3" w:lineRule="exact"/>
        <w:rPr>
          <w:sz w:val="20"/>
          <w:szCs w:val="20"/>
          <w:color w:val="auto"/>
        </w:rPr>
      </w:pPr>
    </w:p>
    <w:p>
      <w:pPr>
        <w:ind w:left="260"/>
        <w:spacing w:after="0"/>
        <w:tabs>
          <w:tab w:leader="none" w:pos="1740" w:val="left"/>
        </w:tabs>
        <w:rPr>
          <w:sz w:val="20"/>
          <w:szCs w:val="20"/>
          <w:color w:val="auto"/>
        </w:rPr>
      </w:pPr>
      <w:r>
        <w:rPr>
          <w:rFonts w:ascii="Arial" w:cs="Arial" w:eastAsia="Arial" w:hAnsi="Arial"/>
          <w:sz w:val="15"/>
          <w:szCs w:val="15"/>
          <w:color w:val="auto"/>
        </w:rPr>
        <w:t>mm/dd/yyyy</w:t>
      </w:r>
      <w:r>
        <w:rPr>
          <w:sz w:val="20"/>
          <w:szCs w:val="20"/>
          <w:color w:val="auto"/>
        </w:rPr>
        <w:tab/>
      </w:r>
      <w:r>
        <w:rPr>
          <w:rFonts w:ascii="Arial" w:cs="Arial" w:eastAsia="Arial" w:hAnsi="Arial"/>
          <w:sz w:val="14"/>
          <w:szCs w:val="14"/>
          <w:color w:val="auto"/>
        </w:rPr>
        <w:t>xx</w:t>
      </w:r>
    </w:p>
    <w:p>
      <w:pPr>
        <w:spacing w:after="0" w:line="3" w:lineRule="exact"/>
        <w:rPr>
          <w:sz w:val="20"/>
          <w:szCs w:val="20"/>
          <w:color w:val="auto"/>
        </w:rPr>
      </w:pPr>
    </w:p>
    <w:p>
      <w:pPr>
        <w:ind w:left="260"/>
        <w:spacing w:after="0"/>
        <w:tabs>
          <w:tab w:leader="none" w:pos="1740" w:val="left"/>
        </w:tabs>
        <w:rPr>
          <w:sz w:val="20"/>
          <w:szCs w:val="20"/>
          <w:color w:val="auto"/>
        </w:rPr>
      </w:pPr>
      <w:r>
        <w:rPr>
          <w:rFonts w:ascii="Arial" w:cs="Arial" w:eastAsia="Arial" w:hAnsi="Arial"/>
          <w:sz w:val="15"/>
          <w:szCs w:val="15"/>
          <w:color w:val="auto"/>
        </w:rPr>
        <w:t>mm/dd/yyyy</w:t>
      </w:r>
      <w:r>
        <w:rPr>
          <w:sz w:val="20"/>
          <w:szCs w:val="20"/>
          <w:color w:val="auto"/>
        </w:rPr>
        <w:tab/>
      </w:r>
      <w:r>
        <w:rPr>
          <w:rFonts w:ascii="Arial" w:cs="Arial" w:eastAsia="Arial" w:hAnsi="Arial"/>
          <w:sz w:val="14"/>
          <w:szCs w:val="14"/>
          <w:color w:val="auto"/>
        </w:rPr>
        <w:t>xx</w:t>
      </w:r>
    </w:p>
    <w:p>
      <w:pPr>
        <w:spacing w:after="0" w:line="3" w:lineRule="exact"/>
        <w:rPr>
          <w:sz w:val="20"/>
          <w:szCs w:val="20"/>
          <w:color w:val="auto"/>
        </w:rPr>
      </w:pPr>
    </w:p>
    <w:p>
      <w:pPr>
        <w:ind w:left="260"/>
        <w:spacing w:after="0"/>
        <w:tabs>
          <w:tab w:leader="none" w:pos="1740" w:val="left"/>
        </w:tabs>
        <w:rPr>
          <w:sz w:val="20"/>
          <w:szCs w:val="20"/>
          <w:color w:val="auto"/>
        </w:rPr>
      </w:pPr>
      <w:r>
        <w:rPr>
          <w:rFonts w:ascii="Arial" w:cs="Arial" w:eastAsia="Arial" w:hAnsi="Arial"/>
          <w:sz w:val="15"/>
          <w:szCs w:val="15"/>
          <w:color w:val="auto"/>
        </w:rPr>
        <w:t>mm/dd/yyyy</w:t>
      </w:r>
      <w:r>
        <w:rPr>
          <w:sz w:val="20"/>
          <w:szCs w:val="20"/>
          <w:color w:val="auto"/>
        </w:rPr>
        <w:tab/>
      </w:r>
      <w:r>
        <w:rPr>
          <w:rFonts w:ascii="Arial" w:cs="Arial" w:eastAsia="Arial" w:hAnsi="Arial"/>
          <w:sz w:val="14"/>
          <w:szCs w:val="14"/>
          <w:color w:val="auto"/>
        </w:rPr>
        <w:t>xx</w:t>
      </w:r>
    </w:p>
    <w:p>
      <w:pPr>
        <w:spacing w:after="0" w:line="3" w:lineRule="exact"/>
        <w:rPr>
          <w:sz w:val="20"/>
          <w:szCs w:val="20"/>
          <w:color w:val="auto"/>
        </w:rPr>
      </w:pPr>
    </w:p>
    <w:p>
      <w:pPr>
        <w:ind w:left="260"/>
        <w:spacing w:after="0"/>
        <w:tabs>
          <w:tab w:leader="none" w:pos="1740" w:val="left"/>
        </w:tabs>
        <w:rPr>
          <w:sz w:val="20"/>
          <w:szCs w:val="20"/>
          <w:color w:val="auto"/>
        </w:rPr>
      </w:pPr>
      <w:r>
        <w:rPr>
          <w:rFonts w:ascii="Arial" w:cs="Arial" w:eastAsia="Arial" w:hAnsi="Arial"/>
          <w:sz w:val="15"/>
          <w:szCs w:val="15"/>
          <w:color w:val="auto"/>
        </w:rPr>
        <w:t>mm/dd/yyyy</w:t>
      </w:r>
      <w:r>
        <w:rPr>
          <w:sz w:val="20"/>
          <w:szCs w:val="20"/>
          <w:color w:val="auto"/>
        </w:rPr>
        <w:tab/>
      </w:r>
      <w:r>
        <w:rPr>
          <w:rFonts w:ascii="Arial" w:cs="Arial" w:eastAsia="Arial" w:hAnsi="Arial"/>
          <w:sz w:val="14"/>
          <w:szCs w:val="14"/>
          <w:color w:val="auto"/>
        </w:rPr>
        <w:t>xx</w:t>
      </w:r>
    </w:p>
    <w:p>
      <w:pPr>
        <w:spacing w:after="0" w:line="3" w:lineRule="exact"/>
        <w:rPr>
          <w:sz w:val="20"/>
          <w:szCs w:val="20"/>
          <w:color w:val="auto"/>
        </w:rPr>
      </w:pPr>
    </w:p>
    <w:p>
      <w:pPr>
        <w:ind w:left="260"/>
        <w:spacing w:after="0"/>
        <w:tabs>
          <w:tab w:leader="none" w:pos="1740" w:val="left"/>
        </w:tabs>
        <w:rPr>
          <w:sz w:val="20"/>
          <w:szCs w:val="20"/>
          <w:color w:val="auto"/>
        </w:rPr>
      </w:pPr>
      <w:r>
        <w:rPr>
          <w:rFonts w:ascii="Arial" w:cs="Arial" w:eastAsia="Arial" w:hAnsi="Arial"/>
          <w:sz w:val="15"/>
          <w:szCs w:val="15"/>
          <w:color w:val="auto"/>
        </w:rPr>
        <w:t>mm/dd/yyyy</w:t>
      </w:r>
      <w:r>
        <w:rPr>
          <w:sz w:val="20"/>
          <w:szCs w:val="20"/>
          <w:color w:val="auto"/>
        </w:rPr>
        <w:tab/>
      </w:r>
      <w:r>
        <w:rPr>
          <w:rFonts w:ascii="Arial" w:cs="Arial" w:eastAsia="Arial" w:hAnsi="Arial"/>
          <w:sz w:val="14"/>
          <w:szCs w:val="14"/>
          <w:color w:val="auto"/>
        </w:rPr>
        <w:t>xx</w:t>
      </w:r>
    </w:p>
    <w:p>
      <w:pPr>
        <w:spacing w:after="0" w:line="3" w:lineRule="exact"/>
        <w:rPr>
          <w:sz w:val="20"/>
          <w:szCs w:val="20"/>
          <w:color w:val="auto"/>
        </w:rPr>
      </w:pPr>
    </w:p>
    <w:p>
      <w:pPr>
        <w:ind w:left="260"/>
        <w:spacing w:after="0"/>
        <w:tabs>
          <w:tab w:leader="none" w:pos="1740" w:val="left"/>
        </w:tabs>
        <w:rPr>
          <w:sz w:val="20"/>
          <w:szCs w:val="20"/>
          <w:color w:val="auto"/>
        </w:rPr>
      </w:pPr>
      <w:r>
        <w:rPr>
          <w:rFonts w:ascii="Arial" w:cs="Arial" w:eastAsia="Arial" w:hAnsi="Arial"/>
          <w:sz w:val="15"/>
          <w:szCs w:val="15"/>
          <w:color w:val="auto"/>
        </w:rPr>
        <w:t>mm/dd/yyyy</w:t>
      </w:r>
      <w:r>
        <w:rPr>
          <w:sz w:val="20"/>
          <w:szCs w:val="20"/>
          <w:color w:val="auto"/>
        </w:rPr>
        <w:tab/>
      </w:r>
      <w:r>
        <w:rPr>
          <w:rFonts w:ascii="Arial" w:cs="Arial" w:eastAsia="Arial" w:hAnsi="Arial"/>
          <w:sz w:val="14"/>
          <w:szCs w:val="14"/>
          <w:color w:val="auto"/>
        </w:rPr>
        <w:t>xx</w:t>
      </w:r>
    </w:p>
    <w:p>
      <w:pPr>
        <w:spacing w:after="0" w:line="3" w:lineRule="exact"/>
        <w:rPr>
          <w:sz w:val="20"/>
          <w:szCs w:val="20"/>
          <w:color w:val="auto"/>
        </w:rPr>
      </w:pPr>
    </w:p>
    <w:p>
      <w:pPr>
        <w:ind w:left="260"/>
        <w:spacing w:after="0"/>
        <w:tabs>
          <w:tab w:leader="none" w:pos="1740" w:val="left"/>
        </w:tabs>
        <w:rPr>
          <w:sz w:val="20"/>
          <w:szCs w:val="20"/>
          <w:color w:val="auto"/>
        </w:rPr>
      </w:pPr>
      <w:r>
        <w:rPr>
          <w:rFonts w:ascii="Arial" w:cs="Arial" w:eastAsia="Arial" w:hAnsi="Arial"/>
          <w:sz w:val="15"/>
          <w:szCs w:val="15"/>
          <w:color w:val="auto"/>
        </w:rPr>
        <w:t>mm/dd/yyyy</w:t>
      </w:r>
      <w:r>
        <w:rPr>
          <w:sz w:val="20"/>
          <w:szCs w:val="20"/>
          <w:color w:val="auto"/>
        </w:rPr>
        <w:tab/>
      </w:r>
      <w:r>
        <w:rPr>
          <w:rFonts w:ascii="Arial" w:cs="Arial" w:eastAsia="Arial" w:hAnsi="Arial"/>
          <w:sz w:val="14"/>
          <w:szCs w:val="14"/>
          <w:color w:val="auto"/>
        </w:rPr>
        <w:t>xx</w:t>
      </w:r>
    </w:p>
    <w:p>
      <w:pPr>
        <w:spacing w:after="0" w:line="3" w:lineRule="exact"/>
        <w:rPr>
          <w:sz w:val="20"/>
          <w:szCs w:val="20"/>
          <w:color w:val="auto"/>
        </w:rPr>
      </w:pPr>
    </w:p>
    <w:p>
      <w:pPr>
        <w:ind w:left="260"/>
        <w:spacing w:after="0"/>
        <w:tabs>
          <w:tab w:leader="none" w:pos="1740" w:val="left"/>
        </w:tabs>
        <w:rPr>
          <w:sz w:val="20"/>
          <w:szCs w:val="20"/>
          <w:color w:val="auto"/>
        </w:rPr>
      </w:pPr>
      <w:r>
        <w:rPr>
          <w:rFonts w:ascii="Arial" w:cs="Arial" w:eastAsia="Arial" w:hAnsi="Arial"/>
          <w:sz w:val="15"/>
          <w:szCs w:val="15"/>
          <w:color w:val="auto"/>
        </w:rPr>
        <w:t>mm/dd/yyyy</w:t>
      </w:r>
      <w:r>
        <w:rPr>
          <w:sz w:val="20"/>
          <w:szCs w:val="20"/>
          <w:color w:val="auto"/>
        </w:rPr>
        <w:tab/>
      </w:r>
      <w:r>
        <w:rPr>
          <w:rFonts w:ascii="Arial" w:cs="Arial" w:eastAsia="Arial" w:hAnsi="Arial"/>
          <w:sz w:val="14"/>
          <w:szCs w:val="14"/>
          <w:color w:val="auto"/>
        </w:rPr>
        <w:t>xx</w:t>
      </w:r>
    </w:p>
    <w:p>
      <w:pPr>
        <w:spacing w:after="0" w:line="3" w:lineRule="exact"/>
        <w:rPr>
          <w:sz w:val="20"/>
          <w:szCs w:val="20"/>
          <w:color w:val="auto"/>
        </w:rPr>
      </w:pPr>
    </w:p>
    <w:p>
      <w:pPr>
        <w:ind w:left="260"/>
        <w:spacing w:after="0"/>
        <w:tabs>
          <w:tab w:leader="none" w:pos="1740" w:val="left"/>
        </w:tabs>
        <w:rPr>
          <w:sz w:val="20"/>
          <w:szCs w:val="20"/>
          <w:color w:val="auto"/>
        </w:rPr>
      </w:pPr>
      <w:r>
        <w:rPr>
          <w:rFonts w:ascii="Arial" w:cs="Arial" w:eastAsia="Arial" w:hAnsi="Arial"/>
          <w:sz w:val="15"/>
          <w:szCs w:val="15"/>
          <w:color w:val="auto"/>
        </w:rPr>
        <w:t>mm/dd/yyyy</w:t>
      </w:r>
      <w:r>
        <w:rPr>
          <w:sz w:val="20"/>
          <w:szCs w:val="20"/>
          <w:color w:val="auto"/>
        </w:rPr>
        <w:tab/>
      </w:r>
      <w:r>
        <w:rPr>
          <w:rFonts w:ascii="Arial" w:cs="Arial" w:eastAsia="Arial" w:hAnsi="Arial"/>
          <w:sz w:val="14"/>
          <w:szCs w:val="14"/>
          <w:color w:val="auto"/>
        </w:rPr>
        <w:t>xx</w:t>
      </w:r>
    </w:p>
    <w:p>
      <w:pPr>
        <w:spacing w:after="0" w:line="3" w:lineRule="exact"/>
        <w:rPr>
          <w:sz w:val="20"/>
          <w:szCs w:val="20"/>
          <w:color w:val="auto"/>
        </w:rPr>
      </w:pPr>
    </w:p>
    <w:p>
      <w:pPr>
        <w:ind w:left="260"/>
        <w:spacing w:after="0"/>
        <w:tabs>
          <w:tab w:leader="none" w:pos="1740" w:val="left"/>
        </w:tabs>
        <w:rPr>
          <w:sz w:val="20"/>
          <w:szCs w:val="20"/>
          <w:color w:val="auto"/>
        </w:rPr>
      </w:pPr>
      <w:r>
        <w:rPr>
          <w:rFonts w:ascii="Arial" w:cs="Arial" w:eastAsia="Arial" w:hAnsi="Arial"/>
          <w:sz w:val="15"/>
          <w:szCs w:val="15"/>
          <w:color w:val="auto"/>
        </w:rPr>
        <w:t>mm/dd/yyyy</w:t>
      </w:r>
      <w:r>
        <w:rPr>
          <w:sz w:val="20"/>
          <w:szCs w:val="20"/>
          <w:color w:val="auto"/>
        </w:rPr>
        <w:tab/>
      </w:r>
      <w:r>
        <w:rPr>
          <w:rFonts w:ascii="Arial" w:cs="Arial" w:eastAsia="Arial" w:hAnsi="Arial"/>
          <w:sz w:val="14"/>
          <w:szCs w:val="14"/>
          <w:color w:val="auto"/>
        </w:rPr>
        <w:t>xx</w:t>
      </w:r>
    </w:p>
    <w:p>
      <w:pPr>
        <w:spacing w:after="0" w:line="3" w:lineRule="exact"/>
        <w:rPr>
          <w:sz w:val="20"/>
          <w:szCs w:val="20"/>
          <w:color w:val="auto"/>
        </w:rPr>
      </w:pPr>
    </w:p>
    <w:p>
      <w:pPr>
        <w:ind w:left="260"/>
        <w:spacing w:after="0"/>
        <w:tabs>
          <w:tab w:leader="none" w:pos="1740" w:val="left"/>
        </w:tabs>
        <w:rPr>
          <w:sz w:val="20"/>
          <w:szCs w:val="20"/>
          <w:color w:val="auto"/>
        </w:rPr>
      </w:pPr>
      <w:r>
        <w:rPr>
          <w:rFonts w:ascii="Arial" w:cs="Arial" w:eastAsia="Arial" w:hAnsi="Arial"/>
          <w:sz w:val="15"/>
          <w:szCs w:val="15"/>
          <w:color w:val="auto"/>
        </w:rPr>
        <w:t>mm/dd/yyyy</w:t>
      </w:r>
      <w:r>
        <w:rPr>
          <w:sz w:val="20"/>
          <w:szCs w:val="20"/>
          <w:color w:val="auto"/>
        </w:rPr>
        <w:tab/>
      </w:r>
      <w:r>
        <w:rPr>
          <w:rFonts w:ascii="Arial" w:cs="Arial" w:eastAsia="Arial" w:hAnsi="Arial"/>
          <w:sz w:val="14"/>
          <w:szCs w:val="14"/>
          <w:color w:val="auto"/>
        </w:rPr>
        <w:t>xx</w:t>
      </w:r>
    </w:p>
    <w:p>
      <w:pPr>
        <w:spacing w:after="0" w:line="3" w:lineRule="exact"/>
        <w:rPr>
          <w:sz w:val="20"/>
          <w:szCs w:val="20"/>
          <w:color w:val="auto"/>
        </w:rPr>
      </w:pPr>
    </w:p>
    <w:p>
      <w:pPr>
        <w:ind w:left="260"/>
        <w:spacing w:after="0"/>
        <w:tabs>
          <w:tab w:leader="none" w:pos="1740" w:val="left"/>
        </w:tabs>
        <w:rPr>
          <w:sz w:val="20"/>
          <w:szCs w:val="20"/>
          <w:color w:val="auto"/>
        </w:rPr>
      </w:pPr>
      <w:r>
        <w:rPr>
          <w:rFonts w:ascii="Arial" w:cs="Arial" w:eastAsia="Arial" w:hAnsi="Arial"/>
          <w:sz w:val="15"/>
          <w:szCs w:val="15"/>
          <w:color w:val="auto"/>
        </w:rPr>
        <w:t>mm/dd/yyyy</w:t>
      </w:r>
      <w:r>
        <w:rPr>
          <w:sz w:val="20"/>
          <w:szCs w:val="20"/>
          <w:color w:val="auto"/>
        </w:rPr>
        <w:tab/>
      </w:r>
      <w:r>
        <w:rPr>
          <w:rFonts w:ascii="Arial" w:cs="Arial" w:eastAsia="Arial" w:hAnsi="Arial"/>
          <w:sz w:val="14"/>
          <w:szCs w:val="14"/>
          <w:color w:val="auto"/>
        </w:rPr>
        <w:t>xx</w:t>
      </w:r>
    </w:p>
    <w:p>
      <w:pPr>
        <w:spacing w:after="0" w:line="3" w:lineRule="exact"/>
        <w:rPr>
          <w:sz w:val="20"/>
          <w:szCs w:val="20"/>
          <w:color w:val="auto"/>
        </w:rPr>
      </w:pPr>
    </w:p>
    <w:p>
      <w:pPr>
        <w:ind w:left="260"/>
        <w:spacing w:after="0"/>
        <w:tabs>
          <w:tab w:leader="none" w:pos="1740" w:val="left"/>
        </w:tabs>
        <w:rPr>
          <w:sz w:val="20"/>
          <w:szCs w:val="20"/>
          <w:color w:val="auto"/>
        </w:rPr>
      </w:pPr>
      <w:r>
        <w:rPr>
          <w:rFonts w:ascii="Arial" w:cs="Arial" w:eastAsia="Arial" w:hAnsi="Arial"/>
          <w:sz w:val="15"/>
          <w:szCs w:val="15"/>
          <w:color w:val="auto"/>
        </w:rPr>
        <w:t>mm/dd/yyyy</w:t>
      </w:r>
      <w:r>
        <w:rPr>
          <w:sz w:val="20"/>
          <w:szCs w:val="20"/>
          <w:color w:val="auto"/>
        </w:rPr>
        <w:tab/>
      </w:r>
      <w:r>
        <w:rPr>
          <w:rFonts w:ascii="Arial" w:cs="Arial" w:eastAsia="Arial" w:hAnsi="Arial"/>
          <w:sz w:val="14"/>
          <w:szCs w:val="14"/>
          <w:color w:val="auto"/>
        </w:rPr>
        <w:t>xx</w:t>
      </w:r>
    </w:p>
    <w:p>
      <w:pPr>
        <w:spacing w:after="0" w:line="3" w:lineRule="exact"/>
        <w:rPr>
          <w:sz w:val="20"/>
          <w:szCs w:val="20"/>
          <w:color w:val="auto"/>
        </w:rPr>
      </w:pPr>
    </w:p>
    <w:p>
      <w:pPr>
        <w:ind w:left="260"/>
        <w:spacing w:after="0"/>
        <w:tabs>
          <w:tab w:leader="none" w:pos="1740" w:val="left"/>
        </w:tabs>
        <w:rPr>
          <w:sz w:val="20"/>
          <w:szCs w:val="20"/>
          <w:color w:val="auto"/>
        </w:rPr>
      </w:pPr>
      <w:r>
        <w:rPr>
          <w:rFonts w:ascii="Arial" w:cs="Arial" w:eastAsia="Arial" w:hAnsi="Arial"/>
          <w:sz w:val="15"/>
          <w:szCs w:val="15"/>
          <w:color w:val="auto"/>
        </w:rPr>
        <w:t>mm/dd/yyyy</w:t>
      </w:r>
      <w:r>
        <w:rPr>
          <w:sz w:val="20"/>
          <w:szCs w:val="20"/>
          <w:color w:val="auto"/>
        </w:rPr>
        <w:tab/>
      </w:r>
      <w:r>
        <w:rPr>
          <w:rFonts w:ascii="Arial" w:cs="Arial" w:eastAsia="Arial" w:hAnsi="Arial"/>
          <w:sz w:val="14"/>
          <w:szCs w:val="14"/>
          <w:color w:val="auto"/>
        </w:rPr>
        <w:t>xx</w:t>
      </w:r>
    </w:p>
    <w:p>
      <w:pPr>
        <w:spacing w:after="0" w:line="3" w:lineRule="exact"/>
        <w:rPr>
          <w:sz w:val="20"/>
          <w:szCs w:val="20"/>
          <w:color w:val="auto"/>
        </w:rPr>
      </w:pPr>
    </w:p>
    <w:p>
      <w:pPr>
        <w:ind w:left="260"/>
        <w:spacing w:after="0"/>
        <w:tabs>
          <w:tab w:leader="none" w:pos="1740" w:val="left"/>
        </w:tabs>
        <w:rPr>
          <w:sz w:val="20"/>
          <w:szCs w:val="20"/>
          <w:color w:val="auto"/>
        </w:rPr>
      </w:pPr>
      <w:r>
        <w:rPr>
          <w:rFonts w:ascii="Arial" w:cs="Arial" w:eastAsia="Arial" w:hAnsi="Arial"/>
          <w:sz w:val="15"/>
          <w:szCs w:val="15"/>
          <w:color w:val="auto"/>
        </w:rPr>
        <w:t>mm/dd/yyyy</w:t>
      </w:r>
      <w:r>
        <w:rPr>
          <w:sz w:val="20"/>
          <w:szCs w:val="20"/>
          <w:color w:val="auto"/>
        </w:rPr>
        <w:tab/>
      </w:r>
      <w:r>
        <w:rPr>
          <w:rFonts w:ascii="Arial" w:cs="Arial" w:eastAsia="Arial" w:hAnsi="Arial"/>
          <w:sz w:val="14"/>
          <w:szCs w:val="14"/>
          <w:color w:val="auto"/>
        </w:rPr>
        <w:t>xx</w:t>
      </w:r>
    </w:p>
    <w:p>
      <w:pPr>
        <w:spacing w:after="0" w:line="3" w:lineRule="exact"/>
        <w:rPr>
          <w:sz w:val="20"/>
          <w:szCs w:val="20"/>
          <w:color w:val="auto"/>
        </w:rPr>
      </w:pPr>
    </w:p>
    <w:p>
      <w:pPr>
        <w:ind w:left="260"/>
        <w:spacing w:after="0"/>
        <w:tabs>
          <w:tab w:leader="none" w:pos="1740" w:val="left"/>
        </w:tabs>
        <w:rPr>
          <w:sz w:val="20"/>
          <w:szCs w:val="20"/>
          <w:color w:val="auto"/>
        </w:rPr>
      </w:pPr>
      <w:r>
        <w:rPr>
          <w:rFonts w:ascii="Arial" w:cs="Arial" w:eastAsia="Arial" w:hAnsi="Arial"/>
          <w:sz w:val="15"/>
          <w:szCs w:val="15"/>
          <w:color w:val="auto"/>
        </w:rPr>
        <w:t>mm/dd/yyyy</w:t>
      </w:r>
      <w:r>
        <w:rPr>
          <w:sz w:val="20"/>
          <w:szCs w:val="20"/>
          <w:color w:val="auto"/>
        </w:rPr>
        <w:tab/>
      </w:r>
      <w:r>
        <w:rPr>
          <w:rFonts w:ascii="Arial" w:cs="Arial" w:eastAsia="Arial" w:hAnsi="Arial"/>
          <w:sz w:val="14"/>
          <w:szCs w:val="14"/>
          <w:color w:val="auto"/>
        </w:rPr>
        <w:t>xx</w:t>
      </w:r>
    </w:p>
    <w:p>
      <w:pPr>
        <w:spacing w:after="0" w:line="3" w:lineRule="exact"/>
        <w:rPr>
          <w:sz w:val="20"/>
          <w:szCs w:val="20"/>
          <w:color w:val="auto"/>
        </w:rPr>
      </w:pPr>
    </w:p>
    <w:p>
      <w:pPr>
        <w:ind w:left="260"/>
        <w:spacing w:after="0"/>
        <w:tabs>
          <w:tab w:leader="none" w:pos="1740" w:val="left"/>
        </w:tabs>
        <w:rPr>
          <w:sz w:val="20"/>
          <w:szCs w:val="20"/>
          <w:color w:val="auto"/>
        </w:rPr>
      </w:pPr>
      <w:r>
        <w:rPr>
          <w:rFonts w:ascii="Arial" w:cs="Arial" w:eastAsia="Arial" w:hAnsi="Arial"/>
          <w:sz w:val="15"/>
          <w:szCs w:val="15"/>
          <w:color w:val="auto"/>
        </w:rPr>
        <w:t>mm/dd/yyyy</w:t>
      </w:r>
      <w:r>
        <w:rPr>
          <w:sz w:val="20"/>
          <w:szCs w:val="20"/>
          <w:color w:val="auto"/>
        </w:rPr>
        <w:tab/>
      </w:r>
      <w:r>
        <w:rPr>
          <w:rFonts w:ascii="Arial" w:cs="Arial" w:eastAsia="Arial" w:hAnsi="Arial"/>
          <w:sz w:val="14"/>
          <w:szCs w:val="14"/>
          <w:color w:val="auto"/>
        </w:rPr>
        <w:t>xx</w:t>
      </w:r>
    </w:p>
    <w:p>
      <w:pPr>
        <w:spacing w:after="0" w:line="3" w:lineRule="exact"/>
        <w:rPr>
          <w:sz w:val="20"/>
          <w:szCs w:val="20"/>
          <w:color w:val="auto"/>
        </w:rPr>
      </w:pPr>
    </w:p>
    <w:p>
      <w:pPr>
        <w:ind w:left="260"/>
        <w:spacing w:after="0"/>
        <w:tabs>
          <w:tab w:leader="none" w:pos="1740" w:val="left"/>
        </w:tabs>
        <w:rPr>
          <w:sz w:val="20"/>
          <w:szCs w:val="20"/>
          <w:color w:val="auto"/>
        </w:rPr>
      </w:pPr>
      <w:r>
        <w:rPr>
          <w:rFonts w:ascii="Arial" w:cs="Arial" w:eastAsia="Arial" w:hAnsi="Arial"/>
          <w:sz w:val="15"/>
          <w:szCs w:val="15"/>
          <w:color w:val="auto"/>
        </w:rPr>
        <w:t>mm/dd/yyyy</w:t>
      </w:r>
      <w:r>
        <w:rPr>
          <w:sz w:val="20"/>
          <w:szCs w:val="20"/>
          <w:color w:val="auto"/>
        </w:rPr>
        <w:tab/>
      </w:r>
      <w:r>
        <w:rPr>
          <w:rFonts w:ascii="Arial" w:cs="Arial" w:eastAsia="Arial" w:hAnsi="Arial"/>
          <w:sz w:val="14"/>
          <w:szCs w:val="14"/>
          <w:color w:val="auto"/>
        </w:rPr>
        <w:t>xx</w:t>
      </w:r>
    </w:p>
    <w:p>
      <w:pPr>
        <w:spacing w:after="0" w:line="3" w:lineRule="exact"/>
        <w:rPr>
          <w:sz w:val="20"/>
          <w:szCs w:val="20"/>
          <w:color w:val="auto"/>
        </w:rPr>
      </w:pPr>
    </w:p>
    <w:p>
      <w:pPr>
        <w:ind w:left="260"/>
        <w:spacing w:after="0"/>
        <w:tabs>
          <w:tab w:leader="none" w:pos="1740" w:val="left"/>
        </w:tabs>
        <w:rPr>
          <w:sz w:val="20"/>
          <w:szCs w:val="20"/>
          <w:color w:val="auto"/>
        </w:rPr>
      </w:pPr>
      <w:r>
        <w:rPr>
          <w:rFonts w:ascii="Arial" w:cs="Arial" w:eastAsia="Arial" w:hAnsi="Arial"/>
          <w:sz w:val="15"/>
          <w:szCs w:val="15"/>
          <w:color w:val="auto"/>
        </w:rPr>
        <w:t>mm/dd/yyyy</w:t>
      </w:r>
      <w:r>
        <w:rPr>
          <w:sz w:val="20"/>
          <w:szCs w:val="20"/>
          <w:color w:val="auto"/>
        </w:rPr>
        <w:tab/>
      </w:r>
      <w:r>
        <w:rPr>
          <w:rFonts w:ascii="Arial" w:cs="Arial" w:eastAsia="Arial" w:hAnsi="Arial"/>
          <w:sz w:val="14"/>
          <w:szCs w:val="14"/>
          <w:color w:val="auto"/>
        </w:rPr>
        <w:t>xx</w:t>
      </w:r>
    </w:p>
    <w:p>
      <w:pPr>
        <w:spacing w:after="0" w:line="37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C-</w:t>
      </w:r>
    </w:p>
    <w:p>
      <w:pPr>
        <w:sectPr>
          <w:pgSz w:w="11900" w:h="16838" w:orient="portrait"/>
          <w:cols w:equalWidth="0" w:num="1">
            <w:col w:w="10239"/>
          </w:cols>
          <w:pgMar w:left="220" w:top="694" w:right="1440" w:bottom="1440" w:gutter="0" w:footer="0" w:header="0"/>
        </w:sectPr>
      </w:pPr>
    </w:p>
    <w:bookmarkStart w:id="158" w:name="page159"/>
    <w:bookmarkEnd w:id="158"/>
    <w:p>
      <w:pPr>
        <w:ind w:left="497" w:hanging="497"/>
        <w:spacing w:after="0"/>
        <w:tabs>
          <w:tab w:leader="none" w:pos="497" w:val="left"/>
        </w:tabs>
        <w:numPr>
          <w:ilvl w:val="0"/>
          <w:numId w:val="23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EBCL Deviation Report</w:t>
      </w:r>
    </w:p>
    <w:p>
      <w:pPr>
        <w:spacing w:after="0" w:line="180" w:lineRule="exact"/>
        <w:rPr>
          <w:rFonts w:ascii="Arial" w:cs="Arial" w:eastAsia="Arial" w:hAnsi="Arial"/>
          <w:sz w:val="17"/>
          <w:szCs w:val="17"/>
          <w:b w:val="1"/>
          <w:bCs w:val="1"/>
          <w:color w:val="auto"/>
        </w:rPr>
      </w:pPr>
    </w:p>
    <w:p>
      <w:pPr>
        <w:ind w:left="497"/>
        <w:spacing w:after="0"/>
        <w:rPr>
          <w:rFonts w:ascii="Arial" w:cs="Arial" w:eastAsia="Arial" w:hAnsi="Arial"/>
          <w:sz w:val="17"/>
          <w:szCs w:val="17"/>
          <w:b w:val="1"/>
          <w:bCs w:val="1"/>
          <w:color w:val="auto"/>
        </w:rPr>
      </w:pPr>
      <w:r>
        <w:rPr>
          <w:rFonts w:ascii="Arial" w:cs="Arial" w:eastAsia="Arial" w:hAnsi="Arial"/>
          <w:sz w:val="17"/>
          <w:szCs w:val="17"/>
          <w:color w:val="auto"/>
        </w:rPr>
        <w:t>The EBCL Deviation Report is to be submitted to DWR within 5 Utility Business Days after the end of each calendar month during the Term.</w:t>
      </w:r>
    </w:p>
    <w:p>
      <w:pPr>
        <w:spacing w:after="0" w:line="173" w:lineRule="exact"/>
        <w:rPr>
          <w:sz w:val="20"/>
          <w:szCs w:val="20"/>
          <w:color w:val="auto"/>
        </w:rPr>
      </w:pPr>
    </w:p>
    <w:p>
      <w:pPr>
        <w:ind w:left="997" w:right="20" w:hanging="501"/>
        <w:spacing w:after="0" w:line="250" w:lineRule="auto"/>
        <w:tabs>
          <w:tab w:leader="none" w:pos="997" w:val="left"/>
        </w:tabs>
        <w:numPr>
          <w:ilvl w:val="0"/>
          <w:numId w:val="2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Delivery Mechanism and Naming Convention </w:t>
      </w:r>
      <w:r>
        <w:rPr>
          <w:rFonts w:ascii="Arial" w:cs="Arial" w:eastAsia="Arial" w:hAnsi="Arial"/>
          <w:sz w:val="17"/>
          <w:szCs w:val="17"/>
          <w:color w:val="auto"/>
        </w:rPr>
        <w:t>- This report should be sent by e-mail to the e-mail address “IOU_Remit@water.ca.gov” (or by such secure</w:t>
      </w:r>
      <w:r>
        <w:rPr>
          <w:rFonts w:ascii="Arial" w:cs="Arial" w:eastAsia="Arial" w:hAnsi="Arial"/>
          <w:sz w:val="17"/>
          <w:szCs w:val="17"/>
          <w:b w:val="1"/>
          <w:bCs w:val="1"/>
          <w:color w:val="auto"/>
        </w:rPr>
        <w:t xml:space="preserve"> </w:t>
      </w:r>
      <w:r>
        <w:rPr>
          <w:rFonts w:ascii="Arial" w:cs="Arial" w:eastAsia="Arial" w:hAnsi="Arial"/>
          <w:sz w:val="17"/>
          <w:szCs w:val="17"/>
          <w:color w:val="auto"/>
        </w:rPr>
        <w:t>electronic means as reasonably determined appropriate by SDG&amp;E) with the following filename and subject line:</w:t>
      </w:r>
    </w:p>
    <w:p>
      <w:pPr>
        <w:spacing w:after="0" w:line="145" w:lineRule="exact"/>
        <w:rPr>
          <w:sz w:val="20"/>
          <w:szCs w:val="20"/>
          <w:color w:val="auto"/>
        </w:rPr>
      </w:pPr>
    </w:p>
    <w:p>
      <w:pPr>
        <w:ind w:left="997" w:right="4960" w:hanging="501"/>
        <w:spacing w:after="0" w:line="478" w:lineRule="auto"/>
        <w:tabs>
          <w:tab w:leader="none" w:pos="749"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The format of the filename: &lt;utility name&gt; - EBCL Deviation Report yyyymm v#.xls </w:t>
      </w:r>
      <w:r>
        <w:rPr>
          <w:rFonts w:ascii="Arial" w:cs="Arial" w:eastAsia="Arial" w:hAnsi="Arial"/>
          <w:sz w:val="16"/>
          <w:szCs w:val="16"/>
          <w:i w:val="1"/>
          <w:iCs w:val="1"/>
          <w:color w:val="auto"/>
        </w:rPr>
        <w:t>Example: SDG&amp;E - EBCL Deviation Report 200904 v1.xls</w:t>
      </w:r>
    </w:p>
    <w:p>
      <w:pPr>
        <w:ind w:left="997" w:right="5260" w:hanging="501"/>
        <w:spacing w:after="0" w:line="456" w:lineRule="auto"/>
        <w:tabs>
          <w:tab w:leader="none" w:pos="749" w:val="left"/>
        </w:tabs>
        <w:numPr>
          <w:ilvl w:val="0"/>
          <w:numId w:val="236"/>
        </w:numPr>
        <w:rPr>
          <w:rFonts w:ascii="Arial" w:cs="Arial" w:eastAsia="Arial" w:hAnsi="Arial"/>
          <w:sz w:val="17"/>
          <w:szCs w:val="17"/>
          <w:color w:val="auto"/>
        </w:rPr>
      </w:pPr>
      <w:r>
        <w:rPr>
          <w:rFonts w:ascii="Arial" w:cs="Arial" w:eastAsia="Arial" w:hAnsi="Arial"/>
          <w:sz w:val="17"/>
          <w:szCs w:val="17"/>
          <w:color w:val="auto"/>
        </w:rPr>
        <w:t xml:space="preserve">The subject line of e-mail: &lt;utility name&gt; - EBCL Deviation Report for yyyymm </w:t>
      </w:r>
      <w:r>
        <w:rPr>
          <w:rFonts w:ascii="Arial" w:cs="Arial" w:eastAsia="Arial" w:hAnsi="Arial"/>
          <w:sz w:val="17"/>
          <w:szCs w:val="17"/>
          <w:i w:val="1"/>
          <w:iCs w:val="1"/>
          <w:color w:val="auto"/>
        </w:rPr>
        <w:t>Example: SDG&amp;E - EBCL Deviation Report for 200904</w:t>
      </w:r>
    </w:p>
    <w:p>
      <w:pPr>
        <w:spacing w:after="0" w:line="1" w:lineRule="exact"/>
        <w:rPr>
          <w:sz w:val="20"/>
          <w:szCs w:val="20"/>
          <w:color w:val="auto"/>
        </w:rPr>
      </w:pPr>
    </w:p>
    <w:p>
      <w:pPr>
        <w:ind w:left="997" w:right="180"/>
        <w:spacing w:after="0" w:line="245" w:lineRule="auto"/>
        <w:rPr>
          <w:sz w:val="20"/>
          <w:szCs w:val="20"/>
          <w:color w:val="auto"/>
        </w:rPr>
      </w:pPr>
      <w:r>
        <w:rPr>
          <w:rFonts w:ascii="Arial" w:cs="Arial" w:eastAsia="Arial" w:hAnsi="Arial"/>
          <w:sz w:val="17"/>
          <w:szCs w:val="17"/>
          <w:color w:val="auto"/>
        </w:rPr>
        <w:t>Modifications to a submitted report will be accomplished by resending all the data including the necessary modifications and renaming the monthly report with the subsequent version number.</w:t>
      </w:r>
    </w:p>
    <w:p>
      <w:pPr>
        <w:spacing w:after="0" w:line="159" w:lineRule="exact"/>
        <w:rPr>
          <w:sz w:val="20"/>
          <w:szCs w:val="20"/>
          <w:color w:val="auto"/>
        </w:rPr>
      </w:pPr>
    </w:p>
    <w:p>
      <w:pPr>
        <w:ind w:left="997"/>
        <w:spacing w:after="0"/>
        <w:rPr>
          <w:sz w:val="20"/>
          <w:szCs w:val="20"/>
          <w:color w:val="auto"/>
        </w:rPr>
      </w:pPr>
      <w:r>
        <w:rPr>
          <w:rFonts w:ascii="Arial" w:cs="Arial" w:eastAsia="Arial" w:hAnsi="Arial"/>
          <w:sz w:val="17"/>
          <w:szCs w:val="17"/>
          <w:i w:val="1"/>
          <w:iCs w:val="1"/>
          <w:color w:val="auto"/>
        </w:rPr>
        <w:t>Example: SDG&amp;E - EBCL Deviation Report 200904 v2.xls</w:t>
      </w:r>
    </w:p>
    <w:p>
      <w:pPr>
        <w:spacing w:after="0" w:line="173" w:lineRule="exact"/>
        <w:rPr>
          <w:sz w:val="20"/>
          <w:szCs w:val="20"/>
          <w:color w:val="auto"/>
        </w:rPr>
      </w:pPr>
    </w:p>
    <w:p>
      <w:pPr>
        <w:ind w:left="997" w:hanging="501"/>
        <w:spacing w:after="0" w:line="236" w:lineRule="auto"/>
        <w:tabs>
          <w:tab w:leader="none" w:pos="997" w:val="left"/>
        </w:tabs>
        <w:numPr>
          <w:ilvl w:val="0"/>
          <w:numId w:val="2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Required Information and Timeline </w:t>
      </w:r>
      <w:r>
        <w:rPr>
          <w:rFonts w:ascii="Arial" w:cs="Arial" w:eastAsia="Arial" w:hAnsi="Arial"/>
          <w:sz w:val="17"/>
          <w:szCs w:val="17"/>
          <w:color w:val="auto"/>
        </w:rPr>
        <w:t>- SDG&amp;E shall report the monthly Estimated Bundled Customer Load and the final ISO submitted Bundled Customer</w:t>
      </w:r>
      <w:r>
        <w:rPr>
          <w:rFonts w:ascii="Arial" w:cs="Arial" w:eastAsia="Arial" w:hAnsi="Arial"/>
          <w:sz w:val="17"/>
          <w:szCs w:val="17"/>
          <w:b w:val="1"/>
          <w:bCs w:val="1"/>
          <w:color w:val="auto"/>
        </w:rPr>
        <w:t xml:space="preserve"> </w:t>
      </w:r>
      <w:r>
        <w:rPr>
          <w:rFonts w:ascii="Arial" w:cs="Arial" w:eastAsia="Arial" w:hAnsi="Arial"/>
          <w:sz w:val="17"/>
          <w:szCs w:val="17"/>
          <w:color w:val="auto"/>
        </w:rPr>
        <w:t>Load information in the EBCL Deviation Reports. SDG&amp;E shall report the data columns specified in the following table for the monthly quantities of the Estimated Bundled Customer Load, the Final ISO Submitted Bundled Customer Load, and the deviation percentage as further described below. The report should be consistent in form and substance to the following table in Excel format.</w:t>
      </w:r>
    </w:p>
    <w:p>
      <w:pPr>
        <w:spacing w:after="0" w:line="200" w:lineRule="exact"/>
        <w:rPr>
          <w:sz w:val="20"/>
          <w:szCs w:val="20"/>
          <w:color w:val="auto"/>
        </w:rPr>
      </w:pPr>
    </w:p>
    <w:p>
      <w:pPr>
        <w:spacing w:after="0" w:line="337" w:lineRule="exact"/>
        <w:rPr>
          <w:sz w:val="20"/>
          <w:szCs w:val="20"/>
          <w:color w:val="auto"/>
        </w:rPr>
      </w:pPr>
    </w:p>
    <w:p>
      <w:pPr>
        <w:jc w:val="center"/>
        <w:ind w:right="-76"/>
        <w:spacing w:after="0"/>
        <w:rPr>
          <w:sz w:val="20"/>
          <w:szCs w:val="20"/>
          <w:color w:val="auto"/>
        </w:rPr>
      </w:pPr>
      <w:r>
        <w:rPr>
          <w:rFonts w:ascii="Arial" w:cs="Arial" w:eastAsia="Arial" w:hAnsi="Arial"/>
          <w:sz w:val="17"/>
          <w:szCs w:val="17"/>
          <w:color w:val="auto"/>
        </w:rPr>
        <w:t>C-</w:t>
      </w:r>
    </w:p>
    <w:p>
      <w:pPr>
        <w:sectPr>
          <w:pgSz w:w="11900" w:h="16838" w:orient="portrait"/>
          <w:cols w:equalWidth="0" w:num="1">
            <w:col w:w="11377"/>
          </w:cols>
          <w:pgMar w:left="223" w:top="481" w:right="299" w:bottom="1440" w:gutter="0" w:footer="0" w:header="0"/>
        </w:sectPr>
      </w:pPr>
    </w:p>
    <w:bookmarkStart w:id="159" w:name="page160"/>
    <w:bookmarkEnd w:id="159"/>
    <w:p>
      <w:pPr>
        <w:ind w:left="500"/>
        <w:spacing w:after="0"/>
        <w:rPr>
          <w:sz w:val="20"/>
          <w:szCs w:val="20"/>
          <w:color w:val="auto"/>
        </w:rPr>
      </w:pPr>
      <w:r>
        <w:rPr>
          <w:rFonts w:ascii="Arial" w:cs="Arial" w:eastAsia="Arial" w:hAnsi="Arial"/>
          <w:sz w:val="17"/>
          <w:szCs w:val="17"/>
          <w:i w:val="1"/>
          <w:iCs w:val="1"/>
          <w:color w:val="auto"/>
        </w:rPr>
        <w:t>Example:</w:t>
      </w:r>
    </w:p>
    <w:p>
      <w:pPr>
        <w:spacing w:after="0" w:line="193" w:lineRule="exact"/>
        <w:rPr>
          <w:sz w:val="20"/>
          <w:szCs w:val="20"/>
          <w:color w:val="auto"/>
        </w:rPr>
      </w:pPr>
    </w:p>
    <w:p>
      <w:pPr>
        <w:jc w:val="center"/>
        <w:ind w:right="5379"/>
        <w:spacing w:after="0"/>
        <w:rPr>
          <w:sz w:val="20"/>
          <w:szCs w:val="20"/>
          <w:color w:val="auto"/>
        </w:rPr>
      </w:pPr>
      <w:r>
        <w:rPr>
          <w:rFonts w:ascii="Arial" w:cs="Arial" w:eastAsia="Arial" w:hAnsi="Arial"/>
          <w:sz w:val="17"/>
          <w:szCs w:val="17"/>
          <w:b w:val="1"/>
          <w:bCs w:val="1"/>
          <w:color w:val="auto"/>
        </w:rPr>
        <w:t>SDG&amp;E</w:t>
      </w:r>
    </w:p>
    <w:p>
      <w:pPr>
        <w:jc w:val="center"/>
        <w:ind w:right="5379"/>
        <w:spacing w:after="0"/>
        <w:rPr>
          <w:sz w:val="20"/>
          <w:szCs w:val="20"/>
          <w:color w:val="auto"/>
        </w:rPr>
      </w:pPr>
      <w:r>
        <w:rPr>
          <w:rFonts w:ascii="Arial" w:cs="Arial" w:eastAsia="Arial" w:hAnsi="Arial"/>
          <w:sz w:val="17"/>
          <w:szCs w:val="17"/>
          <w:b w:val="1"/>
          <w:bCs w:val="1"/>
          <w:color w:val="auto"/>
        </w:rPr>
        <w:t>Monthly Load Deviation</w:t>
      </w:r>
    </w:p>
    <w:p>
      <w:pPr>
        <w:jc w:val="center"/>
        <w:ind w:right="5379"/>
        <w:spacing w:after="0"/>
        <w:rPr>
          <w:sz w:val="20"/>
          <w:szCs w:val="20"/>
          <w:color w:val="auto"/>
        </w:rPr>
      </w:pPr>
      <w:r>
        <w:rPr>
          <w:rFonts w:ascii="Arial" w:cs="Arial" w:eastAsia="Arial" w:hAnsi="Arial"/>
          <w:sz w:val="17"/>
          <w:szCs w:val="17"/>
          <w:b w:val="1"/>
          <w:bCs w:val="1"/>
          <w:color w:val="auto"/>
        </w:rPr>
        <w:t>Final - yyyy</w:t>
      </w:r>
    </w:p>
    <w:p>
      <w:pPr>
        <w:spacing w:after="0" w:line="29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46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960" w:type="dxa"/>
            <w:vAlign w:val="bottom"/>
            <w:tcBorders>
              <w:top w:val="single" w:sz="8" w:color="auto"/>
              <w:bottom w:val="single" w:sz="8" w:color="auto"/>
              <w:right w:val="single" w:sz="8" w:color="auto"/>
            </w:tcBorders>
            <w:shd w:val="clear" w:color="auto" w:fill="333333"/>
          </w:tcPr>
          <w:p>
            <w:pPr>
              <w:spacing w:after="0"/>
              <w:rPr>
                <w:sz w:val="18"/>
                <w:szCs w:val="18"/>
                <w:color w:val="auto"/>
              </w:rPr>
            </w:pPr>
          </w:p>
        </w:tc>
        <w:tc>
          <w:tcPr>
            <w:tcW w:w="960" w:type="dxa"/>
            <w:vAlign w:val="bottom"/>
            <w:tcBorders>
              <w:top w:val="single" w:sz="8" w:color="auto"/>
              <w:bottom w:val="single" w:sz="8" w:color="auto"/>
              <w:right w:val="single" w:sz="8" w:color="auto"/>
            </w:tcBorders>
            <w:shd w:val="clear" w:color="auto" w:fill="333333"/>
          </w:tcPr>
          <w:p>
            <w:pPr>
              <w:spacing w:after="0"/>
              <w:rPr>
                <w:sz w:val="18"/>
                <w:szCs w:val="18"/>
                <w:color w:val="auto"/>
              </w:rPr>
            </w:pPr>
          </w:p>
        </w:tc>
        <w:tc>
          <w:tcPr>
            <w:tcW w:w="1480" w:type="dxa"/>
            <w:vAlign w:val="bottom"/>
            <w:tcBorders>
              <w:top w:val="single" w:sz="8" w:color="auto"/>
              <w:bottom w:val="single" w:sz="8" w:color="auto"/>
              <w:right w:val="single" w:sz="8" w:color="auto"/>
            </w:tcBorders>
            <w:shd w:val="clear" w:color="auto" w:fill="333333"/>
          </w:tcPr>
          <w:p>
            <w:pPr>
              <w:spacing w:after="0"/>
              <w:rPr>
                <w:sz w:val="18"/>
                <w:szCs w:val="18"/>
                <w:color w:val="auto"/>
              </w:rPr>
            </w:pPr>
          </w:p>
        </w:tc>
      </w:tr>
      <w:tr>
        <w:trPr>
          <w:trHeight w:val="103"/>
        </w:trPr>
        <w:tc>
          <w:tcPr>
            <w:tcW w:w="1460" w:type="dxa"/>
            <w:vAlign w:val="bottom"/>
            <w:tcBorders>
              <w:left w:val="single" w:sz="8" w:color="auto"/>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1"/>
                <w:szCs w:val="11"/>
                <w:b w:val="1"/>
                <w:bCs w:val="1"/>
                <w:color w:val="auto"/>
                <w:w w:val="97"/>
              </w:rPr>
              <w:t>Final CAISO</w:t>
            </w:r>
          </w:p>
        </w:tc>
        <w:tc>
          <w:tcPr>
            <w:tcW w:w="1480" w:type="dxa"/>
            <w:vAlign w:val="bottom"/>
            <w:tcBorders>
              <w:right w:val="single" w:sz="8" w:color="auto"/>
            </w:tcBorders>
          </w:tcPr>
          <w:p>
            <w:pPr>
              <w:spacing w:after="0"/>
              <w:rPr>
                <w:sz w:val="8"/>
                <w:szCs w:val="8"/>
                <w:color w:val="auto"/>
              </w:rPr>
            </w:pPr>
          </w:p>
        </w:tc>
      </w:tr>
      <w:tr>
        <w:trPr>
          <w:trHeight w:val="134"/>
        </w:trPr>
        <w:tc>
          <w:tcPr>
            <w:tcW w:w="146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auto"/>
            </w:tcBorders>
          </w:tcPr>
          <w:p>
            <w:pPr>
              <w:jc w:val="center"/>
              <w:ind w:right="5"/>
              <w:spacing w:after="0"/>
              <w:rPr>
                <w:sz w:val="20"/>
                <w:szCs w:val="20"/>
                <w:color w:val="auto"/>
              </w:rPr>
            </w:pPr>
            <w:r>
              <w:rPr>
                <w:rFonts w:ascii="Arial" w:cs="Arial" w:eastAsia="Arial" w:hAnsi="Arial"/>
                <w:sz w:val="11"/>
                <w:szCs w:val="11"/>
                <w:b w:val="1"/>
                <w:bCs w:val="1"/>
                <w:color w:val="auto"/>
                <w:w w:val="87"/>
              </w:rPr>
              <w:t>Estimated</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Submitted</w:t>
            </w:r>
          </w:p>
        </w:tc>
        <w:tc>
          <w:tcPr>
            <w:tcW w:w="1480" w:type="dxa"/>
            <w:vAlign w:val="bottom"/>
            <w:tcBorders>
              <w:right w:val="single" w:sz="8" w:color="auto"/>
            </w:tcBorders>
          </w:tcPr>
          <w:p>
            <w:pPr>
              <w:spacing w:after="0"/>
              <w:rPr>
                <w:sz w:val="11"/>
                <w:szCs w:val="11"/>
                <w:color w:val="auto"/>
              </w:rPr>
            </w:pPr>
          </w:p>
        </w:tc>
      </w:tr>
      <w:tr>
        <w:trPr>
          <w:trHeight w:val="134"/>
        </w:trPr>
        <w:tc>
          <w:tcPr>
            <w:tcW w:w="146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auto"/>
            </w:tcBorders>
          </w:tcPr>
          <w:p>
            <w:pPr>
              <w:jc w:val="center"/>
              <w:ind w:right="5"/>
              <w:spacing w:after="0"/>
              <w:rPr>
                <w:sz w:val="20"/>
                <w:szCs w:val="20"/>
                <w:color w:val="auto"/>
              </w:rPr>
            </w:pPr>
            <w:r>
              <w:rPr>
                <w:rFonts w:ascii="Arial" w:cs="Arial" w:eastAsia="Arial" w:hAnsi="Arial"/>
                <w:sz w:val="11"/>
                <w:szCs w:val="11"/>
                <w:b w:val="1"/>
                <w:bCs w:val="1"/>
                <w:color w:val="auto"/>
                <w:w w:val="86"/>
              </w:rPr>
              <w:t>Bundled</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Bundled</w:t>
            </w:r>
          </w:p>
        </w:tc>
        <w:tc>
          <w:tcPr>
            <w:tcW w:w="1480" w:type="dxa"/>
            <w:vAlign w:val="bottom"/>
            <w:tcBorders>
              <w:right w:val="single" w:sz="8" w:color="auto"/>
            </w:tcBorders>
          </w:tcPr>
          <w:p>
            <w:pPr>
              <w:spacing w:after="0"/>
              <w:rPr>
                <w:sz w:val="11"/>
                <w:szCs w:val="11"/>
                <w:color w:val="auto"/>
              </w:rPr>
            </w:pPr>
          </w:p>
        </w:tc>
      </w:tr>
      <w:tr>
        <w:trPr>
          <w:trHeight w:val="141"/>
        </w:trPr>
        <w:tc>
          <w:tcPr>
            <w:tcW w:w="1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Month</w:t>
            </w:r>
          </w:p>
        </w:tc>
        <w:tc>
          <w:tcPr>
            <w:tcW w:w="960" w:type="dxa"/>
            <w:vAlign w:val="bottom"/>
            <w:tcBorders>
              <w:bottom w:val="single" w:sz="8" w:color="auto"/>
              <w:right w:val="single" w:sz="8" w:color="auto"/>
            </w:tcBorders>
          </w:tcPr>
          <w:p>
            <w:pPr>
              <w:jc w:val="center"/>
              <w:ind w:right="5"/>
              <w:spacing w:after="0"/>
              <w:rPr>
                <w:sz w:val="20"/>
                <w:szCs w:val="20"/>
                <w:color w:val="auto"/>
              </w:rPr>
            </w:pPr>
            <w:r>
              <w:rPr>
                <w:rFonts w:ascii="Arial" w:cs="Arial" w:eastAsia="Arial" w:hAnsi="Arial"/>
                <w:sz w:val="11"/>
                <w:szCs w:val="11"/>
                <w:b w:val="1"/>
                <w:bCs w:val="1"/>
                <w:color w:val="auto"/>
                <w:w w:val="91"/>
              </w:rPr>
              <w:t>Customer Load</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Customer Load</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Final Deviation</w:t>
            </w:r>
          </w:p>
        </w:tc>
      </w:tr>
      <w:tr>
        <w:trPr>
          <w:trHeight w:val="125"/>
        </w:trPr>
        <w:tc>
          <w:tcPr>
            <w:tcW w:w="1460" w:type="dxa"/>
            <w:vAlign w:val="bottom"/>
            <w:tcBorders>
              <w:left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1"/>
                <w:szCs w:val="11"/>
                <w:b w:val="1"/>
                <w:bCs w:val="1"/>
                <w:color w:val="auto"/>
              </w:rPr>
              <w:t>MWh</w:t>
            </w:r>
          </w:p>
        </w:tc>
        <w:tc>
          <w:tcPr>
            <w:tcW w:w="96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1"/>
                <w:szCs w:val="11"/>
                <w:b w:val="1"/>
                <w:bCs w:val="1"/>
                <w:color w:val="auto"/>
              </w:rPr>
              <w:t>MWh</w:t>
            </w:r>
          </w:p>
        </w:tc>
        <w:tc>
          <w:tcPr>
            <w:tcW w:w="148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1"/>
                <w:szCs w:val="11"/>
                <w:b w:val="1"/>
                <w:bCs w:val="1"/>
                <w:color w:val="auto"/>
              </w:rPr>
              <w:t>%</w:t>
            </w:r>
          </w:p>
        </w:tc>
      </w:tr>
      <w:tr>
        <w:trPr>
          <w:trHeight w:val="155"/>
        </w:trPr>
        <w:tc>
          <w:tcPr>
            <w:tcW w:w="1460" w:type="dxa"/>
            <w:vAlign w:val="bottom"/>
            <w:tcBorders>
              <w:left w:val="single" w:sz="8" w:color="auto"/>
              <w:bottom w:val="single" w:sz="8" w:color="auto"/>
              <w:right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jc w:val="center"/>
              <w:ind w:right="5"/>
              <w:spacing w:after="0"/>
              <w:rPr>
                <w:sz w:val="20"/>
                <w:szCs w:val="20"/>
                <w:color w:val="auto"/>
              </w:rPr>
            </w:pPr>
            <w:r>
              <w:rPr>
                <w:rFonts w:ascii="Arial" w:cs="Arial" w:eastAsia="Arial" w:hAnsi="Arial"/>
                <w:sz w:val="11"/>
                <w:szCs w:val="11"/>
                <w:color w:val="auto"/>
                <w:w w:val="81"/>
              </w:rPr>
              <w:t>A</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B</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C=ABS((B-A)/B)</w:t>
            </w:r>
          </w:p>
        </w:tc>
      </w:tr>
      <w:tr>
        <w:trPr>
          <w:trHeight w:val="122"/>
        </w:trPr>
        <w:tc>
          <w:tcPr>
            <w:tcW w:w="1460" w:type="dxa"/>
            <w:vAlign w:val="bottom"/>
            <w:tcBorders>
              <w:left w:val="single" w:sz="8" w:color="auto"/>
            </w:tcBorders>
          </w:tcPr>
          <w:p>
            <w:pPr>
              <w:jc w:val="center"/>
              <w:spacing w:after="0" w:line="122" w:lineRule="exact"/>
              <w:rPr>
                <w:sz w:val="20"/>
                <w:szCs w:val="20"/>
                <w:color w:val="auto"/>
              </w:rPr>
            </w:pPr>
            <w:r>
              <w:rPr>
                <w:rFonts w:ascii="Arial" w:cs="Arial" w:eastAsia="Arial" w:hAnsi="Arial"/>
                <w:sz w:val="11"/>
                <w:szCs w:val="11"/>
                <w:color w:val="auto"/>
                <w:w w:val="93"/>
              </w:rPr>
              <w:t>December yyyy-1</w:t>
            </w:r>
          </w:p>
        </w:tc>
        <w:tc>
          <w:tcPr>
            <w:tcW w:w="960" w:type="dxa"/>
            <w:vAlign w:val="bottom"/>
          </w:tcPr>
          <w:p>
            <w:pPr>
              <w:ind w:left="480"/>
              <w:spacing w:after="0" w:line="122" w:lineRule="exact"/>
              <w:rPr>
                <w:sz w:val="20"/>
                <w:szCs w:val="20"/>
                <w:color w:val="auto"/>
              </w:rPr>
            </w:pPr>
            <w:r>
              <w:rPr>
                <w:rFonts w:ascii="Arial" w:cs="Arial" w:eastAsia="Arial" w:hAnsi="Arial"/>
                <w:sz w:val="11"/>
                <w:szCs w:val="11"/>
                <w:color w:val="auto"/>
              </w:rPr>
              <w:t>xxx,xxx</w:t>
            </w:r>
          </w:p>
        </w:tc>
        <w:tc>
          <w:tcPr>
            <w:tcW w:w="960" w:type="dxa"/>
            <w:vAlign w:val="bottom"/>
          </w:tcPr>
          <w:p>
            <w:pPr>
              <w:ind w:left="500"/>
              <w:spacing w:after="0" w:line="122" w:lineRule="exact"/>
              <w:rPr>
                <w:sz w:val="20"/>
                <w:szCs w:val="20"/>
                <w:color w:val="auto"/>
              </w:rPr>
            </w:pPr>
            <w:r>
              <w:rPr>
                <w:rFonts w:ascii="Arial" w:cs="Arial" w:eastAsia="Arial" w:hAnsi="Arial"/>
                <w:sz w:val="11"/>
                <w:szCs w:val="11"/>
                <w:color w:val="auto"/>
              </w:rPr>
              <w:t>xxx,xxx</w:t>
            </w:r>
          </w:p>
        </w:tc>
        <w:tc>
          <w:tcPr>
            <w:tcW w:w="1480" w:type="dxa"/>
            <w:vAlign w:val="bottom"/>
            <w:tcBorders>
              <w:right w:val="single" w:sz="8" w:color="auto"/>
            </w:tcBorders>
          </w:tcPr>
          <w:p>
            <w:pPr>
              <w:ind w:left="1100"/>
              <w:spacing w:after="0" w:line="122" w:lineRule="exact"/>
              <w:rPr>
                <w:sz w:val="20"/>
                <w:szCs w:val="20"/>
                <w:color w:val="auto"/>
              </w:rPr>
            </w:pPr>
            <w:r>
              <w:rPr>
                <w:rFonts w:ascii="Arial" w:cs="Arial" w:eastAsia="Arial" w:hAnsi="Arial"/>
                <w:sz w:val="11"/>
                <w:szCs w:val="11"/>
                <w:color w:val="auto"/>
              </w:rPr>
              <w:t>xx.xx</w:t>
            </w:r>
          </w:p>
        </w:tc>
      </w:tr>
      <w:tr>
        <w:trPr>
          <w:trHeight w:val="134"/>
        </w:trPr>
        <w:tc>
          <w:tcPr>
            <w:tcW w:w="1460" w:type="dxa"/>
            <w:vAlign w:val="bottom"/>
            <w:tcBorders>
              <w:left w:val="single" w:sz="8" w:color="auto"/>
            </w:tcBorders>
          </w:tcPr>
          <w:p>
            <w:pPr>
              <w:jc w:val="center"/>
              <w:spacing w:after="0"/>
              <w:rPr>
                <w:sz w:val="20"/>
                <w:szCs w:val="20"/>
                <w:color w:val="auto"/>
              </w:rPr>
            </w:pPr>
            <w:r>
              <w:rPr>
                <w:rFonts w:ascii="Arial" w:cs="Arial" w:eastAsia="Arial" w:hAnsi="Arial"/>
                <w:sz w:val="11"/>
                <w:szCs w:val="11"/>
                <w:color w:val="auto"/>
                <w:w w:val="86"/>
              </w:rPr>
              <w:t>January</w:t>
            </w:r>
          </w:p>
        </w:tc>
        <w:tc>
          <w:tcPr>
            <w:tcW w:w="960" w:type="dxa"/>
            <w:vAlign w:val="bottom"/>
          </w:tcPr>
          <w:p>
            <w:pPr>
              <w:ind w:left="480"/>
              <w:spacing w:after="0"/>
              <w:rPr>
                <w:sz w:val="20"/>
                <w:szCs w:val="20"/>
                <w:color w:val="auto"/>
              </w:rPr>
            </w:pPr>
            <w:r>
              <w:rPr>
                <w:rFonts w:ascii="Arial" w:cs="Arial" w:eastAsia="Arial" w:hAnsi="Arial"/>
                <w:sz w:val="11"/>
                <w:szCs w:val="11"/>
                <w:color w:val="auto"/>
              </w:rPr>
              <w:t>xxx,xxx</w:t>
            </w:r>
          </w:p>
        </w:tc>
        <w:tc>
          <w:tcPr>
            <w:tcW w:w="960" w:type="dxa"/>
            <w:vAlign w:val="bottom"/>
          </w:tcPr>
          <w:p>
            <w:pPr>
              <w:ind w:left="500"/>
              <w:spacing w:after="0"/>
              <w:rPr>
                <w:sz w:val="20"/>
                <w:szCs w:val="20"/>
                <w:color w:val="auto"/>
              </w:rPr>
            </w:pPr>
            <w:r>
              <w:rPr>
                <w:rFonts w:ascii="Arial" w:cs="Arial" w:eastAsia="Arial" w:hAnsi="Arial"/>
                <w:sz w:val="11"/>
                <w:szCs w:val="11"/>
                <w:color w:val="auto"/>
              </w:rPr>
              <w:t>xxx,xxx</w:t>
            </w:r>
          </w:p>
        </w:tc>
        <w:tc>
          <w:tcPr>
            <w:tcW w:w="1480" w:type="dxa"/>
            <w:vAlign w:val="bottom"/>
            <w:tcBorders>
              <w:right w:val="single" w:sz="8" w:color="auto"/>
            </w:tcBorders>
          </w:tcPr>
          <w:p>
            <w:pPr>
              <w:ind w:left="1100"/>
              <w:spacing w:after="0"/>
              <w:rPr>
                <w:sz w:val="20"/>
                <w:szCs w:val="20"/>
                <w:color w:val="auto"/>
              </w:rPr>
            </w:pPr>
            <w:r>
              <w:rPr>
                <w:rFonts w:ascii="Arial" w:cs="Arial" w:eastAsia="Arial" w:hAnsi="Arial"/>
                <w:sz w:val="11"/>
                <w:szCs w:val="11"/>
                <w:color w:val="auto"/>
              </w:rPr>
              <w:t>xx.xx</w:t>
            </w:r>
          </w:p>
        </w:tc>
      </w:tr>
      <w:tr>
        <w:trPr>
          <w:trHeight w:val="134"/>
        </w:trPr>
        <w:tc>
          <w:tcPr>
            <w:tcW w:w="1460" w:type="dxa"/>
            <w:vAlign w:val="bottom"/>
            <w:tcBorders>
              <w:left w:val="single" w:sz="8" w:color="auto"/>
            </w:tcBorders>
          </w:tcPr>
          <w:p>
            <w:pPr>
              <w:jc w:val="center"/>
              <w:spacing w:after="0"/>
              <w:rPr>
                <w:sz w:val="20"/>
                <w:szCs w:val="20"/>
                <w:color w:val="auto"/>
              </w:rPr>
            </w:pPr>
            <w:r>
              <w:rPr>
                <w:rFonts w:ascii="Arial" w:cs="Arial" w:eastAsia="Arial" w:hAnsi="Arial"/>
                <w:sz w:val="11"/>
                <w:szCs w:val="11"/>
                <w:color w:val="auto"/>
                <w:w w:val="90"/>
              </w:rPr>
              <w:t>February</w:t>
            </w:r>
          </w:p>
        </w:tc>
        <w:tc>
          <w:tcPr>
            <w:tcW w:w="960" w:type="dxa"/>
            <w:vAlign w:val="bottom"/>
          </w:tcPr>
          <w:p>
            <w:pPr>
              <w:ind w:left="480"/>
              <w:spacing w:after="0"/>
              <w:rPr>
                <w:sz w:val="20"/>
                <w:szCs w:val="20"/>
                <w:color w:val="auto"/>
              </w:rPr>
            </w:pPr>
            <w:r>
              <w:rPr>
                <w:rFonts w:ascii="Arial" w:cs="Arial" w:eastAsia="Arial" w:hAnsi="Arial"/>
                <w:sz w:val="11"/>
                <w:szCs w:val="11"/>
                <w:color w:val="auto"/>
              </w:rPr>
              <w:t>xxx,xxx</w:t>
            </w:r>
          </w:p>
        </w:tc>
        <w:tc>
          <w:tcPr>
            <w:tcW w:w="960" w:type="dxa"/>
            <w:vAlign w:val="bottom"/>
          </w:tcPr>
          <w:p>
            <w:pPr>
              <w:ind w:left="500"/>
              <w:spacing w:after="0"/>
              <w:rPr>
                <w:sz w:val="20"/>
                <w:szCs w:val="20"/>
                <w:color w:val="auto"/>
              </w:rPr>
            </w:pPr>
            <w:r>
              <w:rPr>
                <w:rFonts w:ascii="Arial" w:cs="Arial" w:eastAsia="Arial" w:hAnsi="Arial"/>
                <w:sz w:val="11"/>
                <w:szCs w:val="11"/>
                <w:color w:val="auto"/>
              </w:rPr>
              <w:t>xxx,xxx</w:t>
            </w:r>
          </w:p>
        </w:tc>
        <w:tc>
          <w:tcPr>
            <w:tcW w:w="1480" w:type="dxa"/>
            <w:vAlign w:val="bottom"/>
            <w:tcBorders>
              <w:right w:val="single" w:sz="8" w:color="auto"/>
            </w:tcBorders>
          </w:tcPr>
          <w:p>
            <w:pPr>
              <w:ind w:left="1100"/>
              <w:spacing w:after="0"/>
              <w:rPr>
                <w:sz w:val="20"/>
                <w:szCs w:val="20"/>
                <w:color w:val="auto"/>
              </w:rPr>
            </w:pPr>
            <w:r>
              <w:rPr>
                <w:rFonts w:ascii="Arial" w:cs="Arial" w:eastAsia="Arial" w:hAnsi="Arial"/>
                <w:sz w:val="11"/>
                <w:szCs w:val="11"/>
                <w:color w:val="auto"/>
              </w:rPr>
              <w:t>xx.xx</w:t>
            </w:r>
          </w:p>
        </w:tc>
      </w:tr>
      <w:tr>
        <w:trPr>
          <w:trHeight w:val="134"/>
        </w:trPr>
        <w:tc>
          <w:tcPr>
            <w:tcW w:w="1460" w:type="dxa"/>
            <w:vAlign w:val="bottom"/>
            <w:tcBorders>
              <w:left w:val="single" w:sz="8" w:color="auto"/>
            </w:tcBorders>
          </w:tcPr>
          <w:p>
            <w:pPr>
              <w:jc w:val="center"/>
              <w:spacing w:after="0"/>
              <w:rPr>
                <w:sz w:val="20"/>
                <w:szCs w:val="20"/>
                <w:color w:val="auto"/>
              </w:rPr>
            </w:pPr>
            <w:r>
              <w:rPr>
                <w:rFonts w:ascii="Arial" w:cs="Arial" w:eastAsia="Arial" w:hAnsi="Arial"/>
                <w:sz w:val="11"/>
                <w:szCs w:val="11"/>
                <w:color w:val="auto"/>
                <w:w w:val="91"/>
              </w:rPr>
              <w:t>March</w:t>
            </w:r>
          </w:p>
        </w:tc>
        <w:tc>
          <w:tcPr>
            <w:tcW w:w="960" w:type="dxa"/>
            <w:vAlign w:val="bottom"/>
          </w:tcPr>
          <w:p>
            <w:pPr>
              <w:ind w:left="480"/>
              <w:spacing w:after="0"/>
              <w:rPr>
                <w:sz w:val="20"/>
                <w:szCs w:val="20"/>
                <w:color w:val="auto"/>
              </w:rPr>
            </w:pPr>
            <w:r>
              <w:rPr>
                <w:rFonts w:ascii="Arial" w:cs="Arial" w:eastAsia="Arial" w:hAnsi="Arial"/>
                <w:sz w:val="11"/>
                <w:szCs w:val="11"/>
                <w:color w:val="auto"/>
              </w:rPr>
              <w:t>xxx,xxx</w:t>
            </w:r>
          </w:p>
        </w:tc>
        <w:tc>
          <w:tcPr>
            <w:tcW w:w="960" w:type="dxa"/>
            <w:vAlign w:val="bottom"/>
          </w:tcPr>
          <w:p>
            <w:pPr>
              <w:ind w:left="500"/>
              <w:spacing w:after="0"/>
              <w:rPr>
                <w:sz w:val="20"/>
                <w:szCs w:val="20"/>
                <w:color w:val="auto"/>
              </w:rPr>
            </w:pPr>
            <w:r>
              <w:rPr>
                <w:rFonts w:ascii="Arial" w:cs="Arial" w:eastAsia="Arial" w:hAnsi="Arial"/>
                <w:sz w:val="11"/>
                <w:szCs w:val="11"/>
                <w:color w:val="auto"/>
              </w:rPr>
              <w:t>xxx,xxx</w:t>
            </w:r>
          </w:p>
        </w:tc>
        <w:tc>
          <w:tcPr>
            <w:tcW w:w="1480" w:type="dxa"/>
            <w:vAlign w:val="bottom"/>
            <w:tcBorders>
              <w:right w:val="single" w:sz="8" w:color="auto"/>
            </w:tcBorders>
          </w:tcPr>
          <w:p>
            <w:pPr>
              <w:ind w:left="1100"/>
              <w:spacing w:after="0"/>
              <w:rPr>
                <w:sz w:val="20"/>
                <w:szCs w:val="20"/>
                <w:color w:val="auto"/>
              </w:rPr>
            </w:pPr>
            <w:r>
              <w:rPr>
                <w:rFonts w:ascii="Arial" w:cs="Arial" w:eastAsia="Arial" w:hAnsi="Arial"/>
                <w:sz w:val="11"/>
                <w:szCs w:val="11"/>
                <w:color w:val="auto"/>
              </w:rPr>
              <w:t>xx.xx</w:t>
            </w:r>
          </w:p>
        </w:tc>
      </w:tr>
      <w:tr>
        <w:trPr>
          <w:trHeight w:val="134"/>
        </w:trPr>
        <w:tc>
          <w:tcPr>
            <w:tcW w:w="1460" w:type="dxa"/>
            <w:vAlign w:val="bottom"/>
            <w:tcBorders>
              <w:left w:val="single" w:sz="8" w:color="auto"/>
            </w:tcBorders>
          </w:tcPr>
          <w:p>
            <w:pPr>
              <w:jc w:val="center"/>
              <w:spacing w:after="0"/>
              <w:rPr>
                <w:sz w:val="20"/>
                <w:szCs w:val="20"/>
                <w:color w:val="auto"/>
              </w:rPr>
            </w:pPr>
            <w:r>
              <w:rPr>
                <w:rFonts w:ascii="Arial" w:cs="Arial" w:eastAsia="Arial" w:hAnsi="Arial"/>
                <w:sz w:val="11"/>
                <w:szCs w:val="11"/>
                <w:color w:val="auto"/>
              </w:rPr>
              <w:t>April</w:t>
            </w:r>
          </w:p>
        </w:tc>
        <w:tc>
          <w:tcPr>
            <w:tcW w:w="960" w:type="dxa"/>
            <w:vAlign w:val="bottom"/>
          </w:tcPr>
          <w:p>
            <w:pPr>
              <w:ind w:left="480"/>
              <w:spacing w:after="0"/>
              <w:rPr>
                <w:sz w:val="20"/>
                <w:szCs w:val="20"/>
                <w:color w:val="auto"/>
              </w:rPr>
            </w:pPr>
            <w:r>
              <w:rPr>
                <w:rFonts w:ascii="Arial" w:cs="Arial" w:eastAsia="Arial" w:hAnsi="Arial"/>
                <w:sz w:val="11"/>
                <w:szCs w:val="11"/>
                <w:color w:val="auto"/>
              </w:rPr>
              <w:t>xxx,xxx</w:t>
            </w:r>
          </w:p>
        </w:tc>
        <w:tc>
          <w:tcPr>
            <w:tcW w:w="960" w:type="dxa"/>
            <w:vAlign w:val="bottom"/>
          </w:tcPr>
          <w:p>
            <w:pPr>
              <w:ind w:left="500"/>
              <w:spacing w:after="0"/>
              <w:rPr>
                <w:sz w:val="20"/>
                <w:szCs w:val="20"/>
                <w:color w:val="auto"/>
              </w:rPr>
            </w:pPr>
            <w:r>
              <w:rPr>
                <w:rFonts w:ascii="Arial" w:cs="Arial" w:eastAsia="Arial" w:hAnsi="Arial"/>
                <w:sz w:val="11"/>
                <w:szCs w:val="11"/>
                <w:color w:val="auto"/>
              </w:rPr>
              <w:t>xxx,xxx</w:t>
            </w:r>
          </w:p>
        </w:tc>
        <w:tc>
          <w:tcPr>
            <w:tcW w:w="1480" w:type="dxa"/>
            <w:vAlign w:val="bottom"/>
            <w:tcBorders>
              <w:right w:val="single" w:sz="8" w:color="auto"/>
            </w:tcBorders>
          </w:tcPr>
          <w:p>
            <w:pPr>
              <w:ind w:left="1100"/>
              <w:spacing w:after="0"/>
              <w:rPr>
                <w:sz w:val="20"/>
                <w:szCs w:val="20"/>
                <w:color w:val="auto"/>
              </w:rPr>
            </w:pPr>
            <w:r>
              <w:rPr>
                <w:rFonts w:ascii="Arial" w:cs="Arial" w:eastAsia="Arial" w:hAnsi="Arial"/>
                <w:sz w:val="11"/>
                <w:szCs w:val="11"/>
                <w:color w:val="auto"/>
              </w:rPr>
              <w:t>xx.xx</w:t>
            </w:r>
          </w:p>
        </w:tc>
      </w:tr>
      <w:tr>
        <w:trPr>
          <w:trHeight w:val="134"/>
        </w:trPr>
        <w:tc>
          <w:tcPr>
            <w:tcW w:w="1460" w:type="dxa"/>
            <w:vAlign w:val="bottom"/>
            <w:tcBorders>
              <w:left w:val="single" w:sz="8" w:color="auto"/>
            </w:tcBorders>
          </w:tcPr>
          <w:p>
            <w:pPr>
              <w:jc w:val="center"/>
              <w:spacing w:after="0"/>
              <w:rPr>
                <w:sz w:val="20"/>
                <w:szCs w:val="20"/>
                <w:color w:val="auto"/>
              </w:rPr>
            </w:pPr>
            <w:r>
              <w:rPr>
                <w:rFonts w:ascii="Arial" w:cs="Arial" w:eastAsia="Arial" w:hAnsi="Arial"/>
                <w:sz w:val="11"/>
                <w:szCs w:val="11"/>
                <w:color w:val="auto"/>
                <w:w w:val="96"/>
              </w:rPr>
              <w:t>May</w:t>
            </w:r>
          </w:p>
        </w:tc>
        <w:tc>
          <w:tcPr>
            <w:tcW w:w="960" w:type="dxa"/>
            <w:vAlign w:val="bottom"/>
          </w:tcPr>
          <w:p>
            <w:pPr>
              <w:ind w:left="480"/>
              <w:spacing w:after="0"/>
              <w:rPr>
                <w:sz w:val="20"/>
                <w:szCs w:val="20"/>
                <w:color w:val="auto"/>
              </w:rPr>
            </w:pPr>
            <w:r>
              <w:rPr>
                <w:rFonts w:ascii="Arial" w:cs="Arial" w:eastAsia="Arial" w:hAnsi="Arial"/>
                <w:sz w:val="11"/>
                <w:szCs w:val="11"/>
                <w:color w:val="auto"/>
              </w:rPr>
              <w:t>xxx,xxx</w:t>
            </w:r>
          </w:p>
        </w:tc>
        <w:tc>
          <w:tcPr>
            <w:tcW w:w="960" w:type="dxa"/>
            <w:vAlign w:val="bottom"/>
          </w:tcPr>
          <w:p>
            <w:pPr>
              <w:ind w:left="500"/>
              <w:spacing w:after="0"/>
              <w:rPr>
                <w:sz w:val="20"/>
                <w:szCs w:val="20"/>
                <w:color w:val="auto"/>
              </w:rPr>
            </w:pPr>
            <w:r>
              <w:rPr>
                <w:rFonts w:ascii="Arial" w:cs="Arial" w:eastAsia="Arial" w:hAnsi="Arial"/>
                <w:sz w:val="11"/>
                <w:szCs w:val="11"/>
                <w:color w:val="auto"/>
              </w:rPr>
              <w:t>xxx,xxx</w:t>
            </w:r>
          </w:p>
        </w:tc>
        <w:tc>
          <w:tcPr>
            <w:tcW w:w="1480" w:type="dxa"/>
            <w:vAlign w:val="bottom"/>
            <w:tcBorders>
              <w:right w:val="single" w:sz="8" w:color="auto"/>
            </w:tcBorders>
          </w:tcPr>
          <w:p>
            <w:pPr>
              <w:ind w:left="1100"/>
              <w:spacing w:after="0"/>
              <w:rPr>
                <w:sz w:val="20"/>
                <w:szCs w:val="20"/>
                <w:color w:val="auto"/>
              </w:rPr>
            </w:pPr>
            <w:r>
              <w:rPr>
                <w:rFonts w:ascii="Arial" w:cs="Arial" w:eastAsia="Arial" w:hAnsi="Arial"/>
                <w:sz w:val="11"/>
                <w:szCs w:val="11"/>
                <w:color w:val="auto"/>
              </w:rPr>
              <w:t>xx.xx</w:t>
            </w:r>
          </w:p>
        </w:tc>
      </w:tr>
      <w:tr>
        <w:trPr>
          <w:trHeight w:val="134"/>
        </w:trPr>
        <w:tc>
          <w:tcPr>
            <w:tcW w:w="1460" w:type="dxa"/>
            <w:vAlign w:val="bottom"/>
            <w:tcBorders>
              <w:left w:val="single" w:sz="8" w:color="auto"/>
            </w:tcBorders>
          </w:tcPr>
          <w:p>
            <w:pPr>
              <w:jc w:val="center"/>
              <w:spacing w:after="0"/>
              <w:rPr>
                <w:sz w:val="20"/>
                <w:szCs w:val="20"/>
                <w:color w:val="auto"/>
              </w:rPr>
            </w:pPr>
            <w:r>
              <w:rPr>
                <w:rFonts w:ascii="Arial" w:cs="Arial" w:eastAsia="Arial" w:hAnsi="Arial"/>
                <w:sz w:val="11"/>
                <w:szCs w:val="11"/>
                <w:color w:val="auto"/>
                <w:w w:val="83"/>
              </w:rPr>
              <w:t>June</w:t>
            </w:r>
          </w:p>
        </w:tc>
        <w:tc>
          <w:tcPr>
            <w:tcW w:w="960" w:type="dxa"/>
            <w:vAlign w:val="bottom"/>
          </w:tcPr>
          <w:p>
            <w:pPr>
              <w:ind w:left="480"/>
              <w:spacing w:after="0"/>
              <w:rPr>
                <w:sz w:val="20"/>
                <w:szCs w:val="20"/>
                <w:color w:val="auto"/>
              </w:rPr>
            </w:pPr>
            <w:r>
              <w:rPr>
                <w:rFonts w:ascii="Arial" w:cs="Arial" w:eastAsia="Arial" w:hAnsi="Arial"/>
                <w:sz w:val="11"/>
                <w:szCs w:val="11"/>
                <w:color w:val="auto"/>
              </w:rPr>
              <w:t>xxx,xxx</w:t>
            </w:r>
          </w:p>
        </w:tc>
        <w:tc>
          <w:tcPr>
            <w:tcW w:w="960" w:type="dxa"/>
            <w:vAlign w:val="bottom"/>
          </w:tcPr>
          <w:p>
            <w:pPr>
              <w:ind w:left="500"/>
              <w:spacing w:after="0"/>
              <w:rPr>
                <w:sz w:val="20"/>
                <w:szCs w:val="20"/>
                <w:color w:val="auto"/>
              </w:rPr>
            </w:pPr>
            <w:r>
              <w:rPr>
                <w:rFonts w:ascii="Arial" w:cs="Arial" w:eastAsia="Arial" w:hAnsi="Arial"/>
                <w:sz w:val="11"/>
                <w:szCs w:val="11"/>
                <w:color w:val="auto"/>
              </w:rPr>
              <w:t>xxx,xxx</w:t>
            </w:r>
          </w:p>
        </w:tc>
        <w:tc>
          <w:tcPr>
            <w:tcW w:w="1480" w:type="dxa"/>
            <w:vAlign w:val="bottom"/>
            <w:tcBorders>
              <w:right w:val="single" w:sz="8" w:color="auto"/>
            </w:tcBorders>
          </w:tcPr>
          <w:p>
            <w:pPr>
              <w:ind w:left="1100"/>
              <w:spacing w:after="0"/>
              <w:rPr>
                <w:sz w:val="20"/>
                <w:szCs w:val="20"/>
                <w:color w:val="auto"/>
              </w:rPr>
            </w:pPr>
            <w:r>
              <w:rPr>
                <w:rFonts w:ascii="Arial" w:cs="Arial" w:eastAsia="Arial" w:hAnsi="Arial"/>
                <w:sz w:val="11"/>
                <w:szCs w:val="11"/>
                <w:color w:val="auto"/>
              </w:rPr>
              <w:t>xx.xx</w:t>
            </w:r>
          </w:p>
        </w:tc>
      </w:tr>
      <w:tr>
        <w:trPr>
          <w:trHeight w:val="134"/>
        </w:trPr>
        <w:tc>
          <w:tcPr>
            <w:tcW w:w="1460" w:type="dxa"/>
            <w:vAlign w:val="bottom"/>
            <w:tcBorders>
              <w:left w:val="single" w:sz="8" w:color="auto"/>
            </w:tcBorders>
          </w:tcPr>
          <w:p>
            <w:pPr>
              <w:jc w:val="center"/>
              <w:spacing w:after="0"/>
              <w:rPr>
                <w:sz w:val="20"/>
                <w:szCs w:val="20"/>
                <w:color w:val="auto"/>
              </w:rPr>
            </w:pPr>
            <w:r>
              <w:rPr>
                <w:rFonts w:ascii="Arial" w:cs="Arial" w:eastAsia="Arial" w:hAnsi="Arial"/>
                <w:sz w:val="11"/>
                <w:szCs w:val="11"/>
                <w:color w:val="auto"/>
                <w:w w:val="91"/>
              </w:rPr>
              <w:t>July</w:t>
            </w:r>
          </w:p>
        </w:tc>
        <w:tc>
          <w:tcPr>
            <w:tcW w:w="960" w:type="dxa"/>
            <w:vAlign w:val="bottom"/>
          </w:tcPr>
          <w:p>
            <w:pPr>
              <w:ind w:left="480"/>
              <w:spacing w:after="0"/>
              <w:rPr>
                <w:sz w:val="20"/>
                <w:szCs w:val="20"/>
                <w:color w:val="auto"/>
              </w:rPr>
            </w:pPr>
            <w:r>
              <w:rPr>
                <w:rFonts w:ascii="Arial" w:cs="Arial" w:eastAsia="Arial" w:hAnsi="Arial"/>
                <w:sz w:val="11"/>
                <w:szCs w:val="11"/>
                <w:color w:val="auto"/>
              </w:rPr>
              <w:t>xxx,xxx</w:t>
            </w:r>
          </w:p>
        </w:tc>
        <w:tc>
          <w:tcPr>
            <w:tcW w:w="960" w:type="dxa"/>
            <w:vAlign w:val="bottom"/>
          </w:tcPr>
          <w:p>
            <w:pPr>
              <w:ind w:left="500"/>
              <w:spacing w:after="0"/>
              <w:rPr>
                <w:sz w:val="20"/>
                <w:szCs w:val="20"/>
                <w:color w:val="auto"/>
              </w:rPr>
            </w:pPr>
            <w:r>
              <w:rPr>
                <w:rFonts w:ascii="Arial" w:cs="Arial" w:eastAsia="Arial" w:hAnsi="Arial"/>
                <w:sz w:val="11"/>
                <w:szCs w:val="11"/>
                <w:color w:val="auto"/>
              </w:rPr>
              <w:t>xxx,xxx</w:t>
            </w:r>
          </w:p>
        </w:tc>
        <w:tc>
          <w:tcPr>
            <w:tcW w:w="1480" w:type="dxa"/>
            <w:vAlign w:val="bottom"/>
            <w:tcBorders>
              <w:right w:val="single" w:sz="8" w:color="auto"/>
            </w:tcBorders>
          </w:tcPr>
          <w:p>
            <w:pPr>
              <w:ind w:left="1100"/>
              <w:spacing w:after="0"/>
              <w:rPr>
                <w:sz w:val="20"/>
                <w:szCs w:val="20"/>
                <w:color w:val="auto"/>
              </w:rPr>
            </w:pPr>
            <w:r>
              <w:rPr>
                <w:rFonts w:ascii="Arial" w:cs="Arial" w:eastAsia="Arial" w:hAnsi="Arial"/>
                <w:sz w:val="11"/>
                <w:szCs w:val="11"/>
                <w:color w:val="auto"/>
              </w:rPr>
              <w:t>xx.xx</w:t>
            </w:r>
          </w:p>
        </w:tc>
      </w:tr>
      <w:tr>
        <w:trPr>
          <w:trHeight w:val="134"/>
        </w:trPr>
        <w:tc>
          <w:tcPr>
            <w:tcW w:w="1460" w:type="dxa"/>
            <w:vAlign w:val="bottom"/>
            <w:tcBorders>
              <w:left w:val="single" w:sz="8" w:color="auto"/>
            </w:tcBorders>
          </w:tcPr>
          <w:p>
            <w:pPr>
              <w:jc w:val="center"/>
              <w:spacing w:after="0"/>
              <w:rPr>
                <w:sz w:val="20"/>
                <w:szCs w:val="20"/>
                <w:color w:val="auto"/>
              </w:rPr>
            </w:pPr>
            <w:r>
              <w:rPr>
                <w:rFonts w:ascii="Arial" w:cs="Arial" w:eastAsia="Arial" w:hAnsi="Arial"/>
                <w:sz w:val="11"/>
                <w:szCs w:val="11"/>
                <w:color w:val="auto"/>
                <w:w w:val="93"/>
              </w:rPr>
              <w:t>August</w:t>
            </w:r>
          </w:p>
        </w:tc>
        <w:tc>
          <w:tcPr>
            <w:tcW w:w="960" w:type="dxa"/>
            <w:vAlign w:val="bottom"/>
          </w:tcPr>
          <w:p>
            <w:pPr>
              <w:ind w:left="480"/>
              <w:spacing w:after="0"/>
              <w:rPr>
                <w:sz w:val="20"/>
                <w:szCs w:val="20"/>
                <w:color w:val="auto"/>
              </w:rPr>
            </w:pPr>
            <w:r>
              <w:rPr>
                <w:rFonts w:ascii="Arial" w:cs="Arial" w:eastAsia="Arial" w:hAnsi="Arial"/>
                <w:sz w:val="11"/>
                <w:szCs w:val="11"/>
                <w:color w:val="auto"/>
              </w:rPr>
              <w:t>xxx,xxx</w:t>
            </w:r>
          </w:p>
        </w:tc>
        <w:tc>
          <w:tcPr>
            <w:tcW w:w="960" w:type="dxa"/>
            <w:vAlign w:val="bottom"/>
          </w:tcPr>
          <w:p>
            <w:pPr>
              <w:ind w:left="500"/>
              <w:spacing w:after="0"/>
              <w:rPr>
                <w:sz w:val="20"/>
                <w:szCs w:val="20"/>
                <w:color w:val="auto"/>
              </w:rPr>
            </w:pPr>
            <w:r>
              <w:rPr>
                <w:rFonts w:ascii="Arial" w:cs="Arial" w:eastAsia="Arial" w:hAnsi="Arial"/>
                <w:sz w:val="11"/>
                <w:szCs w:val="11"/>
                <w:color w:val="auto"/>
              </w:rPr>
              <w:t>xxx,xxx</w:t>
            </w:r>
          </w:p>
        </w:tc>
        <w:tc>
          <w:tcPr>
            <w:tcW w:w="1480" w:type="dxa"/>
            <w:vAlign w:val="bottom"/>
            <w:tcBorders>
              <w:right w:val="single" w:sz="8" w:color="auto"/>
            </w:tcBorders>
          </w:tcPr>
          <w:p>
            <w:pPr>
              <w:ind w:left="1100"/>
              <w:spacing w:after="0"/>
              <w:rPr>
                <w:sz w:val="20"/>
                <w:szCs w:val="20"/>
                <w:color w:val="auto"/>
              </w:rPr>
            </w:pPr>
            <w:r>
              <w:rPr>
                <w:rFonts w:ascii="Arial" w:cs="Arial" w:eastAsia="Arial" w:hAnsi="Arial"/>
                <w:sz w:val="11"/>
                <w:szCs w:val="11"/>
                <w:color w:val="auto"/>
              </w:rPr>
              <w:t>xx.xx</w:t>
            </w:r>
          </w:p>
        </w:tc>
      </w:tr>
      <w:tr>
        <w:trPr>
          <w:trHeight w:val="134"/>
        </w:trPr>
        <w:tc>
          <w:tcPr>
            <w:tcW w:w="1460" w:type="dxa"/>
            <w:vAlign w:val="bottom"/>
            <w:tcBorders>
              <w:left w:val="single" w:sz="8" w:color="auto"/>
            </w:tcBorders>
          </w:tcPr>
          <w:p>
            <w:pPr>
              <w:jc w:val="center"/>
              <w:spacing w:after="0"/>
              <w:rPr>
                <w:sz w:val="20"/>
                <w:szCs w:val="20"/>
                <w:color w:val="auto"/>
              </w:rPr>
            </w:pPr>
            <w:r>
              <w:rPr>
                <w:rFonts w:ascii="Arial" w:cs="Arial" w:eastAsia="Arial" w:hAnsi="Arial"/>
                <w:sz w:val="11"/>
                <w:szCs w:val="11"/>
                <w:color w:val="auto"/>
                <w:w w:val="89"/>
              </w:rPr>
              <w:t>September</w:t>
            </w:r>
          </w:p>
        </w:tc>
        <w:tc>
          <w:tcPr>
            <w:tcW w:w="960" w:type="dxa"/>
            <w:vAlign w:val="bottom"/>
          </w:tcPr>
          <w:p>
            <w:pPr>
              <w:ind w:left="480"/>
              <w:spacing w:after="0"/>
              <w:rPr>
                <w:sz w:val="20"/>
                <w:szCs w:val="20"/>
                <w:color w:val="auto"/>
              </w:rPr>
            </w:pPr>
            <w:r>
              <w:rPr>
                <w:rFonts w:ascii="Arial" w:cs="Arial" w:eastAsia="Arial" w:hAnsi="Arial"/>
                <w:sz w:val="11"/>
                <w:szCs w:val="11"/>
                <w:color w:val="auto"/>
              </w:rPr>
              <w:t>xxx,xxx</w:t>
            </w:r>
          </w:p>
        </w:tc>
        <w:tc>
          <w:tcPr>
            <w:tcW w:w="960" w:type="dxa"/>
            <w:vAlign w:val="bottom"/>
          </w:tcPr>
          <w:p>
            <w:pPr>
              <w:ind w:left="500"/>
              <w:spacing w:after="0"/>
              <w:rPr>
                <w:sz w:val="20"/>
                <w:szCs w:val="20"/>
                <w:color w:val="auto"/>
              </w:rPr>
            </w:pPr>
            <w:r>
              <w:rPr>
                <w:rFonts w:ascii="Arial" w:cs="Arial" w:eastAsia="Arial" w:hAnsi="Arial"/>
                <w:sz w:val="11"/>
                <w:szCs w:val="11"/>
                <w:color w:val="auto"/>
              </w:rPr>
              <w:t>xxx,xxx</w:t>
            </w:r>
          </w:p>
        </w:tc>
        <w:tc>
          <w:tcPr>
            <w:tcW w:w="1480" w:type="dxa"/>
            <w:vAlign w:val="bottom"/>
            <w:tcBorders>
              <w:right w:val="single" w:sz="8" w:color="auto"/>
            </w:tcBorders>
          </w:tcPr>
          <w:p>
            <w:pPr>
              <w:ind w:left="1100"/>
              <w:spacing w:after="0"/>
              <w:rPr>
                <w:sz w:val="20"/>
                <w:szCs w:val="20"/>
                <w:color w:val="auto"/>
              </w:rPr>
            </w:pPr>
            <w:r>
              <w:rPr>
                <w:rFonts w:ascii="Arial" w:cs="Arial" w:eastAsia="Arial" w:hAnsi="Arial"/>
                <w:sz w:val="11"/>
                <w:szCs w:val="11"/>
                <w:color w:val="auto"/>
              </w:rPr>
              <w:t>xx.xx</w:t>
            </w:r>
          </w:p>
        </w:tc>
      </w:tr>
      <w:tr>
        <w:trPr>
          <w:trHeight w:val="134"/>
        </w:trPr>
        <w:tc>
          <w:tcPr>
            <w:tcW w:w="1460" w:type="dxa"/>
            <w:vAlign w:val="bottom"/>
            <w:tcBorders>
              <w:left w:val="single" w:sz="8" w:color="auto"/>
            </w:tcBorders>
          </w:tcPr>
          <w:p>
            <w:pPr>
              <w:jc w:val="center"/>
              <w:spacing w:after="0"/>
              <w:rPr>
                <w:sz w:val="20"/>
                <w:szCs w:val="20"/>
                <w:color w:val="auto"/>
              </w:rPr>
            </w:pPr>
            <w:r>
              <w:rPr>
                <w:rFonts w:ascii="Arial" w:cs="Arial" w:eastAsia="Arial" w:hAnsi="Arial"/>
                <w:sz w:val="11"/>
                <w:szCs w:val="11"/>
                <w:color w:val="auto"/>
                <w:w w:val="91"/>
              </w:rPr>
              <w:t>October</w:t>
            </w:r>
          </w:p>
        </w:tc>
        <w:tc>
          <w:tcPr>
            <w:tcW w:w="960" w:type="dxa"/>
            <w:vAlign w:val="bottom"/>
          </w:tcPr>
          <w:p>
            <w:pPr>
              <w:ind w:left="480"/>
              <w:spacing w:after="0"/>
              <w:rPr>
                <w:sz w:val="20"/>
                <w:szCs w:val="20"/>
                <w:color w:val="auto"/>
              </w:rPr>
            </w:pPr>
            <w:r>
              <w:rPr>
                <w:rFonts w:ascii="Arial" w:cs="Arial" w:eastAsia="Arial" w:hAnsi="Arial"/>
                <w:sz w:val="11"/>
                <w:szCs w:val="11"/>
                <w:color w:val="auto"/>
              </w:rPr>
              <w:t>xxx,xxx</w:t>
            </w:r>
          </w:p>
        </w:tc>
        <w:tc>
          <w:tcPr>
            <w:tcW w:w="960" w:type="dxa"/>
            <w:vAlign w:val="bottom"/>
          </w:tcPr>
          <w:p>
            <w:pPr>
              <w:ind w:left="500"/>
              <w:spacing w:after="0"/>
              <w:rPr>
                <w:sz w:val="20"/>
                <w:szCs w:val="20"/>
                <w:color w:val="auto"/>
              </w:rPr>
            </w:pPr>
            <w:r>
              <w:rPr>
                <w:rFonts w:ascii="Arial" w:cs="Arial" w:eastAsia="Arial" w:hAnsi="Arial"/>
                <w:sz w:val="11"/>
                <w:szCs w:val="11"/>
                <w:color w:val="auto"/>
              </w:rPr>
              <w:t>xxx,xxx</w:t>
            </w:r>
          </w:p>
        </w:tc>
        <w:tc>
          <w:tcPr>
            <w:tcW w:w="1480" w:type="dxa"/>
            <w:vAlign w:val="bottom"/>
            <w:tcBorders>
              <w:right w:val="single" w:sz="8" w:color="auto"/>
            </w:tcBorders>
          </w:tcPr>
          <w:p>
            <w:pPr>
              <w:ind w:left="1100"/>
              <w:spacing w:after="0"/>
              <w:rPr>
                <w:sz w:val="20"/>
                <w:szCs w:val="20"/>
                <w:color w:val="auto"/>
              </w:rPr>
            </w:pPr>
            <w:r>
              <w:rPr>
                <w:rFonts w:ascii="Arial" w:cs="Arial" w:eastAsia="Arial" w:hAnsi="Arial"/>
                <w:sz w:val="11"/>
                <w:szCs w:val="11"/>
                <w:color w:val="auto"/>
              </w:rPr>
              <w:t>xx.xx</w:t>
            </w:r>
          </w:p>
        </w:tc>
      </w:tr>
      <w:tr>
        <w:trPr>
          <w:trHeight w:val="134"/>
        </w:trPr>
        <w:tc>
          <w:tcPr>
            <w:tcW w:w="1460" w:type="dxa"/>
            <w:vAlign w:val="bottom"/>
            <w:tcBorders>
              <w:left w:val="single" w:sz="8" w:color="auto"/>
            </w:tcBorders>
          </w:tcPr>
          <w:p>
            <w:pPr>
              <w:jc w:val="center"/>
              <w:spacing w:after="0"/>
              <w:rPr>
                <w:sz w:val="20"/>
                <w:szCs w:val="20"/>
                <w:color w:val="auto"/>
              </w:rPr>
            </w:pPr>
            <w:r>
              <w:rPr>
                <w:rFonts w:ascii="Arial" w:cs="Arial" w:eastAsia="Arial" w:hAnsi="Arial"/>
                <w:sz w:val="11"/>
                <w:szCs w:val="11"/>
                <w:color w:val="auto"/>
                <w:w w:val="90"/>
              </w:rPr>
              <w:t>November</w:t>
            </w:r>
          </w:p>
        </w:tc>
        <w:tc>
          <w:tcPr>
            <w:tcW w:w="960" w:type="dxa"/>
            <w:vAlign w:val="bottom"/>
          </w:tcPr>
          <w:p>
            <w:pPr>
              <w:ind w:left="480"/>
              <w:spacing w:after="0"/>
              <w:rPr>
                <w:sz w:val="20"/>
                <w:szCs w:val="20"/>
                <w:color w:val="auto"/>
              </w:rPr>
            </w:pPr>
            <w:r>
              <w:rPr>
                <w:rFonts w:ascii="Arial" w:cs="Arial" w:eastAsia="Arial" w:hAnsi="Arial"/>
                <w:sz w:val="11"/>
                <w:szCs w:val="11"/>
                <w:color w:val="auto"/>
              </w:rPr>
              <w:t>xxx,xxx</w:t>
            </w:r>
          </w:p>
        </w:tc>
        <w:tc>
          <w:tcPr>
            <w:tcW w:w="960" w:type="dxa"/>
            <w:vAlign w:val="bottom"/>
          </w:tcPr>
          <w:p>
            <w:pPr>
              <w:ind w:left="500"/>
              <w:spacing w:after="0"/>
              <w:rPr>
                <w:sz w:val="20"/>
                <w:szCs w:val="20"/>
                <w:color w:val="auto"/>
              </w:rPr>
            </w:pPr>
            <w:r>
              <w:rPr>
                <w:rFonts w:ascii="Arial" w:cs="Arial" w:eastAsia="Arial" w:hAnsi="Arial"/>
                <w:sz w:val="11"/>
                <w:szCs w:val="11"/>
                <w:color w:val="auto"/>
              </w:rPr>
              <w:t>xxx,xxx</w:t>
            </w:r>
          </w:p>
        </w:tc>
        <w:tc>
          <w:tcPr>
            <w:tcW w:w="1480" w:type="dxa"/>
            <w:vAlign w:val="bottom"/>
            <w:tcBorders>
              <w:right w:val="single" w:sz="8" w:color="auto"/>
            </w:tcBorders>
          </w:tcPr>
          <w:p>
            <w:pPr>
              <w:ind w:left="1100"/>
              <w:spacing w:after="0"/>
              <w:rPr>
                <w:sz w:val="20"/>
                <w:szCs w:val="20"/>
                <w:color w:val="auto"/>
              </w:rPr>
            </w:pPr>
            <w:r>
              <w:rPr>
                <w:rFonts w:ascii="Arial" w:cs="Arial" w:eastAsia="Arial" w:hAnsi="Arial"/>
                <w:sz w:val="11"/>
                <w:szCs w:val="11"/>
                <w:color w:val="auto"/>
              </w:rPr>
              <w:t>xx.xx</w:t>
            </w:r>
          </w:p>
        </w:tc>
      </w:tr>
      <w:tr>
        <w:trPr>
          <w:trHeight w:val="137"/>
        </w:trPr>
        <w:tc>
          <w:tcPr>
            <w:tcW w:w="146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w w:val="86"/>
              </w:rPr>
              <w:t>December</w:t>
            </w:r>
          </w:p>
        </w:tc>
        <w:tc>
          <w:tcPr>
            <w:tcW w:w="960" w:type="dxa"/>
            <w:vAlign w:val="bottom"/>
            <w:tcBorders>
              <w:bottom w:val="single" w:sz="8" w:color="auto"/>
            </w:tcBorders>
          </w:tcPr>
          <w:p>
            <w:pPr>
              <w:ind w:left="480"/>
              <w:spacing w:after="0"/>
              <w:rPr>
                <w:sz w:val="20"/>
                <w:szCs w:val="20"/>
                <w:color w:val="auto"/>
              </w:rPr>
            </w:pPr>
            <w:r>
              <w:rPr>
                <w:rFonts w:ascii="Arial" w:cs="Arial" w:eastAsia="Arial" w:hAnsi="Arial"/>
                <w:sz w:val="11"/>
                <w:szCs w:val="11"/>
                <w:color w:val="auto"/>
              </w:rPr>
              <w:t>xxx,xxx</w:t>
            </w:r>
          </w:p>
        </w:tc>
        <w:tc>
          <w:tcPr>
            <w:tcW w:w="9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xxx,xxx</w:t>
            </w:r>
          </w:p>
        </w:tc>
        <w:tc>
          <w:tcPr>
            <w:tcW w:w="14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1"/>
                <w:szCs w:val="11"/>
                <w:color w:val="auto"/>
              </w:rPr>
              <w:t>xx.xx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C-</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ind w:right="3839"/>
        <w:spacing w:after="0"/>
        <w:rPr>
          <w:sz w:val="20"/>
          <w:szCs w:val="20"/>
          <w:color w:val="auto"/>
        </w:rPr>
      </w:pPr>
      <w:r>
        <w:rPr>
          <w:rFonts w:ascii="Arial" w:cs="Arial" w:eastAsia="Arial" w:hAnsi="Arial"/>
          <w:sz w:val="17"/>
          <w:szCs w:val="17"/>
          <w:b w:val="1"/>
          <w:bCs w:val="1"/>
          <w:color w:val="auto"/>
        </w:rPr>
        <w:t>ATTACHMENT D</w:t>
      </w:r>
    </w:p>
    <w:p>
      <w:pPr>
        <w:spacing w:after="0" w:line="200" w:lineRule="exact"/>
        <w:rPr>
          <w:sz w:val="20"/>
          <w:szCs w:val="20"/>
          <w:color w:val="auto"/>
        </w:rPr>
      </w:pPr>
    </w:p>
    <w:p>
      <w:pPr>
        <w:spacing w:after="0" w:line="311"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D-</w:t>
      </w:r>
    </w:p>
    <w:p>
      <w:pPr>
        <w:sectPr>
          <w:pgSz w:w="11900" w:h="16838" w:orient="portrait"/>
          <w:cols w:equalWidth="0" w:num="1">
            <w:col w:w="10239"/>
          </w:cols>
          <w:pgMar w:left="220" w:top="495" w:right="1440" w:bottom="1440" w:gutter="0" w:footer="0" w:header="0"/>
        </w:sectPr>
      </w:pPr>
    </w:p>
    <w:bookmarkStart w:id="160" w:name="page161"/>
    <w:bookmarkEnd w:id="160"/>
    <w:p>
      <w:pPr>
        <w:jc w:val="center"/>
        <w:spacing w:after="0"/>
        <w:rPr>
          <w:sz w:val="20"/>
          <w:szCs w:val="20"/>
          <w:color w:val="auto"/>
        </w:rPr>
      </w:pPr>
      <w:r>
        <w:rPr>
          <w:rFonts w:ascii="Arial" w:cs="Arial" w:eastAsia="Arial" w:hAnsi="Arial"/>
          <w:sz w:val="17"/>
          <w:szCs w:val="17"/>
          <w:b w:val="1"/>
          <w:bCs w:val="1"/>
          <w:color w:val="auto"/>
        </w:rPr>
        <w:t>ATTACHMENT 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SAN DIEGO GAS &amp; ELECTRIC COMPANY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ADDITIONAL PROVISIONS</w:t>
      </w:r>
    </w:p>
    <w:p>
      <w:pPr>
        <w:spacing w:after="0" w:line="150" w:lineRule="exact"/>
        <w:rPr>
          <w:sz w:val="20"/>
          <w:szCs w:val="20"/>
          <w:color w:val="auto"/>
        </w:rPr>
      </w:pPr>
    </w:p>
    <w:p>
      <w:pPr>
        <w:jc w:val="both"/>
        <w:ind w:firstLine="3"/>
        <w:spacing w:after="0" w:line="301" w:lineRule="auto"/>
        <w:tabs>
          <w:tab w:leader="none" w:pos="496" w:val="left"/>
        </w:tabs>
        <w:numPr>
          <w:ilvl w:val="0"/>
          <w:numId w:val="238"/>
        </w:numPr>
        <w:rPr>
          <w:rFonts w:ascii="Arial" w:cs="Arial" w:eastAsia="Arial" w:hAnsi="Arial"/>
          <w:sz w:val="14"/>
          <w:szCs w:val="14"/>
          <w:color w:val="auto"/>
        </w:rPr>
      </w:pPr>
      <w:r>
        <w:rPr>
          <w:rFonts w:ascii="Arial" w:cs="Arial" w:eastAsia="Arial" w:hAnsi="Arial"/>
          <w:sz w:val="14"/>
          <w:szCs w:val="14"/>
          <w:color w:val="auto"/>
        </w:rPr>
        <w:t>The Restated Letter Agreement between San Diego Gas &amp; Electric Company (SDG&amp;E) and the California Department of Water Resources (DWR), dated June 18, 2001, as it may be amended or modified from time to time (the “Restated Letter Agreement”). The Restated Letter Agreement provides for continued DWR procurement for SDG&amp;E customers of SDG&amp;E’s “full net short” (consisting of substantially all of the power and ancillary services not provided by SDG&amp;E’s retained generation) through December 31, 2002. The reference to the Restated Letter Agreement in this Attachment E provides no independent basis for enforcement of the Restated Letter Agreement.</w:t>
      </w:r>
    </w:p>
    <w:p>
      <w:pPr>
        <w:spacing w:after="0" w:line="101" w:lineRule="exact"/>
        <w:rPr>
          <w:rFonts w:ascii="Arial" w:cs="Arial" w:eastAsia="Arial" w:hAnsi="Arial"/>
          <w:sz w:val="14"/>
          <w:szCs w:val="14"/>
          <w:color w:val="auto"/>
        </w:rPr>
      </w:pPr>
    </w:p>
    <w:p>
      <w:pPr>
        <w:jc w:val="both"/>
        <w:ind w:firstLine="3"/>
        <w:spacing w:after="0" w:line="291" w:lineRule="auto"/>
        <w:tabs>
          <w:tab w:leader="none" w:pos="496" w:val="left"/>
        </w:tabs>
        <w:numPr>
          <w:ilvl w:val="0"/>
          <w:numId w:val="238"/>
        </w:numPr>
        <w:rPr>
          <w:rFonts w:ascii="Arial" w:cs="Arial" w:eastAsia="Arial" w:hAnsi="Arial"/>
          <w:sz w:val="14"/>
          <w:szCs w:val="14"/>
          <w:color w:val="auto"/>
        </w:rPr>
      </w:pPr>
      <w:r>
        <w:rPr>
          <w:rFonts w:ascii="Arial" w:cs="Arial" w:eastAsia="Arial" w:hAnsi="Arial"/>
          <w:sz w:val="14"/>
          <w:szCs w:val="14"/>
          <w:color w:val="auto"/>
        </w:rPr>
        <w:t>Memorandum of Understanding (MOU) with the California Department of Water Resources (DWR), dated June 18, 2001, San Diego Gas &amp; Electric Company (SDG&amp;E) and its parent Company, Sempra Energy. The MOU contemplates the implementation of a series transactions and regulatory settlements and actions to resolve many of the issues affecting SDG&amp;E and its customers arising out of the California energy crisis. The MOU contemplates, among other matters, the sale of SDG&amp;E’s transmission system to DWR or another state agency. The MOU also contemplates that DWR’s net-short procurement obligations contained in the Restated Letter Agreement are subject to earlier termination upon the satisfaction of regulatory and other conditions intended to assure SDG&amp;E’s timely recovery of costs incurred in resuming power procurement for its customers. The reference to the MOU in this Attachment E provides no independent basis for enforcement of the MOU.</w:t>
      </w:r>
    </w:p>
    <w:p>
      <w:pPr>
        <w:spacing w:after="0" w:line="100" w:lineRule="exact"/>
        <w:rPr>
          <w:rFonts w:ascii="Arial" w:cs="Arial" w:eastAsia="Arial" w:hAnsi="Arial"/>
          <w:sz w:val="14"/>
          <w:szCs w:val="14"/>
          <w:color w:val="auto"/>
        </w:rPr>
      </w:pPr>
    </w:p>
    <w:p>
      <w:pPr>
        <w:jc w:val="both"/>
        <w:ind w:firstLine="3"/>
        <w:spacing w:after="0" w:line="313" w:lineRule="auto"/>
        <w:tabs>
          <w:tab w:leader="none" w:pos="496" w:val="left"/>
        </w:tabs>
        <w:numPr>
          <w:ilvl w:val="0"/>
          <w:numId w:val="238"/>
        </w:numPr>
        <w:rPr>
          <w:rFonts w:ascii="Arial" w:cs="Arial" w:eastAsia="Arial" w:hAnsi="Arial"/>
          <w:sz w:val="14"/>
          <w:szCs w:val="14"/>
          <w:color w:val="auto"/>
        </w:rPr>
      </w:pPr>
      <w:r>
        <w:rPr>
          <w:rFonts w:ascii="Arial" w:cs="Arial" w:eastAsia="Arial" w:hAnsi="Arial"/>
          <w:sz w:val="14"/>
          <w:szCs w:val="14"/>
          <w:color w:val="auto"/>
        </w:rPr>
        <w:t>Letter Agreement between the California Department of Water Resources (DWR) and San Diego Gas &amp; Electric Company (SDG&amp;E). This Letter Agreement provides for the payment of SDG&amp;E’s costs to (i) implement and maintain a billing system to remit customer payments to DWR, (ii) implement the 20/20 program, and (iii) implement load curtailment programs under Assembly Bill (AB) IX, related Executive Orders, and California Public Utilities Commission (CPUC) orders and decisions.</w:t>
      </w:r>
    </w:p>
    <w:p>
      <w:pPr>
        <w:spacing w:after="0" w:line="83" w:lineRule="exact"/>
        <w:rPr>
          <w:rFonts w:ascii="Arial" w:cs="Arial" w:eastAsia="Arial" w:hAnsi="Arial"/>
          <w:sz w:val="14"/>
          <w:szCs w:val="14"/>
          <w:color w:val="auto"/>
        </w:rPr>
      </w:pPr>
    </w:p>
    <w:p>
      <w:pPr>
        <w:jc w:val="both"/>
        <w:ind w:firstLine="3"/>
        <w:spacing w:after="0" w:line="289" w:lineRule="auto"/>
        <w:tabs>
          <w:tab w:leader="none" w:pos="496" w:val="left"/>
        </w:tabs>
        <w:numPr>
          <w:ilvl w:val="0"/>
          <w:numId w:val="238"/>
        </w:numPr>
        <w:rPr>
          <w:rFonts w:ascii="Arial" w:cs="Arial" w:eastAsia="Arial" w:hAnsi="Arial"/>
          <w:sz w:val="14"/>
          <w:szCs w:val="14"/>
          <w:color w:val="auto"/>
        </w:rPr>
      </w:pPr>
      <w:r>
        <w:rPr>
          <w:rFonts w:ascii="Arial" w:cs="Arial" w:eastAsia="Arial" w:hAnsi="Arial"/>
          <w:sz w:val="14"/>
          <w:szCs w:val="14"/>
          <w:color w:val="auto"/>
        </w:rPr>
        <w:t>Notwithstanding (i) the terms, execution or operation of the Servicing Order, (ii) the approval of, any modification to, or any other action taken with respect to or having an effect on the Servicing Order by the Commission or any other Governmental Authority, or (iii) any other action taken by a Governmental Authority, Utility hereby reserves all rights (if any) in any forum to contest, oppose, appeal, comment on, or otherwise seek to revisit, alter, modify or set aside any present or future decisions, orders, opinions, rulings, or actions or omissions to act by the Commission or any other Governmental Authority, whether in draft, interim or final form, arising out of, relating to, or connected with (x) the calculation of DWR Charges or DWR Revenues and the allocation of costs and amounts of electric capacity and output among the customers of electrical corporations, (y) the interpretation and/or legality of Applicable Law or Applicable Orders, or (z) remittance of such calculated amounts by Utility to DWR or its Assign(s) under Applicable Law or Applicable Commission Orders in a manner inconsistent with this Servicing Order or Utility’s ability to perform its utility functions.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w:t>
      </w:r>
    </w:p>
    <w:p>
      <w:pPr>
        <w:sectPr>
          <w:pgSz w:w="11900" w:h="16838" w:orient="portrait"/>
          <w:cols w:equalWidth="0" w:num="1">
            <w:col w:w="11460"/>
          </w:cols>
          <w:pgMar w:left="220" w:top="491" w:right="21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7"/>
          <w:szCs w:val="17"/>
          <w:b w:val="1"/>
          <w:bCs w:val="1"/>
          <w:color w:val="auto"/>
        </w:rPr>
        <w:t>ATTACHMENT F</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SAN DIEGO GAS &amp; ELECTRIC COMPANY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CALCULATION METHODOLOGY FOR REDUCED REMITTANCES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20/20 PROGRAM</w:t>
      </w:r>
    </w:p>
    <w:p>
      <w:pPr>
        <w:spacing w:after="0" w:line="150" w:lineRule="exact"/>
        <w:rPr>
          <w:sz w:val="20"/>
          <w:szCs w:val="20"/>
          <w:color w:val="auto"/>
        </w:rPr>
      </w:pPr>
    </w:p>
    <w:p>
      <w:pPr>
        <w:ind w:left="500" w:hanging="497"/>
        <w:spacing w:after="0"/>
        <w:tabs>
          <w:tab w:leader="none" w:pos="50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Reimbursement of 20/20 Rebate Costs</w:t>
      </w:r>
    </w:p>
    <w:p>
      <w:pPr>
        <w:spacing w:after="0" w:line="155" w:lineRule="exact"/>
        <w:rPr>
          <w:rFonts w:ascii="Arial" w:cs="Arial" w:eastAsia="Arial" w:hAnsi="Arial"/>
          <w:sz w:val="17"/>
          <w:szCs w:val="17"/>
          <w:color w:val="auto"/>
        </w:rPr>
      </w:pPr>
    </w:p>
    <w:p>
      <w:pPr>
        <w:ind w:left="1000" w:hanging="501"/>
        <w:spacing w:after="0"/>
        <w:tabs>
          <w:tab w:leader="none" w:pos="1000" w:val="left"/>
        </w:tabs>
        <w:numPr>
          <w:ilvl w:val="1"/>
          <w:numId w:val="239"/>
        </w:numPr>
        <w:rPr>
          <w:rFonts w:ascii="Arial" w:cs="Arial" w:eastAsia="Arial" w:hAnsi="Arial"/>
          <w:sz w:val="17"/>
          <w:szCs w:val="17"/>
          <w:color w:val="auto"/>
        </w:rPr>
      </w:pPr>
      <w:r>
        <w:rPr>
          <w:rFonts w:ascii="Arial" w:cs="Arial" w:eastAsia="Arial" w:hAnsi="Arial"/>
          <w:sz w:val="17"/>
          <w:szCs w:val="17"/>
          <w:color w:val="auto"/>
        </w:rPr>
        <w:t>DWR agrees that Utility shall recover the amount of customer credits under the 20/20 Program as follows:</w:t>
      </w:r>
    </w:p>
    <w:p>
      <w:pPr>
        <w:spacing w:after="0" w:line="145" w:lineRule="exact"/>
        <w:rPr>
          <w:rFonts w:ascii="Arial" w:cs="Arial" w:eastAsia="Arial" w:hAnsi="Arial"/>
          <w:sz w:val="17"/>
          <w:szCs w:val="17"/>
          <w:color w:val="auto"/>
        </w:rPr>
      </w:pPr>
    </w:p>
    <w:p>
      <w:pPr>
        <w:jc w:val="both"/>
        <w:ind w:firstLine="995"/>
        <w:spacing w:after="0" w:line="237" w:lineRule="auto"/>
        <w:tabs>
          <w:tab w:leader="none" w:pos="1488" w:val="left"/>
        </w:tabs>
        <w:numPr>
          <w:ilvl w:val="2"/>
          <w:numId w:val="239"/>
        </w:numPr>
        <w:rPr>
          <w:rFonts w:ascii="Arial" w:cs="Arial" w:eastAsia="Arial" w:hAnsi="Arial"/>
          <w:sz w:val="17"/>
          <w:szCs w:val="17"/>
          <w:color w:val="auto"/>
        </w:rPr>
      </w:pPr>
      <w:r>
        <w:rPr>
          <w:rFonts w:ascii="Arial" w:cs="Arial" w:eastAsia="Arial" w:hAnsi="Arial"/>
          <w:sz w:val="17"/>
          <w:szCs w:val="17"/>
          <w:color w:val="auto"/>
        </w:rPr>
        <w:t>Under the remittance provision of Attachment B of this Servicing Order, Utility shall reduce any remittances to DWR under the Act or the California Public Utilities Commission (CPUC) Resolution E-3770 by the daily amount equal to the total of such customer credits on the following Business Day after the presentation of credits on customer bill.</w:t>
      </w:r>
    </w:p>
    <w:p>
      <w:pPr>
        <w:spacing w:after="0" w:line="134" w:lineRule="exact"/>
        <w:rPr>
          <w:rFonts w:ascii="Arial" w:cs="Arial" w:eastAsia="Arial" w:hAnsi="Arial"/>
          <w:sz w:val="17"/>
          <w:szCs w:val="17"/>
          <w:color w:val="auto"/>
        </w:rPr>
      </w:pPr>
    </w:p>
    <w:p>
      <w:pPr>
        <w:jc w:val="both"/>
        <w:ind w:firstLine="995"/>
        <w:spacing w:after="0" w:line="234" w:lineRule="auto"/>
        <w:tabs>
          <w:tab w:leader="none" w:pos="1488" w:val="left"/>
        </w:tabs>
        <w:numPr>
          <w:ilvl w:val="2"/>
          <w:numId w:val="239"/>
        </w:numPr>
        <w:rPr>
          <w:rFonts w:ascii="Arial" w:cs="Arial" w:eastAsia="Arial" w:hAnsi="Arial"/>
          <w:sz w:val="17"/>
          <w:szCs w:val="17"/>
          <w:color w:val="auto"/>
        </w:rPr>
      </w:pPr>
      <w:r>
        <w:rPr>
          <w:rFonts w:ascii="Arial" w:cs="Arial" w:eastAsia="Arial" w:hAnsi="Arial"/>
          <w:sz w:val="17"/>
          <w:szCs w:val="17"/>
          <w:color w:val="auto"/>
        </w:rPr>
        <w:t>If the amount that Utility is entitled to offset on any day exceeds the funds otherwise due to DWR, the balance will be carried over to the next day. If it appears that the amount Utility is entitled to offset will exceed the funds due to DWR for more than 3 consecutive days, then Utility will invoice DWR with an estimate of the amount due to Utility. DWR will pay such invoice within 1 Business Day of receipt. For purposes of this Attachment F, the credits or payments shall refer to the 20 percent reduction applied to customers’ total net electric charges (including applicable rate surcharges), and shall include credits or payments made to resolve Customer disputes or reflect corrected bills following the end of the program.</w:t>
      </w:r>
    </w:p>
    <w:p>
      <w:pPr>
        <w:spacing w:after="0" w:line="142" w:lineRule="exact"/>
        <w:rPr>
          <w:rFonts w:ascii="Arial" w:cs="Arial" w:eastAsia="Arial" w:hAnsi="Arial"/>
          <w:sz w:val="17"/>
          <w:szCs w:val="17"/>
          <w:color w:val="auto"/>
        </w:rPr>
      </w:pPr>
    </w:p>
    <w:p>
      <w:pPr>
        <w:ind w:left="500" w:hanging="497"/>
        <w:spacing w:after="0"/>
        <w:tabs>
          <w:tab w:leader="none" w:pos="50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Customer credits under the 20/20 Program will be applied to Customer accounts as follows:</w:t>
      </w:r>
    </w:p>
    <w:p>
      <w:pPr>
        <w:spacing w:after="0" w:line="156" w:lineRule="exact"/>
        <w:rPr>
          <w:sz w:val="20"/>
          <w:szCs w:val="20"/>
          <w:color w:val="auto"/>
        </w:rPr>
      </w:pPr>
    </w:p>
    <w:p>
      <w:pPr>
        <w:jc w:val="both"/>
        <w:ind w:firstLine="496"/>
        <w:spacing w:after="0" w:line="237" w:lineRule="auto"/>
        <w:rPr>
          <w:sz w:val="20"/>
          <w:szCs w:val="20"/>
          <w:color w:val="auto"/>
        </w:rPr>
      </w:pPr>
      <w:r>
        <w:rPr>
          <w:rFonts w:ascii="Arial" w:cs="Arial" w:eastAsia="Arial" w:hAnsi="Arial"/>
          <w:sz w:val="17"/>
          <w:szCs w:val="17"/>
          <w:color w:val="auto"/>
        </w:rPr>
        <w:t>Customer credits under the 20/20/ Program will be applied to customer accounts at time of billing and allocated to DWR according to the same payment posting priority set forth in Attachment B, Section G. In those instances in which the credit exceeds the outstanding charges, the excess credit will remain on the account and be applied to future charges in the same manner.</w:t>
      </w:r>
    </w:p>
    <w:p>
      <w:pPr>
        <w:spacing w:after="0" w:line="134" w:lineRule="exact"/>
        <w:rPr>
          <w:sz w:val="20"/>
          <w:szCs w:val="20"/>
          <w:color w:val="auto"/>
        </w:rPr>
      </w:pPr>
    </w:p>
    <w:p>
      <w:pPr>
        <w:ind w:left="500" w:hanging="497"/>
        <w:spacing w:after="0"/>
        <w:tabs>
          <w:tab w:leader="none" w:pos="50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Reimbursement of 20/20 Program Implementation Costs</w:t>
      </w:r>
    </w:p>
    <w:p>
      <w:pPr>
        <w:spacing w:after="0" w:line="156" w:lineRule="exact"/>
        <w:rPr>
          <w:sz w:val="20"/>
          <w:szCs w:val="20"/>
          <w:color w:val="auto"/>
        </w:rPr>
      </w:pPr>
    </w:p>
    <w:p>
      <w:pPr>
        <w:jc w:val="both"/>
        <w:ind w:firstLine="496"/>
        <w:spacing w:after="0" w:line="235" w:lineRule="auto"/>
        <w:rPr>
          <w:sz w:val="20"/>
          <w:szCs w:val="20"/>
          <w:color w:val="auto"/>
        </w:rPr>
      </w:pPr>
      <w:r>
        <w:rPr>
          <w:rFonts w:ascii="Arial" w:cs="Arial" w:eastAsia="Arial" w:hAnsi="Arial"/>
          <w:sz w:val="17"/>
          <w:szCs w:val="17"/>
          <w:color w:val="auto"/>
        </w:rPr>
        <w:t>DWR agrees to pay to Utility an implementation fee and recurring fees in order to cover Utility’s reasonable development and on-going costs for the procedures, systems and mechanisms that are necessary to implement and support the 20/20 Program. Utility shall invoice DWR for payment of the implementation fee and recurring fees with reasonable supporting documentation in accordance with Section 7.2 of the Servicing Order. Final invoice to be submitted to DWR no later than February 28, 2003.</w:t>
      </w:r>
    </w:p>
    <w:p>
      <w:pPr>
        <w:spacing w:after="0" w:line="134" w:lineRule="exact"/>
        <w:rPr>
          <w:sz w:val="20"/>
          <w:szCs w:val="20"/>
          <w:color w:val="auto"/>
        </w:rPr>
      </w:pPr>
    </w:p>
    <w:p>
      <w:pPr>
        <w:ind w:left="500" w:hanging="497"/>
        <w:spacing w:after="0"/>
        <w:tabs>
          <w:tab w:leader="none" w:pos="50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Estimated Costs:</w:t>
      </w:r>
    </w:p>
    <w:p>
      <w:pPr>
        <w:spacing w:after="0" w:line="155" w:lineRule="exact"/>
        <w:rPr>
          <w:rFonts w:ascii="Arial" w:cs="Arial" w:eastAsia="Arial" w:hAnsi="Arial"/>
          <w:sz w:val="17"/>
          <w:szCs w:val="17"/>
          <w:color w:val="auto"/>
        </w:rPr>
      </w:pPr>
    </w:p>
    <w:p>
      <w:pPr>
        <w:ind w:firstLine="496"/>
        <w:spacing w:after="0" w:line="245" w:lineRule="auto"/>
        <w:rPr>
          <w:rFonts w:ascii="Arial" w:cs="Arial" w:eastAsia="Arial" w:hAnsi="Arial"/>
          <w:sz w:val="17"/>
          <w:szCs w:val="17"/>
          <w:color w:val="auto"/>
        </w:rPr>
      </w:pPr>
      <w:r>
        <w:rPr>
          <w:rFonts w:ascii="Arial" w:cs="Arial" w:eastAsia="Arial" w:hAnsi="Arial"/>
          <w:sz w:val="17"/>
          <w:szCs w:val="17"/>
          <w:color w:val="auto"/>
        </w:rPr>
        <w:t>l. The intent is to reimburse the actual, incremental costs incurred by SDG&amp;E. SDG&amp;E will exercise reasonable commercial efforts in managing their operations to minimize costs and keep within the budgeted costs shown in the table below.</w:t>
      </w:r>
    </w:p>
    <w:p>
      <w:pPr>
        <w:spacing w:after="0" w:line="128" w:lineRule="exact"/>
        <w:rPr>
          <w:sz w:val="20"/>
          <w:szCs w:val="20"/>
          <w:color w:val="auto"/>
        </w:rPr>
      </w:pPr>
    </w:p>
    <w:p>
      <w:pPr>
        <w:ind w:firstLine="499"/>
        <w:spacing w:after="0" w:line="245" w:lineRule="auto"/>
        <w:tabs>
          <w:tab w:leader="none" w:pos="992" w:val="left"/>
        </w:tabs>
        <w:numPr>
          <w:ilvl w:val="0"/>
          <w:numId w:val="242"/>
        </w:numPr>
        <w:rPr>
          <w:rFonts w:ascii="Arial" w:cs="Arial" w:eastAsia="Arial" w:hAnsi="Arial"/>
          <w:sz w:val="17"/>
          <w:szCs w:val="17"/>
          <w:color w:val="auto"/>
        </w:rPr>
      </w:pPr>
      <w:r>
        <w:rPr>
          <w:rFonts w:ascii="Arial" w:cs="Arial" w:eastAsia="Arial" w:hAnsi="Arial"/>
          <w:sz w:val="17"/>
          <w:szCs w:val="17"/>
          <w:color w:val="auto"/>
        </w:rPr>
        <w:t>SDG&amp;E shall invoice DWR after a 20/20 Program implementation activity described below has been completed and will undertake reasonable commercial efforts to track and keep costs within the estimated costs shown in this Attachment F.</w:t>
      </w:r>
    </w:p>
    <w:p>
      <w:pPr>
        <w:spacing w:after="0" w:line="128" w:lineRule="exact"/>
        <w:rPr>
          <w:rFonts w:ascii="Arial" w:cs="Arial" w:eastAsia="Arial" w:hAnsi="Arial"/>
          <w:sz w:val="17"/>
          <w:szCs w:val="17"/>
          <w:color w:val="auto"/>
        </w:rPr>
      </w:pPr>
    </w:p>
    <w:p>
      <w:pPr>
        <w:ind w:left="1000" w:hanging="501"/>
        <w:spacing w:after="0"/>
        <w:tabs>
          <w:tab w:leader="none" w:pos="100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SDG&amp;E will invoice DWR based on actual costs and provide DWR with an invoice itemizing and documenting such costs.</w:t>
      </w:r>
    </w:p>
    <w:p>
      <w:pPr>
        <w:spacing w:after="0" w:line="155" w:lineRule="exact"/>
        <w:rPr>
          <w:rFonts w:ascii="Arial" w:cs="Arial" w:eastAsia="Arial" w:hAnsi="Arial"/>
          <w:sz w:val="17"/>
          <w:szCs w:val="17"/>
          <w:color w:val="auto"/>
        </w:rPr>
      </w:pPr>
    </w:p>
    <w:p>
      <w:pPr>
        <w:jc w:val="both"/>
        <w:ind w:firstLine="499"/>
        <w:spacing w:after="0" w:line="291" w:lineRule="auto"/>
        <w:tabs>
          <w:tab w:leader="none" w:pos="992" w:val="left"/>
        </w:tabs>
        <w:numPr>
          <w:ilvl w:val="0"/>
          <w:numId w:val="242"/>
        </w:numPr>
        <w:rPr>
          <w:rFonts w:ascii="Arial" w:cs="Arial" w:eastAsia="Arial" w:hAnsi="Arial"/>
          <w:sz w:val="14"/>
          <w:szCs w:val="14"/>
          <w:color w:val="auto"/>
        </w:rPr>
      </w:pPr>
      <w:r>
        <w:rPr>
          <w:rFonts w:ascii="Arial" w:cs="Arial" w:eastAsia="Arial" w:hAnsi="Arial"/>
          <w:sz w:val="14"/>
          <w:szCs w:val="14"/>
          <w:color w:val="auto"/>
        </w:rPr>
        <w:t>With the exception of Customer Service Representative calls, SDG&amp;E is unable to track, itemize and document costs for Customer Bill Inquiries without undertaking extensive system programming and hardware upgrades. Specifically, these types of inquiries include field calls, meter re-reads, re-bills and meter tests. Based on 2001 20/20 Program activity levels, SDG&amp;E does not anticipate any incremental increase in costs for these activities. Accordingly, SDG&amp;E has not included cost estimates for these types of Customer Bill Inquiries in the table below. However, DWR agrees that if SDG&amp;E should experience a significant increase in activity levels for the types of customer bill inquiries described above, SDG&amp;E will notify DWR and provide to DWR documentation reasonably necessary to establish such activity levels. SDG&amp;E and DWR shall negotiate a mutually acceptable adjustment based on an estimate of reasonable costs for the applicable increased Customer Bill Inquiries.</w:t>
      </w:r>
    </w:p>
    <w:p>
      <w:pPr>
        <w:spacing w:after="0" w:line="131" w:lineRule="exact"/>
        <w:rPr>
          <w:sz w:val="20"/>
          <w:szCs w:val="20"/>
          <w:color w:val="auto"/>
        </w:rPr>
      </w:pPr>
    </w:p>
    <w:tbl>
      <w:tblPr>
        <w:tblLayout w:type="fixed"/>
        <w:tblInd w:w="1980" w:type="dxa"/>
        <w:tblCellMar>
          <w:top w:w="0" w:type="dxa"/>
          <w:left w:w="0" w:type="dxa"/>
          <w:bottom w:w="0" w:type="dxa"/>
          <w:right w:w="0" w:type="dxa"/>
        </w:tblCellMar>
      </w:tblPr>
      <w:tr>
        <w:trPr>
          <w:trHeight w:val="195"/>
        </w:trPr>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80" w:type="dxa"/>
            <w:vAlign w:val="bottom"/>
            <w:gridSpan w:val="6"/>
          </w:tcPr>
          <w:p>
            <w:pPr>
              <w:ind w:left="380"/>
              <w:spacing w:after="0"/>
              <w:rPr>
                <w:sz w:val="20"/>
                <w:szCs w:val="20"/>
                <w:color w:val="auto"/>
              </w:rPr>
            </w:pPr>
            <w:r>
              <w:rPr>
                <w:rFonts w:ascii="Arial" w:cs="Arial" w:eastAsia="Arial" w:hAnsi="Arial"/>
                <w:sz w:val="15"/>
                <w:szCs w:val="15"/>
                <w:b w:val="1"/>
                <w:bCs w:val="1"/>
                <w:color w:val="auto"/>
              </w:rPr>
              <w:t>Estimated DWR / 20/20 Rebate Program Budgeted Costs</w:t>
            </w:r>
          </w:p>
        </w:tc>
        <w:tc>
          <w:tcPr>
            <w:tcW w:w="1380" w:type="dxa"/>
            <w:vAlign w:val="bottom"/>
          </w:tcPr>
          <w:p>
            <w:pPr>
              <w:spacing w:after="0"/>
              <w:rPr>
                <w:sz w:val="16"/>
                <w:szCs w:val="16"/>
                <w:color w:val="auto"/>
              </w:rPr>
            </w:pPr>
          </w:p>
        </w:tc>
      </w:tr>
      <w:tr>
        <w:trPr>
          <w:trHeight w:val="248"/>
        </w:trPr>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80" w:type="dxa"/>
            <w:vAlign w:val="bottom"/>
          </w:tcPr>
          <w:p>
            <w:pPr>
              <w:jc w:val="right"/>
              <w:ind w:right="644"/>
              <w:spacing w:after="0"/>
              <w:rPr>
                <w:sz w:val="20"/>
                <w:szCs w:val="20"/>
                <w:color w:val="auto"/>
              </w:rPr>
            </w:pPr>
            <w:r>
              <w:rPr>
                <w:rFonts w:ascii="Arial" w:cs="Arial" w:eastAsia="Arial" w:hAnsi="Arial"/>
                <w:sz w:val="15"/>
                <w:szCs w:val="15"/>
                <w:color w:val="auto"/>
              </w:rPr>
              <w:t>2002</w:t>
            </w:r>
          </w:p>
        </w:tc>
      </w:tr>
      <w:tr>
        <w:trPr>
          <w:trHeight w:val="229"/>
        </w:trPr>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gridSpan w:val="3"/>
          </w:tcPr>
          <w:p>
            <w:pPr>
              <w:jc w:val="center"/>
              <w:ind w:left="104"/>
              <w:spacing w:after="0"/>
              <w:rPr>
                <w:sz w:val="20"/>
                <w:szCs w:val="20"/>
                <w:color w:val="auto"/>
              </w:rPr>
            </w:pPr>
            <w:r>
              <w:rPr>
                <w:rFonts w:ascii="Arial" w:cs="Arial" w:eastAsia="Arial" w:hAnsi="Arial"/>
                <w:sz w:val="15"/>
                <w:szCs w:val="15"/>
                <w:b w:val="1"/>
                <w:bCs w:val="1"/>
                <w:color w:val="auto"/>
                <w:w w:val="95"/>
              </w:rPr>
              <w:t>Quantity or Unit</w:t>
            </w: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161"/>
        </w:trPr>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Borders>
              <w:bottom w:val="single" w:sz="8" w:color="auto"/>
            </w:tcBorders>
          </w:tcPr>
          <w:p>
            <w:pPr>
              <w:spacing w:after="0" w:line="161" w:lineRule="exact"/>
              <w:rPr>
                <w:sz w:val="20"/>
                <w:szCs w:val="20"/>
                <w:color w:val="auto"/>
              </w:rPr>
            </w:pPr>
            <w:r>
              <w:rPr>
                <w:rFonts w:ascii="Arial" w:cs="Arial" w:eastAsia="Arial" w:hAnsi="Arial"/>
                <w:sz w:val="15"/>
                <w:szCs w:val="15"/>
                <w:b w:val="1"/>
                <w:bCs w:val="1"/>
                <w:color w:val="auto"/>
                <w:w w:val="87"/>
              </w:rPr>
              <w:t>Expense Items</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Borders>
              <w:bottom w:val="single" w:sz="8" w:color="auto"/>
            </w:tcBorders>
          </w:tcPr>
          <w:p>
            <w:pPr>
              <w:jc w:val="center"/>
              <w:spacing w:after="0" w:line="161" w:lineRule="exact"/>
              <w:rPr>
                <w:sz w:val="20"/>
                <w:szCs w:val="20"/>
                <w:color w:val="auto"/>
              </w:rPr>
            </w:pPr>
            <w:r>
              <w:rPr>
                <w:rFonts w:ascii="Arial" w:cs="Arial" w:eastAsia="Arial" w:hAnsi="Arial"/>
                <w:sz w:val="15"/>
                <w:szCs w:val="15"/>
                <w:b w:val="1"/>
                <w:bCs w:val="1"/>
                <w:color w:val="auto"/>
                <w:w w:val="86"/>
              </w:rPr>
              <w:t>Costs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62"/>
        </w:trPr>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1</w:t>
            </w:r>
          </w:p>
        </w:tc>
        <w:tc>
          <w:tcPr>
            <w:tcW w:w="3380" w:type="dxa"/>
            <w:vAlign w:val="bottom"/>
            <w:gridSpan w:val="3"/>
          </w:tcPr>
          <w:p>
            <w:pPr>
              <w:ind w:left="160"/>
              <w:spacing w:after="0"/>
              <w:rPr>
                <w:sz w:val="20"/>
                <w:szCs w:val="20"/>
                <w:color w:val="auto"/>
              </w:rPr>
            </w:pPr>
            <w:r>
              <w:rPr>
                <w:rFonts w:ascii="Arial" w:cs="Arial" w:eastAsia="Arial" w:hAnsi="Arial"/>
                <w:sz w:val="15"/>
                <w:szCs w:val="15"/>
                <w:color w:val="auto"/>
              </w:rPr>
              <w:t>Systems Programming</w:t>
            </w:r>
          </w:p>
        </w:tc>
        <w:tc>
          <w:tcPr>
            <w:tcW w:w="1620" w:type="dxa"/>
            <w:vAlign w:val="bottom"/>
            <w:gridSpan w:val="3"/>
          </w:tcPr>
          <w:p>
            <w:pPr>
              <w:ind w:left="200"/>
              <w:spacing w:after="0"/>
              <w:rPr>
                <w:sz w:val="20"/>
                <w:szCs w:val="20"/>
                <w:color w:val="auto"/>
              </w:rPr>
            </w:pPr>
            <w:r>
              <w:rPr>
                <w:rFonts w:ascii="Arial" w:cs="Arial" w:eastAsia="Arial" w:hAnsi="Arial"/>
                <w:sz w:val="15"/>
                <w:szCs w:val="15"/>
                <w:color w:val="auto"/>
              </w:rPr>
              <w:t>One Time Fee</w:t>
            </w:r>
          </w:p>
        </w:tc>
        <w:tc>
          <w:tcPr>
            <w:tcW w:w="2160" w:type="dxa"/>
            <w:vAlign w:val="bottom"/>
            <w:gridSpan w:val="2"/>
          </w:tcPr>
          <w:p>
            <w:pPr>
              <w:ind w:left="180"/>
              <w:spacing w:after="0"/>
              <w:rPr>
                <w:sz w:val="20"/>
                <w:szCs w:val="20"/>
                <w:color w:val="auto"/>
              </w:rPr>
            </w:pPr>
            <w:r>
              <w:rPr>
                <w:rFonts w:ascii="Arial" w:cs="Arial" w:eastAsia="Arial" w:hAnsi="Arial"/>
                <w:sz w:val="15"/>
                <w:szCs w:val="15"/>
                <w:color w:val="auto"/>
              </w:rPr>
              <w:t>$16,100 - $18,500</w:t>
            </w:r>
          </w:p>
        </w:tc>
      </w:tr>
      <w:tr>
        <w:trPr>
          <w:trHeight w:val="233"/>
        </w:trPr>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2</w:t>
            </w:r>
          </w:p>
        </w:tc>
        <w:tc>
          <w:tcPr>
            <w:tcW w:w="3380" w:type="dxa"/>
            <w:vAlign w:val="bottom"/>
            <w:gridSpan w:val="3"/>
          </w:tcPr>
          <w:p>
            <w:pPr>
              <w:ind w:left="160"/>
              <w:spacing w:after="0"/>
              <w:rPr>
                <w:sz w:val="20"/>
                <w:szCs w:val="20"/>
                <w:color w:val="auto"/>
              </w:rPr>
            </w:pPr>
            <w:r>
              <w:rPr>
                <w:rFonts w:ascii="Arial" w:cs="Arial" w:eastAsia="Arial" w:hAnsi="Arial"/>
                <w:sz w:val="15"/>
                <w:szCs w:val="15"/>
                <w:color w:val="auto"/>
              </w:rPr>
              <w:t>Customer Communications (FAQ Sheets, Bill</w:t>
            </w:r>
          </w:p>
        </w:tc>
        <w:tc>
          <w:tcPr>
            <w:tcW w:w="1620" w:type="dxa"/>
            <w:vAlign w:val="bottom"/>
            <w:gridSpan w:val="3"/>
          </w:tcPr>
          <w:p>
            <w:pPr>
              <w:ind w:left="200"/>
              <w:spacing w:after="0"/>
              <w:rPr>
                <w:sz w:val="20"/>
                <w:szCs w:val="20"/>
                <w:color w:val="auto"/>
              </w:rPr>
            </w:pPr>
            <w:r>
              <w:rPr>
                <w:rFonts w:ascii="Arial" w:cs="Arial" w:eastAsia="Arial" w:hAnsi="Arial"/>
                <w:sz w:val="15"/>
                <w:szCs w:val="15"/>
                <w:color w:val="auto"/>
              </w:rPr>
              <w:t>One Time Fee</w:t>
            </w:r>
          </w:p>
        </w:tc>
        <w:tc>
          <w:tcPr>
            <w:tcW w:w="780" w:type="dxa"/>
            <w:vAlign w:val="bottom"/>
          </w:tcPr>
          <w:p>
            <w:pPr>
              <w:ind w:left="180"/>
              <w:spacing w:after="0"/>
              <w:rPr>
                <w:sz w:val="20"/>
                <w:szCs w:val="20"/>
                <w:color w:val="auto"/>
              </w:rPr>
            </w:pPr>
            <w:r>
              <w:rPr>
                <w:rFonts w:ascii="Arial" w:cs="Arial" w:eastAsia="Arial" w:hAnsi="Arial"/>
                <w:sz w:val="15"/>
                <w:szCs w:val="15"/>
                <w:color w:val="auto"/>
                <w:w w:val="92"/>
              </w:rPr>
              <w:t>$484,750</w:t>
            </w:r>
          </w:p>
        </w:tc>
        <w:tc>
          <w:tcPr>
            <w:tcW w:w="1380" w:type="dxa"/>
            <w:vAlign w:val="bottom"/>
          </w:tcPr>
          <w:p>
            <w:pPr>
              <w:jc w:val="right"/>
              <w:ind w:right="644"/>
              <w:spacing w:after="0"/>
              <w:rPr>
                <w:sz w:val="20"/>
                <w:szCs w:val="20"/>
                <w:color w:val="auto"/>
              </w:rPr>
            </w:pPr>
            <w:r>
              <w:rPr>
                <w:rFonts w:ascii="Arial" w:cs="Arial" w:eastAsia="Arial" w:hAnsi="Arial"/>
                <w:sz w:val="15"/>
                <w:szCs w:val="15"/>
                <w:color w:val="auto"/>
                <w:w w:val="89"/>
              </w:rPr>
              <w:t>- $686,300</w:t>
            </w:r>
          </w:p>
        </w:tc>
      </w:tr>
      <w:tr>
        <w:trPr>
          <w:trHeight w:val="191"/>
        </w:trPr>
        <w:tc>
          <w:tcPr>
            <w:tcW w:w="240" w:type="dxa"/>
            <w:vAlign w:val="bottom"/>
          </w:tcPr>
          <w:p>
            <w:pPr>
              <w:spacing w:after="0"/>
              <w:rPr>
                <w:sz w:val="16"/>
                <w:szCs w:val="16"/>
                <w:color w:val="auto"/>
              </w:rPr>
            </w:pPr>
          </w:p>
        </w:tc>
        <w:tc>
          <w:tcPr>
            <w:tcW w:w="3380" w:type="dxa"/>
            <w:vAlign w:val="bottom"/>
            <w:gridSpan w:val="3"/>
          </w:tcPr>
          <w:p>
            <w:pPr>
              <w:ind w:left="180"/>
              <w:spacing w:after="0"/>
              <w:rPr>
                <w:sz w:val="20"/>
                <w:szCs w:val="20"/>
                <w:color w:val="auto"/>
              </w:rPr>
            </w:pPr>
            <w:r>
              <w:rPr>
                <w:rFonts w:ascii="Arial" w:cs="Arial" w:eastAsia="Arial" w:hAnsi="Arial"/>
                <w:sz w:val="15"/>
                <w:szCs w:val="15"/>
                <w:color w:val="auto"/>
                <w:w w:val="99"/>
              </w:rPr>
              <w:t>Inserts, Mailing Costs &amp; Other Communications)</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48"/>
        </w:trPr>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3</w:t>
            </w:r>
          </w:p>
        </w:tc>
        <w:tc>
          <w:tcPr>
            <w:tcW w:w="3380" w:type="dxa"/>
            <w:vAlign w:val="bottom"/>
            <w:gridSpan w:val="3"/>
          </w:tcPr>
          <w:p>
            <w:pPr>
              <w:ind w:left="160"/>
              <w:spacing w:after="0"/>
              <w:rPr>
                <w:sz w:val="20"/>
                <w:szCs w:val="20"/>
                <w:color w:val="auto"/>
              </w:rPr>
            </w:pPr>
            <w:r>
              <w:rPr>
                <w:rFonts w:ascii="Arial" w:cs="Arial" w:eastAsia="Arial" w:hAnsi="Arial"/>
                <w:sz w:val="15"/>
                <w:szCs w:val="15"/>
                <w:color w:val="auto"/>
              </w:rPr>
              <w:t>Additional Postage for Bill Insert</w:t>
            </w:r>
          </w:p>
        </w:tc>
        <w:tc>
          <w:tcPr>
            <w:tcW w:w="1620" w:type="dxa"/>
            <w:vAlign w:val="bottom"/>
            <w:gridSpan w:val="3"/>
          </w:tcPr>
          <w:p>
            <w:pPr>
              <w:ind w:left="200"/>
              <w:spacing w:after="0"/>
              <w:rPr>
                <w:sz w:val="20"/>
                <w:szCs w:val="20"/>
                <w:color w:val="auto"/>
              </w:rPr>
            </w:pPr>
            <w:r>
              <w:rPr>
                <w:rFonts w:ascii="Arial" w:cs="Arial" w:eastAsia="Arial" w:hAnsi="Arial"/>
                <w:sz w:val="15"/>
                <w:szCs w:val="15"/>
                <w:color w:val="auto"/>
              </w:rPr>
              <w:t>One Time Fee</w:t>
            </w:r>
          </w:p>
        </w:tc>
        <w:tc>
          <w:tcPr>
            <w:tcW w:w="780" w:type="dxa"/>
            <w:vAlign w:val="bottom"/>
          </w:tcPr>
          <w:p>
            <w:pPr>
              <w:ind w:left="180"/>
              <w:spacing w:after="0"/>
              <w:rPr>
                <w:sz w:val="20"/>
                <w:szCs w:val="20"/>
                <w:color w:val="auto"/>
              </w:rPr>
            </w:pPr>
            <w:r>
              <w:rPr>
                <w:rFonts w:ascii="Arial" w:cs="Arial" w:eastAsia="Arial" w:hAnsi="Arial"/>
                <w:sz w:val="15"/>
                <w:szCs w:val="15"/>
                <w:color w:val="auto"/>
                <w:w w:val="92"/>
              </w:rPr>
              <w:t>$280,000</w:t>
            </w:r>
          </w:p>
        </w:tc>
        <w:tc>
          <w:tcPr>
            <w:tcW w:w="1380" w:type="dxa"/>
            <w:vAlign w:val="bottom"/>
          </w:tcPr>
          <w:p>
            <w:pPr>
              <w:jc w:val="right"/>
              <w:ind w:right="644"/>
              <w:spacing w:after="0"/>
              <w:rPr>
                <w:sz w:val="20"/>
                <w:szCs w:val="20"/>
                <w:color w:val="auto"/>
              </w:rPr>
            </w:pPr>
            <w:r>
              <w:rPr>
                <w:rFonts w:ascii="Arial" w:cs="Arial" w:eastAsia="Arial" w:hAnsi="Arial"/>
                <w:sz w:val="15"/>
                <w:szCs w:val="15"/>
                <w:color w:val="auto"/>
                <w:w w:val="89"/>
              </w:rPr>
              <w:t>- $300,000</w:t>
            </w:r>
          </w:p>
        </w:tc>
      </w:tr>
      <w:tr>
        <w:trPr>
          <w:trHeight w:val="233"/>
        </w:trPr>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4</w:t>
            </w:r>
          </w:p>
        </w:tc>
        <w:tc>
          <w:tcPr>
            <w:tcW w:w="3380" w:type="dxa"/>
            <w:vAlign w:val="bottom"/>
            <w:gridSpan w:val="3"/>
          </w:tcPr>
          <w:p>
            <w:pPr>
              <w:ind w:left="160"/>
              <w:spacing w:after="0"/>
              <w:rPr>
                <w:sz w:val="20"/>
                <w:szCs w:val="20"/>
                <w:color w:val="auto"/>
              </w:rPr>
            </w:pPr>
            <w:r>
              <w:rPr>
                <w:rFonts w:ascii="Arial" w:cs="Arial" w:eastAsia="Arial" w:hAnsi="Arial"/>
                <w:sz w:val="15"/>
                <w:szCs w:val="15"/>
                <w:color w:val="auto"/>
              </w:rPr>
              <w:t>Customer Service Representative Calls &amp;</w:t>
            </w:r>
          </w:p>
        </w:tc>
        <w:tc>
          <w:tcPr>
            <w:tcW w:w="1620" w:type="dxa"/>
            <w:vAlign w:val="bottom"/>
            <w:gridSpan w:val="3"/>
          </w:tcPr>
          <w:p>
            <w:pPr>
              <w:ind w:left="200"/>
              <w:spacing w:after="0"/>
              <w:rPr>
                <w:sz w:val="20"/>
                <w:szCs w:val="20"/>
                <w:color w:val="auto"/>
              </w:rPr>
            </w:pPr>
            <w:r>
              <w:rPr>
                <w:rFonts w:ascii="Arial" w:cs="Arial" w:eastAsia="Arial" w:hAnsi="Arial"/>
                <w:sz w:val="15"/>
                <w:szCs w:val="15"/>
                <w:color w:val="auto"/>
              </w:rPr>
              <w:t>Ongoing</w:t>
            </w:r>
          </w:p>
        </w:tc>
        <w:tc>
          <w:tcPr>
            <w:tcW w:w="2160" w:type="dxa"/>
            <w:vAlign w:val="bottom"/>
            <w:gridSpan w:val="2"/>
          </w:tcPr>
          <w:p>
            <w:pPr>
              <w:ind w:left="180"/>
              <w:spacing w:after="0"/>
              <w:rPr>
                <w:sz w:val="20"/>
                <w:szCs w:val="20"/>
                <w:color w:val="auto"/>
              </w:rPr>
            </w:pPr>
            <w:r>
              <w:rPr>
                <w:rFonts w:ascii="Arial" w:cs="Arial" w:eastAsia="Arial" w:hAnsi="Arial"/>
                <w:sz w:val="15"/>
                <w:szCs w:val="15"/>
                <w:color w:val="auto"/>
              </w:rPr>
              <w:t>$35,600 - $47,750</w:t>
            </w:r>
          </w:p>
        </w:tc>
      </w:tr>
      <w:tr>
        <w:trPr>
          <w:trHeight w:val="191"/>
        </w:trPr>
        <w:tc>
          <w:tcPr>
            <w:tcW w:w="240" w:type="dxa"/>
            <w:vAlign w:val="bottom"/>
          </w:tcPr>
          <w:p>
            <w:pPr>
              <w:spacing w:after="0"/>
              <w:rPr>
                <w:sz w:val="16"/>
                <w:szCs w:val="16"/>
                <w:color w:val="auto"/>
              </w:rPr>
            </w:pPr>
          </w:p>
        </w:tc>
        <w:tc>
          <w:tcPr>
            <w:tcW w:w="3380" w:type="dxa"/>
            <w:vAlign w:val="bottom"/>
            <w:gridSpan w:val="3"/>
          </w:tcPr>
          <w:p>
            <w:pPr>
              <w:ind w:left="180"/>
              <w:spacing w:after="0"/>
              <w:rPr>
                <w:sz w:val="20"/>
                <w:szCs w:val="20"/>
                <w:color w:val="auto"/>
              </w:rPr>
            </w:pPr>
            <w:r>
              <w:rPr>
                <w:rFonts w:ascii="Arial" w:cs="Arial" w:eastAsia="Arial" w:hAnsi="Arial"/>
                <w:sz w:val="15"/>
                <w:szCs w:val="15"/>
                <w:color w:val="auto"/>
              </w:rPr>
              <w:t>Training</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48"/>
        </w:trPr>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5</w:t>
            </w:r>
          </w:p>
        </w:tc>
        <w:tc>
          <w:tcPr>
            <w:tcW w:w="3380" w:type="dxa"/>
            <w:vAlign w:val="bottom"/>
            <w:gridSpan w:val="3"/>
          </w:tcPr>
          <w:p>
            <w:pPr>
              <w:ind w:left="160"/>
              <w:spacing w:after="0"/>
              <w:rPr>
                <w:sz w:val="20"/>
                <w:szCs w:val="20"/>
                <w:color w:val="auto"/>
              </w:rPr>
            </w:pPr>
            <w:r>
              <w:rPr>
                <w:rFonts w:ascii="Arial" w:cs="Arial" w:eastAsia="Arial" w:hAnsi="Arial"/>
                <w:sz w:val="15"/>
                <w:szCs w:val="15"/>
                <w:color w:val="auto"/>
              </w:rPr>
              <w:t>Advertising Campaign</w:t>
            </w:r>
          </w:p>
        </w:tc>
        <w:tc>
          <w:tcPr>
            <w:tcW w:w="1620" w:type="dxa"/>
            <w:vAlign w:val="bottom"/>
            <w:gridSpan w:val="3"/>
          </w:tcPr>
          <w:p>
            <w:pPr>
              <w:ind w:left="200"/>
              <w:spacing w:after="0"/>
              <w:rPr>
                <w:sz w:val="20"/>
                <w:szCs w:val="20"/>
                <w:color w:val="auto"/>
              </w:rPr>
            </w:pPr>
            <w:r>
              <w:rPr>
                <w:rFonts w:ascii="Arial" w:cs="Arial" w:eastAsia="Arial" w:hAnsi="Arial"/>
                <w:sz w:val="15"/>
                <w:szCs w:val="15"/>
                <w:color w:val="auto"/>
              </w:rPr>
              <w:t>Ongoing</w:t>
            </w:r>
          </w:p>
        </w:tc>
        <w:tc>
          <w:tcPr>
            <w:tcW w:w="2160" w:type="dxa"/>
            <w:vAlign w:val="bottom"/>
            <w:gridSpan w:val="2"/>
          </w:tcPr>
          <w:p>
            <w:pPr>
              <w:ind w:left="180"/>
              <w:spacing w:after="0"/>
              <w:rPr>
                <w:sz w:val="20"/>
                <w:szCs w:val="20"/>
                <w:color w:val="auto"/>
              </w:rPr>
            </w:pPr>
            <w:r>
              <w:rPr>
                <w:rFonts w:ascii="Arial" w:cs="Arial" w:eastAsia="Arial" w:hAnsi="Arial"/>
                <w:sz w:val="15"/>
                <w:szCs w:val="15"/>
                <w:color w:val="auto"/>
              </w:rPr>
              <w:t>See Footnote below.</w:t>
            </w:r>
          </w:p>
        </w:tc>
      </w:tr>
      <w:tr>
        <w:trPr>
          <w:trHeight w:val="233"/>
        </w:trPr>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6</w:t>
            </w:r>
          </w:p>
        </w:tc>
        <w:tc>
          <w:tcPr>
            <w:tcW w:w="3380" w:type="dxa"/>
            <w:vAlign w:val="bottom"/>
            <w:gridSpan w:val="3"/>
          </w:tcPr>
          <w:p>
            <w:pPr>
              <w:ind w:left="160"/>
              <w:spacing w:after="0"/>
              <w:rPr>
                <w:sz w:val="20"/>
                <w:szCs w:val="20"/>
                <w:color w:val="auto"/>
              </w:rPr>
            </w:pPr>
            <w:r>
              <w:rPr>
                <w:rFonts w:ascii="Arial" w:cs="Arial" w:eastAsia="Arial" w:hAnsi="Arial"/>
                <w:sz w:val="15"/>
                <w:szCs w:val="15"/>
                <w:color w:val="auto"/>
              </w:rPr>
              <w:t>Total Estimated Admin. Costs</w:t>
            </w:r>
          </w:p>
        </w:tc>
        <w:tc>
          <w:tcPr>
            <w:tcW w:w="1620" w:type="dxa"/>
            <w:vAlign w:val="bottom"/>
            <w:gridSpan w:val="3"/>
          </w:tcPr>
          <w:p>
            <w:pPr>
              <w:ind w:left="200"/>
              <w:spacing w:after="0"/>
              <w:rPr>
                <w:sz w:val="20"/>
                <w:szCs w:val="20"/>
                <w:color w:val="auto"/>
              </w:rPr>
            </w:pPr>
            <w:r>
              <w:rPr>
                <w:rFonts w:ascii="Arial" w:cs="Arial" w:eastAsia="Arial" w:hAnsi="Arial"/>
                <w:sz w:val="15"/>
                <w:szCs w:val="15"/>
                <w:color w:val="auto"/>
              </w:rPr>
              <w:t>Ongoing</w:t>
            </w:r>
          </w:p>
        </w:tc>
        <w:tc>
          <w:tcPr>
            <w:tcW w:w="780" w:type="dxa"/>
            <w:vAlign w:val="bottom"/>
          </w:tcPr>
          <w:p>
            <w:pPr>
              <w:ind w:left="180"/>
              <w:spacing w:after="0"/>
              <w:rPr>
                <w:sz w:val="20"/>
                <w:szCs w:val="20"/>
                <w:color w:val="auto"/>
              </w:rPr>
            </w:pPr>
            <w:r>
              <w:rPr>
                <w:rFonts w:ascii="Arial" w:cs="Arial" w:eastAsia="Arial" w:hAnsi="Arial"/>
                <w:sz w:val="15"/>
                <w:szCs w:val="15"/>
                <w:color w:val="auto"/>
                <w:w w:val="92"/>
              </w:rPr>
              <w:t>$816,450</w:t>
            </w:r>
          </w:p>
        </w:tc>
        <w:tc>
          <w:tcPr>
            <w:tcW w:w="1380" w:type="dxa"/>
            <w:vAlign w:val="bottom"/>
          </w:tcPr>
          <w:p>
            <w:pPr>
              <w:jc w:val="right"/>
              <w:spacing w:after="0"/>
              <w:rPr>
                <w:sz w:val="20"/>
                <w:szCs w:val="20"/>
                <w:color w:val="auto"/>
              </w:rPr>
            </w:pPr>
            <w:r>
              <w:rPr>
                <w:rFonts w:ascii="Arial" w:cs="Arial" w:eastAsia="Arial" w:hAnsi="Arial"/>
                <w:sz w:val="15"/>
                <w:szCs w:val="15"/>
                <w:color w:val="auto"/>
                <w:w w:val="90"/>
              </w:rPr>
              <w:t>- $1,052,550 (does not</w:t>
            </w:r>
          </w:p>
        </w:tc>
      </w:tr>
      <w:tr>
        <w:trPr>
          <w:trHeight w:val="191"/>
        </w:trPr>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2"/>
          </w:tcPr>
          <w:p>
            <w:pPr>
              <w:ind w:left="180"/>
              <w:spacing w:after="0"/>
              <w:rPr>
                <w:sz w:val="20"/>
                <w:szCs w:val="20"/>
                <w:color w:val="auto"/>
              </w:rPr>
            </w:pPr>
            <w:r>
              <w:rPr>
                <w:rFonts w:ascii="Arial" w:cs="Arial" w:eastAsia="Arial" w:hAnsi="Arial"/>
                <w:sz w:val="15"/>
                <w:szCs w:val="15"/>
                <w:color w:val="auto"/>
              </w:rPr>
              <w:t>include advertising costs)</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Footnote: SDG&amp;E will receive a percentage of the presently estimated $3 million cost to</w:t>
      </w:r>
    </w:p>
    <w:p>
      <w:pPr>
        <w:spacing w:after="0" w:line="5" w:lineRule="exact"/>
        <w:rPr>
          <w:sz w:val="20"/>
          <w:szCs w:val="20"/>
          <w:color w:val="auto"/>
        </w:rPr>
      </w:pPr>
    </w:p>
    <w:p>
      <w:pPr>
        <w:ind w:left="740"/>
        <w:spacing w:after="0" w:line="234" w:lineRule="auto"/>
        <w:rPr>
          <w:sz w:val="20"/>
          <w:szCs w:val="20"/>
          <w:color w:val="auto"/>
        </w:rPr>
      </w:pPr>
      <w:r>
        <w:rPr>
          <w:rFonts w:ascii="Arial" w:cs="Arial" w:eastAsia="Arial" w:hAnsi="Arial"/>
          <w:sz w:val="17"/>
          <w:szCs w:val="17"/>
          <w:color w:val="auto"/>
        </w:rPr>
        <w:t>implement a statewide advertising campaign which is contemplated by the CPUC and the Governor. This cost will be proportionately allocated among the three utilities.</w:t>
      </w:r>
    </w:p>
    <w:p>
      <w:pPr>
        <w:spacing w:after="0" w:line="132" w:lineRule="exact"/>
        <w:rPr>
          <w:sz w:val="20"/>
          <w:szCs w:val="20"/>
          <w:color w:val="auto"/>
        </w:rPr>
      </w:pPr>
    </w:p>
    <w:p>
      <w:pPr>
        <w:ind w:left="500" w:hanging="497"/>
        <w:spacing w:after="0"/>
        <w:tabs>
          <w:tab w:leader="none" w:pos="50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20/20 Program Reporting</w:t>
      </w:r>
    </w:p>
    <w:p>
      <w:pPr>
        <w:spacing w:after="0" w:line="141" w:lineRule="exact"/>
        <w:rPr>
          <w:rFonts w:ascii="Arial" w:cs="Arial" w:eastAsia="Arial" w:hAnsi="Arial"/>
          <w:sz w:val="17"/>
          <w:szCs w:val="17"/>
          <w:color w:val="auto"/>
        </w:rPr>
      </w:pPr>
    </w:p>
    <w:p>
      <w:pPr>
        <w:ind w:firstLine="499"/>
        <w:spacing w:after="0" w:line="250" w:lineRule="auto"/>
        <w:tabs>
          <w:tab w:leader="none" w:pos="992" w:val="left"/>
        </w:tabs>
        <w:numPr>
          <w:ilvl w:val="1"/>
          <w:numId w:val="2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Daily </w:t>
      </w:r>
      <w:r>
        <w:rPr>
          <w:rFonts w:ascii="Arial" w:cs="Arial" w:eastAsia="Arial" w:hAnsi="Arial"/>
          <w:sz w:val="17"/>
          <w:szCs w:val="17"/>
          <w:color w:val="auto"/>
        </w:rPr>
        <w:t>- To the extent reasonably possible, each Business Day SDG&amp;E shall provide DWR with a report showing the aggregated dollar amount and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20/20 Program credits applied to Customer accounts.</w:t>
      </w:r>
    </w:p>
    <w:p>
      <w:pPr>
        <w:spacing w:after="0" w:line="130" w:lineRule="exact"/>
        <w:rPr>
          <w:rFonts w:ascii="Arial" w:cs="Arial" w:eastAsia="Arial" w:hAnsi="Arial"/>
          <w:sz w:val="17"/>
          <w:szCs w:val="17"/>
          <w:b w:val="1"/>
          <w:bCs w:val="1"/>
          <w:color w:val="auto"/>
        </w:rPr>
      </w:pPr>
    </w:p>
    <w:p>
      <w:pPr>
        <w:jc w:val="both"/>
        <w:ind w:firstLine="499"/>
        <w:spacing w:after="0" w:line="239" w:lineRule="auto"/>
        <w:tabs>
          <w:tab w:leader="none" w:pos="992" w:val="left"/>
        </w:tabs>
        <w:numPr>
          <w:ilvl w:val="1"/>
          <w:numId w:val="2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Monthly </w:t>
      </w:r>
      <w:r>
        <w:rPr>
          <w:rFonts w:ascii="Arial" w:cs="Arial" w:eastAsia="Arial" w:hAnsi="Arial"/>
          <w:sz w:val="17"/>
          <w:szCs w:val="17"/>
          <w:color w:val="auto"/>
        </w:rPr>
        <w:t>- To the extent reasonably possible, SDG&amp;E shall provide DWR with monthly reports showing the monthly total number of customer accounts by</w:t>
      </w:r>
      <w:r>
        <w:rPr>
          <w:rFonts w:ascii="Arial" w:cs="Arial" w:eastAsia="Arial" w:hAnsi="Arial"/>
          <w:sz w:val="17"/>
          <w:szCs w:val="17"/>
          <w:b w:val="1"/>
          <w:bCs w:val="1"/>
          <w:color w:val="auto"/>
        </w:rPr>
        <w:t xml:space="preserve"> </w:t>
      </w:r>
      <w:r>
        <w:rPr>
          <w:rFonts w:ascii="Arial" w:cs="Arial" w:eastAsia="Arial" w:hAnsi="Arial"/>
          <w:sz w:val="17"/>
          <w:szCs w:val="17"/>
          <w:color w:val="auto"/>
        </w:rPr>
        <w:t>rate schedule and the corresponding 20/20 Program credit amount and energy use statistics as identified in the sample monthly report below. Monthly reports will be completed within 10 Business Days after the first of each month.</w:t>
      </w:r>
    </w:p>
    <w:p>
      <w:pPr>
        <w:spacing w:after="0" w:line="129" w:lineRule="exact"/>
        <w:rPr>
          <w:rFonts w:ascii="Arial" w:cs="Arial" w:eastAsia="Arial" w:hAnsi="Arial"/>
          <w:sz w:val="17"/>
          <w:szCs w:val="17"/>
          <w:b w:val="1"/>
          <w:bCs w:val="1"/>
          <w:color w:val="auto"/>
        </w:rPr>
      </w:pPr>
    </w:p>
    <w:p>
      <w:pPr>
        <w:ind w:firstLine="499"/>
        <w:spacing w:after="0" w:line="280" w:lineRule="auto"/>
        <w:tabs>
          <w:tab w:leader="none" w:pos="992" w:val="left"/>
        </w:tabs>
        <w:numPr>
          <w:ilvl w:val="1"/>
          <w:numId w:val="2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Program Summary </w:t>
      </w:r>
      <w:r>
        <w:rPr>
          <w:rFonts w:ascii="Arial" w:cs="Arial" w:eastAsia="Arial" w:hAnsi="Arial"/>
          <w:sz w:val="16"/>
          <w:szCs w:val="16"/>
          <w:color w:val="auto"/>
        </w:rPr>
        <w:t>- To the extent that SDG&amp;E completes any additional analysis of the results of the 20/20 Program, SDG&amp;E will provide to DWR such</w:t>
      </w:r>
      <w:r>
        <w:rPr>
          <w:rFonts w:ascii="Arial" w:cs="Arial" w:eastAsia="Arial" w:hAnsi="Arial"/>
          <w:sz w:val="16"/>
          <w:szCs w:val="16"/>
          <w:b w:val="1"/>
          <w:bCs w:val="1"/>
          <w:color w:val="auto"/>
        </w:rPr>
        <w:t xml:space="preserve"> </w:t>
      </w:r>
      <w:r>
        <w:rPr>
          <w:rFonts w:ascii="Arial" w:cs="Arial" w:eastAsia="Arial" w:hAnsi="Arial"/>
          <w:sz w:val="16"/>
          <w:szCs w:val="16"/>
          <w:color w:val="auto"/>
        </w:rPr>
        <w:t>analysis. Any additional findings, including “lessons learned” and recommendations for future similar programs, will also be provided to DWR.</w:t>
      </w:r>
    </w:p>
    <w:p>
      <w:pPr>
        <w:sectPr>
          <w:pgSz w:w="11900" w:h="16838" w:orient="portrait"/>
          <w:cols w:equalWidth="0" w:num="1">
            <w:col w:w="11460"/>
          </w:cols>
          <w:pgMar w:left="220" w:top="491" w:right="219" w:bottom="490" w:gutter="0" w:footer="0" w:header="0"/>
        </w:sectPr>
      </w:pPr>
    </w:p>
    <w:bookmarkStart w:id="162" w:name="page163"/>
    <w:bookmarkEnd w:id="162"/>
    <w:p>
      <w:pPr>
        <w:jc w:val="center"/>
        <w:spacing w:after="0"/>
        <w:rPr>
          <w:sz w:val="20"/>
          <w:szCs w:val="20"/>
          <w:color w:val="auto"/>
        </w:rPr>
      </w:pPr>
      <w:r>
        <w:rPr>
          <w:rFonts w:ascii="Arial" w:cs="Arial" w:eastAsia="Arial" w:hAnsi="Arial"/>
          <w:sz w:val="14"/>
          <w:szCs w:val="14"/>
          <w:color w:val="auto"/>
        </w:rPr>
        <w:t>F-</w:t>
      </w:r>
    </w:p>
    <w:p>
      <w:pPr>
        <w:sectPr>
          <w:pgSz w:w="11900" w:h="16838" w:orient="portrait"/>
          <w:cols w:equalWidth="0" w:num="1">
            <w:col w:w="9019"/>
          </w:cols>
          <w:pgMar w:left="1440" w:top="660" w:right="1440" w:bottom="1440" w:gutter="0" w:footer="0" w:header="0"/>
        </w:sectPr>
      </w:pPr>
    </w:p>
    <w:bookmarkStart w:id="163" w:name="page164"/>
    <w:bookmarkEnd w:id="163"/>
    <w:p>
      <w:pPr>
        <w:jc w:val="center"/>
        <w:spacing w:after="0"/>
        <w:rPr>
          <w:sz w:val="20"/>
          <w:szCs w:val="20"/>
          <w:color w:val="auto"/>
        </w:rPr>
      </w:pPr>
      <w:r>
        <w:rPr>
          <w:rFonts w:ascii="Arial" w:cs="Arial" w:eastAsia="Arial" w:hAnsi="Arial"/>
          <w:sz w:val="17"/>
          <w:szCs w:val="17"/>
          <w:b w:val="1"/>
          <w:bCs w:val="1"/>
          <w:color w:val="auto"/>
        </w:rPr>
        <w:t>ATTACHMENT G</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SAN DIEGO GAS &amp; ELECTRIC COMPANY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FEE SCHEDULE</w:t>
      </w:r>
    </w:p>
    <w:p>
      <w:pPr>
        <w:spacing w:after="0" w:line="150" w:lineRule="exact"/>
        <w:rPr>
          <w:sz w:val="20"/>
          <w:szCs w:val="20"/>
          <w:color w:val="auto"/>
        </w:rPr>
      </w:pPr>
    </w:p>
    <w:p>
      <w:pPr>
        <w:ind w:left="500" w:hanging="497"/>
        <w:spacing w:after="0"/>
        <w:tabs>
          <w:tab w:leader="none" w:pos="50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DWR Billing Agent Cost Estimates:</w:t>
      </w:r>
    </w:p>
    <w:p>
      <w:pPr>
        <w:spacing w:after="0" w:line="156" w:lineRule="exact"/>
        <w:rPr>
          <w:sz w:val="20"/>
          <w:szCs w:val="20"/>
          <w:color w:val="auto"/>
        </w:rPr>
      </w:pPr>
    </w:p>
    <w:p>
      <w:pPr>
        <w:ind w:firstLine="496"/>
        <w:spacing w:after="0" w:line="245" w:lineRule="auto"/>
        <w:rPr>
          <w:sz w:val="20"/>
          <w:szCs w:val="20"/>
          <w:color w:val="auto"/>
        </w:rPr>
      </w:pPr>
      <w:r>
        <w:rPr>
          <w:rFonts w:ascii="Arial" w:cs="Arial" w:eastAsia="Arial" w:hAnsi="Arial"/>
          <w:sz w:val="17"/>
          <w:szCs w:val="17"/>
          <w:color w:val="auto"/>
        </w:rPr>
        <w:t>The following chart provides an estimate of SDG&amp;E’s implementation and administrative costs (“Billing Service Implementation Costs”) associated with providing Billing Services to DWR pursuant to the Servicing Order.</w:t>
      </w:r>
    </w:p>
    <w:p>
      <w:pPr>
        <w:spacing w:after="0" w:line="138" w:lineRule="exact"/>
        <w:rPr>
          <w:sz w:val="20"/>
          <w:szCs w:val="20"/>
          <w:color w:val="auto"/>
        </w:rPr>
      </w:pPr>
    </w:p>
    <w:p>
      <w:pPr>
        <w:ind w:firstLine="499"/>
        <w:spacing w:after="0" w:line="275" w:lineRule="auto"/>
        <w:tabs>
          <w:tab w:leader="none" w:pos="992" w:val="left"/>
        </w:tabs>
        <w:numPr>
          <w:ilvl w:val="1"/>
          <w:numId w:val="245"/>
        </w:numPr>
        <w:rPr>
          <w:rFonts w:ascii="Arial" w:cs="Arial" w:eastAsia="Arial" w:hAnsi="Arial"/>
          <w:sz w:val="16"/>
          <w:szCs w:val="16"/>
          <w:color w:val="auto"/>
        </w:rPr>
      </w:pPr>
      <w:r>
        <w:rPr>
          <w:rFonts w:ascii="Arial" w:cs="Arial" w:eastAsia="Arial" w:hAnsi="Arial"/>
          <w:sz w:val="16"/>
          <w:szCs w:val="16"/>
          <w:color w:val="auto"/>
        </w:rPr>
        <w:t>SDG&amp;E shall invoice DWR in accordance with Section 7.2 of the Servicing Order after a Billing Service activity has been completed and will exercise commercially reasonable efforts to track and keep costs within the estimated Billing Service Implementation Costs shown in this Attachment G.</w:t>
      </w:r>
    </w:p>
    <w:p>
      <w:pPr>
        <w:spacing w:after="0" w:line="105" w:lineRule="exact"/>
        <w:rPr>
          <w:rFonts w:ascii="Arial" w:cs="Arial" w:eastAsia="Arial" w:hAnsi="Arial"/>
          <w:sz w:val="16"/>
          <w:szCs w:val="16"/>
          <w:color w:val="auto"/>
        </w:rPr>
      </w:pPr>
    </w:p>
    <w:p>
      <w:pPr>
        <w:ind w:firstLine="499"/>
        <w:spacing w:after="0" w:line="245" w:lineRule="auto"/>
        <w:tabs>
          <w:tab w:leader="none" w:pos="992" w:val="left"/>
        </w:tabs>
        <w:numPr>
          <w:ilvl w:val="1"/>
          <w:numId w:val="245"/>
        </w:numPr>
        <w:rPr>
          <w:rFonts w:ascii="Arial" w:cs="Arial" w:eastAsia="Arial" w:hAnsi="Arial"/>
          <w:sz w:val="17"/>
          <w:szCs w:val="17"/>
          <w:color w:val="auto"/>
        </w:rPr>
      </w:pPr>
      <w:r>
        <w:rPr>
          <w:rFonts w:ascii="Arial" w:cs="Arial" w:eastAsia="Arial" w:hAnsi="Arial"/>
          <w:sz w:val="17"/>
          <w:szCs w:val="17"/>
          <w:color w:val="auto"/>
        </w:rPr>
        <w:t>For the majority of SDG&amp;E’s Billing Service Implementation Costs, SDG&amp;E will invoice DWR based on actual costs and provide DWR with an invoice itemizing and documenting such costs.</w:t>
      </w:r>
    </w:p>
    <w:p>
      <w:pPr>
        <w:spacing w:after="0" w:line="128" w:lineRule="exact"/>
        <w:rPr>
          <w:rFonts w:ascii="Arial" w:cs="Arial" w:eastAsia="Arial" w:hAnsi="Arial"/>
          <w:sz w:val="17"/>
          <w:szCs w:val="17"/>
          <w:color w:val="auto"/>
        </w:rPr>
      </w:pPr>
    </w:p>
    <w:p>
      <w:pPr>
        <w:jc w:val="both"/>
        <w:ind w:firstLine="499"/>
        <w:spacing w:after="0" w:line="250" w:lineRule="auto"/>
        <w:tabs>
          <w:tab w:leader="none" w:pos="992" w:val="left"/>
        </w:tabs>
        <w:numPr>
          <w:ilvl w:val="1"/>
          <w:numId w:val="245"/>
        </w:numPr>
        <w:rPr>
          <w:rFonts w:ascii="Arial" w:cs="Arial" w:eastAsia="Arial" w:hAnsi="Arial"/>
          <w:sz w:val="16"/>
          <w:szCs w:val="16"/>
          <w:color w:val="auto"/>
        </w:rPr>
      </w:pPr>
      <w:r>
        <w:rPr>
          <w:rFonts w:ascii="Arial" w:cs="Arial" w:eastAsia="Arial" w:hAnsi="Arial"/>
          <w:sz w:val="16"/>
          <w:szCs w:val="16"/>
          <w:color w:val="auto"/>
        </w:rPr>
        <w:t>In certain circumstances SDG&amp;E is unable to track, itemize and document Billing Services Implementation Costs without undertaking extensive system programming and hardware upgrades. Accordingly, DWR agrees that in these circumstances SDG&amp;E shall utilize the SDG&amp;E Estimated Billing Service Implementation Costs shown in this Attachment G for SDG&amp;E’s invoicing purposes without undertaking a true-up to actual costs. However, DWR reserves the right to dispute all or any portion of such invoice in which event Section 7.1 shall govern the resolution of any such dispute. Provided, however, DWR and SDG&amp;E shall undertake in good faith efforts to resolve any dispute prior to resorting to such dispute resolution process.</w:t>
      </w:r>
    </w:p>
    <w:p>
      <w:pPr>
        <w:spacing w:after="0" w:line="137" w:lineRule="exact"/>
        <w:rPr>
          <w:rFonts w:ascii="Arial" w:cs="Arial" w:eastAsia="Arial" w:hAnsi="Arial"/>
          <w:sz w:val="16"/>
          <w:szCs w:val="16"/>
          <w:color w:val="auto"/>
        </w:rPr>
      </w:pPr>
    </w:p>
    <w:p>
      <w:pPr>
        <w:ind w:left="500" w:hanging="497"/>
        <w:spacing w:after="0"/>
        <w:tabs>
          <w:tab w:leader="none" w:pos="50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Billing Service Implementation Costs</w:t>
      </w:r>
    </w:p>
    <w:p>
      <w:pPr>
        <w:spacing w:after="0" w:line="155"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4"/>
          <w:szCs w:val="14"/>
          <w:color w:val="auto"/>
        </w:rPr>
        <w:t>Additional Charges reflect SDG&amp;E’s estimated costs for Billing Services, which the Parties agree may be used when SDG&amp;E would incur increased costs as a result</w:t>
      </w:r>
    </w:p>
    <w:p>
      <w:pPr>
        <w:spacing w:after="0" w:line="3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of performing DWR Billing Services pursuant to the Servicing Order. The items listed are intended to facilitate contract management and are not intended to reflect an exhaustive and inclusive list of Additional Charges that may arise.</w:t>
      </w:r>
    </w:p>
    <w:p>
      <w:pPr>
        <w:spacing w:after="0" w:line="150" w:lineRule="exact"/>
        <w:rPr>
          <w:sz w:val="20"/>
          <w:szCs w:val="20"/>
          <w:color w:val="auto"/>
        </w:rPr>
      </w:pPr>
    </w:p>
    <w:tbl>
      <w:tblPr>
        <w:tblLayout w:type="fixed"/>
        <w:tblInd w:w="2380" w:type="dxa"/>
        <w:tblCellMar>
          <w:top w:w="0" w:type="dxa"/>
          <w:left w:w="0" w:type="dxa"/>
          <w:bottom w:w="0" w:type="dxa"/>
          <w:right w:w="0" w:type="dxa"/>
        </w:tblCellMar>
      </w:tblPr>
      <w:tr>
        <w:trPr>
          <w:trHeight w:val="195"/>
        </w:trPr>
        <w:tc>
          <w:tcPr>
            <w:tcW w:w="2060" w:type="dxa"/>
            <w:vAlign w:val="bottom"/>
          </w:tcPr>
          <w:p>
            <w:pPr>
              <w:ind w:left="580"/>
              <w:spacing w:after="0"/>
              <w:rPr>
                <w:sz w:val="20"/>
                <w:szCs w:val="20"/>
                <w:color w:val="auto"/>
              </w:rPr>
            </w:pPr>
            <w:r>
              <w:rPr>
                <w:rFonts w:ascii="Arial" w:cs="Arial" w:eastAsia="Arial" w:hAnsi="Arial"/>
                <w:sz w:val="17"/>
                <w:szCs w:val="17"/>
                <w:b w:val="1"/>
                <w:bCs w:val="1"/>
                <w:color w:val="auto"/>
              </w:rPr>
              <w:t>Description</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Set-Up Cost</w:t>
            </w:r>
          </w:p>
        </w:tc>
        <w:tc>
          <w:tcPr>
            <w:tcW w:w="1620" w:type="dxa"/>
            <w:vAlign w:val="bottom"/>
          </w:tcPr>
          <w:p>
            <w:pPr>
              <w:jc w:val="right"/>
              <w:ind w:right="217"/>
              <w:spacing w:after="0"/>
              <w:rPr>
                <w:sz w:val="20"/>
                <w:szCs w:val="20"/>
                <w:color w:val="auto"/>
              </w:rPr>
            </w:pPr>
            <w:r>
              <w:rPr>
                <w:rFonts w:ascii="Arial" w:cs="Arial" w:eastAsia="Arial" w:hAnsi="Arial"/>
                <w:sz w:val="17"/>
                <w:szCs w:val="17"/>
                <w:b w:val="1"/>
                <w:bCs w:val="1"/>
                <w:color w:val="auto"/>
              </w:rPr>
              <w:t>Additional</w:t>
            </w:r>
          </w:p>
        </w:tc>
        <w:tc>
          <w:tcPr>
            <w:tcW w:w="1900" w:type="dxa"/>
            <w:vAlign w:val="bottom"/>
          </w:tcPr>
          <w:p>
            <w:pPr>
              <w:ind w:left="680"/>
              <w:spacing w:after="0"/>
              <w:rPr>
                <w:sz w:val="20"/>
                <w:szCs w:val="20"/>
                <w:color w:val="auto"/>
              </w:rPr>
            </w:pPr>
            <w:r>
              <w:rPr>
                <w:rFonts w:ascii="Arial" w:cs="Arial" w:eastAsia="Arial" w:hAnsi="Arial"/>
                <w:sz w:val="17"/>
                <w:szCs w:val="17"/>
                <w:b w:val="1"/>
                <w:bCs w:val="1"/>
                <w:color w:val="auto"/>
              </w:rPr>
              <w:t>Comments</w:t>
            </w:r>
          </w:p>
        </w:tc>
        <w:tc>
          <w:tcPr>
            <w:tcW w:w="0" w:type="dxa"/>
            <w:vAlign w:val="bottom"/>
          </w:tcPr>
          <w:p>
            <w:pPr>
              <w:spacing w:after="0"/>
              <w:rPr>
                <w:sz w:val="1"/>
                <w:szCs w:val="1"/>
                <w:color w:val="auto"/>
              </w:rPr>
            </w:pPr>
          </w:p>
        </w:tc>
      </w:tr>
      <w:tr>
        <w:trPr>
          <w:trHeight w:val="213"/>
        </w:trPr>
        <w:tc>
          <w:tcPr>
            <w:tcW w:w="2060" w:type="dxa"/>
            <w:vAlign w:val="bottom"/>
          </w:tcPr>
          <w:p>
            <w:pPr>
              <w:spacing w:after="0"/>
              <w:rPr>
                <w:sz w:val="18"/>
                <w:szCs w:val="18"/>
                <w:color w:val="auto"/>
              </w:rPr>
            </w:pPr>
          </w:p>
        </w:tc>
        <w:tc>
          <w:tcPr>
            <w:tcW w:w="1080" w:type="dxa"/>
            <w:vAlign w:val="bottom"/>
          </w:tcPr>
          <w:p>
            <w:pPr>
              <w:jc w:val="right"/>
              <w:ind w:right="57"/>
              <w:spacing w:after="0"/>
              <w:rPr>
                <w:sz w:val="20"/>
                <w:szCs w:val="20"/>
                <w:color w:val="auto"/>
              </w:rPr>
            </w:pPr>
            <w:r>
              <w:rPr>
                <w:rFonts w:ascii="Arial" w:cs="Arial" w:eastAsia="Arial" w:hAnsi="Arial"/>
                <w:sz w:val="17"/>
                <w:szCs w:val="17"/>
                <w:b w:val="1"/>
                <w:bCs w:val="1"/>
                <w:color w:val="auto"/>
              </w:rPr>
              <w:t>Estimate</w:t>
            </w:r>
          </w:p>
        </w:tc>
        <w:tc>
          <w:tcPr>
            <w:tcW w:w="1620" w:type="dxa"/>
            <w:vAlign w:val="bottom"/>
          </w:tcPr>
          <w:p>
            <w:pPr>
              <w:jc w:val="right"/>
              <w:ind w:right="297"/>
              <w:spacing w:after="0"/>
              <w:rPr>
                <w:sz w:val="20"/>
                <w:szCs w:val="20"/>
                <w:color w:val="auto"/>
              </w:rPr>
            </w:pPr>
            <w:r>
              <w:rPr>
                <w:rFonts w:ascii="Arial" w:cs="Arial" w:eastAsia="Arial" w:hAnsi="Arial"/>
                <w:sz w:val="17"/>
                <w:szCs w:val="17"/>
                <w:b w:val="1"/>
                <w:bCs w:val="1"/>
                <w:color w:val="auto"/>
              </w:rPr>
              <w:t>Charges</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0"/>
                <w:szCs w:val="20"/>
                <w:color w:val="auto"/>
              </w:rPr>
            </w:pPr>
            <w:r>
              <w:rPr>
                <w:rFonts w:ascii="Arial" w:cs="Arial" w:eastAsia="Arial" w:hAnsi="Arial"/>
                <w:sz w:val="17"/>
                <w:szCs w:val="17"/>
                <w:color w:val="auto"/>
              </w:rPr>
              <w:t>Energy Data Management</w:t>
            </w:r>
          </w:p>
        </w:tc>
        <w:tc>
          <w:tcPr>
            <w:tcW w:w="1080" w:type="dxa"/>
            <w:vAlign w:val="bottom"/>
          </w:tcPr>
          <w:p>
            <w:pPr>
              <w:jc w:val="right"/>
              <w:ind w:right="177"/>
              <w:spacing w:after="0"/>
              <w:rPr>
                <w:sz w:val="20"/>
                <w:szCs w:val="20"/>
                <w:color w:val="auto"/>
              </w:rPr>
            </w:pPr>
            <w:r>
              <w:rPr>
                <w:rFonts w:ascii="Arial" w:cs="Arial" w:eastAsia="Arial" w:hAnsi="Arial"/>
                <w:sz w:val="17"/>
                <w:szCs w:val="17"/>
                <w:color w:val="auto"/>
              </w:rPr>
              <w:t>$32,000</w:t>
            </w:r>
          </w:p>
        </w:tc>
        <w:tc>
          <w:tcPr>
            <w:tcW w:w="16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60" w:type="dxa"/>
            <w:vAlign w:val="bottom"/>
          </w:tcPr>
          <w:p>
            <w:pPr>
              <w:spacing w:after="0" w:line="186" w:lineRule="exact"/>
              <w:rPr>
                <w:sz w:val="20"/>
                <w:szCs w:val="20"/>
                <w:color w:val="auto"/>
              </w:rPr>
            </w:pPr>
            <w:r>
              <w:rPr>
                <w:rFonts w:ascii="Arial" w:cs="Arial" w:eastAsia="Arial" w:hAnsi="Arial"/>
                <w:sz w:val="17"/>
                <w:szCs w:val="17"/>
                <w:color w:val="auto"/>
              </w:rPr>
              <w:t>DWR Remittance &amp;</w:t>
            </w:r>
          </w:p>
        </w:tc>
        <w:tc>
          <w:tcPr>
            <w:tcW w:w="1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60" w:type="dxa"/>
            <w:vAlign w:val="bottom"/>
          </w:tcPr>
          <w:p>
            <w:pPr>
              <w:ind w:left="80"/>
              <w:spacing w:after="0" w:line="186" w:lineRule="exact"/>
              <w:rPr>
                <w:sz w:val="20"/>
                <w:szCs w:val="20"/>
                <w:color w:val="auto"/>
              </w:rPr>
            </w:pPr>
            <w:r>
              <w:rPr>
                <w:rFonts w:ascii="Arial" w:cs="Arial" w:eastAsia="Arial" w:hAnsi="Arial"/>
                <w:sz w:val="17"/>
                <w:szCs w:val="17"/>
                <w:color w:val="auto"/>
              </w:rPr>
              <w:t>Reporting</w:t>
            </w:r>
          </w:p>
        </w:tc>
        <w:tc>
          <w:tcPr>
            <w:tcW w:w="1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60" w:type="dxa"/>
            <w:vAlign w:val="bottom"/>
          </w:tcPr>
          <w:p>
            <w:pPr>
              <w:spacing w:after="0" w:line="186" w:lineRule="exact"/>
              <w:rPr>
                <w:sz w:val="20"/>
                <w:szCs w:val="20"/>
                <w:color w:val="auto"/>
              </w:rPr>
            </w:pPr>
            <w:r>
              <w:rPr>
                <w:rFonts w:ascii="Arial" w:cs="Arial" w:eastAsia="Arial" w:hAnsi="Arial"/>
                <w:sz w:val="17"/>
                <w:szCs w:val="17"/>
                <w:color w:val="auto"/>
              </w:rPr>
              <w:t>Customer Billing/Payment</w:t>
            </w:r>
          </w:p>
        </w:tc>
        <w:tc>
          <w:tcPr>
            <w:tcW w:w="1080" w:type="dxa"/>
            <w:vAlign w:val="bottom"/>
          </w:tcPr>
          <w:p>
            <w:pPr>
              <w:jc w:val="right"/>
              <w:ind w:right="177"/>
              <w:spacing w:after="0" w:line="186" w:lineRule="exact"/>
              <w:rPr>
                <w:sz w:val="20"/>
                <w:szCs w:val="20"/>
                <w:color w:val="auto"/>
              </w:rPr>
            </w:pPr>
            <w:r>
              <w:rPr>
                <w:rFonts w:ascii="Arial" w:cs="Arial" w:eastAsia="Arial" w:hAnsi="Arial"/>
                <w:sz w:val="17"/>
                <w:szCs w:val="17"/>
                <w:color w:val="auto"/>
              </w:rPr>
              <w:t>300,000</w:t>
            </w:r>
          </w:p>
        </w:tc>
        <w:tc>
          <w:tcPr>
            <w:tcW w:w="16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60" w:type="dxa"/>
            <w:vAlign w:val="bottom"/>
          </w:tcPr>
          <w:p>
            <w:pPr>
              <w:ind w:left="140"/>
              <w:spacing w:after="0" w:line="186" w:lineRule="exact"/>
              <w:rPr>
                <w:sz w:val="20"/>
                <w:szCs w:val="20"/>
                <w:color w:val="auto"/>
              </w:rPr>
            </w:pPr>
            <w:r>
              <w:rPr>
                <w:rFonts w:ascii="Arial" w:cs="Arial" w:eastAsia="Arial" w:hAnsi="Arial"/>
                <w:sz w:val="17"/>
                <w:szCs w:val="17"/>
                <w:color w:val="auto"/>
              </w:rPr>
              <w:t>Processing</w:t>
            </w:r>
          </w:p>
        </w:tc>
        <w:tc>
          <w:tcPr>
            <w:tcW w:w="1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60" w:type="dxa"/>
            <w:vAlign w:val="bottom"/>
          </w:tcPr>
          <w:p>
            <w:pPr>
              <w:spacing w:after="0" w:line="186" w:lineRule="exact"/>
              <w:rPr>
                <w:sz w:val="20"/>
                <w:szCs w:val="20"/>
                <w:color w:val="auto"/>
              </w:rPr>
            </w:pPr>
            <w:r>
              <w:rPr>
                <w:rFonts w:ascii="Arial" w:cs="Arial" w:eastAsia="Arial" w:hAnsi="Arial"/>
                <w:sz w:val="17"/>
                <w:szCs w:val="17"/>
                <w:color w:val="auto"/>
              </w:rPr>
              <w:t>Training</w:t>
            </w:r>
          </w:p>
        </w:tc>
        <w:tc>
          <w:tcPr>
            <w:tcW w:w="1080" w:type="dxa"/>
            <w:vAlign w:val="bottom"/>
          </w:tcPr>
          <w:p>
            <w:pPr>
              <w:jc w:val="right"/>
              <w:ind w:right="177"/>
              <w:spacing w:after="0" w:line="186" w:lineRule="exact"/>
              <w:rPr>
                <w:sz w:val="20"/>
                <w:szCs w:val="20"/>
                <w:color w:val="auto"/>
              </w:rPr>
            </w:pPr>
            <w:r>
              <w:rPr>
                <w:rFonts w:ascii="Arial" w:cs="Arial" w:eastAsia="Arial" w:hAnsi="Arial"/>
                <w:sz w:val="17"/>
                <w:szCs w:val="17"/>
                <w:color w:val="auto"/>
              </w:rPr>
              <w:t>12,000</w:t>
            </w:r>
          </w:p>
        </w:tc>
        <w:tc>
          <w:tcPr>
            <w:tcW w:w="16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60" w:type="dxa"/>
            <w:vAlign w:val="bottom"/>
          </w:tcPr>
          <w:p>
            <w:pPr>
              <w:spacing w:after="0" w:line="186" w:lineRule="exact"/>
              <w:rPr>
                <w:sz w:val="20"/>
                <w:szCs w:val="20"/>
                <w:color w:val="auto"/>
              </w:rPr>
            </w:pPr>
            <w:r>
              <w:rPr>
                <w:rFonts w:ascii="Arial" w:cs="Arial" w:eastAsia="Arial" w:hAnsi="Arial"/>
                <w:sz w:val="17"/>
                <w:szCs w:val="17"/>
                <w:color w:val="auto"/>
              </w:rPr>
              <w:t>Fact Sheet</w:t>
            </w:r>
          </w:p>
        </w:tc>
        <w:tc>
          <w:tcPr>
            <w:tcW w:w="1080" w:type="dxa"/>
            <w:vAlign w:val="bottom"/>
          </w:tcPr>
          <w:p>
            <w:pPr>
              <w:jc w:val="right"/>
              <w:ind w:right="197"/>
              <w:spacing w:after="0" w:line="186" w:lineRule="exact"/>
              <w:rPr>
                <w:sz w:val="20"/>
                <w:szCs w:val="20"/>
                <w:color w:val="auto"/>
              </w:rPr>
            </w:pPr>
            <w:r>
              <w:rPr>
                <w:rFonts w:ascii="Arial" w:cs="Arial" w:eastAsia="Arial" w:hAnsi="Arial"/>
                <w:sz w:val="17"/>
                <w:szCs w:val="17"/>
                <w:color w:val="auto"/>
              </w:rPr>
              <w:t>11,000</w:t>
            </w:r>
          </w:p>
        </w:tc>
        <w:tc>
          <w:tcPr>
            <w:tcW w:w="16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60" w:type="dxa"/>
            <w:vAlign w:val="bottom"/>
          </w:tcPr>
          <w:p>
            <w:pPr>
              <w:spacing w:after="0" w:line="186" w:lineRule="exact"/>
              <w:rPr>
                <w:sz w:val="20"/>
                <w:szCs w:val="20"/>
                <w:color w:val="auto"/>
              </w:rPr>
            </w:pPr>
            <w:r>
              <w:rPr>
                <w:rFonts w:ascii="Arial" w:cs="Arial" w:eastAsia="Arial" w:hAnsi="Arial"/>
                <w:sz w:val="17"/>
                <w:szCs w:val="17"/>
                <w:color w:val="auto"/>
              </w:rPr>
              <w:t>Bill Insert</w:t>
            </w:r>
          </w:p>
        </w:tc>
        <w:tc>
          <w:tcPr>
            <w:tcW w:w="1080" w:type="dxa"/>
            <w:vAlign w:val="bottom"/>
          </w:tcPr>
          <w:p>
            <w:pPr>
              <w:jc w:val="right"/>
              <w:ind w:right="177"/>
              <w:spacing w:after="0" w:line="186" w:lineRule="exact"/>
              <w:rPr>
                <w:sz w:val="20"/>
                <w:szCs w:val="20"/>
                <w:color w:val="auto"/>
              </w:rPr>
            </w:pPr>
            <w:r>
              <w:rPr>
                <w:rFonts w:ascii="Arial" w:cs="Arial" w:eastAsia="Arial" w:hAnsi="Arial"/>
                <w:sz w:val="17"/>
                <w:szCs w:val="17"/>
                <w:color w:val="auto"/>
              </w:rPr>
              <w:t>5,500</w:t>
            </w:r>
          </w:p>
        </w:tc>
        <w:tc>
          <w:tcPr>
            <w:tcW w:w="1620" w:type="dxa"/>
            <w:vAlign w:val="bottom"/>
          </w:tcPr>
          <w:p>
            <w:pPr>
              <w:spacing w:after="0"/>
              <w:rPr>
                <w:sz w:val="16"/>
                <w:szCs w:val="16"/>
                <w:color w:val="auto"/>
              </w:rPr>
            </w:pPr>
          </w:p>
        </w:tc>
        <w:tc>
          <w:tcPr>
            <w:tcW w:w="1900" w:type="dxa"/>
            <w:vAlign w:val="bottom"/>
          </w:tcPr>
          <w:p>
            <w:pPr>
              <w:ind w:left="180"/>
              <w:spacing w:after="0" w:line="186" w:lineRule="exact"/>
              <w:rPr>
                <w:sz w:val="20"/>
                <w:szCs w:val="20"/>
                <w:color w:val="auto"/>
              </w:rPr>
            </w:pPr>
            <w:r>
              <w:rPr>
                <w:rFonts w:ascii="Arial" w:cs="Arial" w:eastAsia="Arial" w:hAnsi="Arial"/>
                <w:sz w:val="17"/>
                <w:szCs w:val="17"/>
                <w:color w:val="auto"/>
              </w:rPr>
              <w:t>Shared cost due to</w:t>
            </w: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00" w:type="dxa"/>
            <w:vAlign w:val="bottom"/>
          </w:tcPr>
          <w:p>
            <w:pPr>
              <w:ind w:left="180"/>
              <w:spacing w:after="0" w:line="186" w:lineRule="exact"/>
              <w:rPr>
                <w:sz w:val="20"/>
                <w:szCs w:val="20"/>
                <w:color w:val="auto"/>
              </w:rPr>
            </w:pPr>
            <w:r>
              <w:rPr>
                <w:rFonts w:ascii="Arial" w:cs="Arial" w:eastAsia="Arial" w:hAnsi="Arial"/>
                <w:sz w:val="17"/>
                <w:szCs w:val="17"/>
                <w:color w:val="auto"/>
                <w:w w:val="90"/>
              </w:rPr>
              <w:t>multiple communication -</w:t>
            </w: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00" w:type="dxa"/>
            <w:vAlign w:val="bottom"/>
          </w:tcPr>
          <w:p>
            <w:pPr>
              <w:ind w:left="180"/>
              <w:spacing w:after="0" w:line="186" w:lineRule="exact"/>
              <w:rPr>
                <w:sz w:val="20"/>
                <w:szCs w:val="20"/>
                <w:color w:val="auto"/>
              </w:rPr>
            </w:pPr>
            <w:r>
              <w:rPr>
                <w:rFonts w:ascii="Arial" w:cs="Arial" w:eastAsia="Arial" w:hAnsi="Arial"/>
                <w:sz w:val="17"/>
                <w:szCs w:val="17"/>
                <w:color w:val="auto"/>
              </w:rPr>
              <w:t>DWR @ 20%</w:t>
            </w:r>
          </w:p>
        </w:tc>
        <w:tc>
          <w:tcPr>
            <w:tcW w:w="0" w:type="dxa"/>
            <w:vAlign w:val="bottom"/>
          </w:tcPr>
          <w:p>
            <w:pPr>
              <w:spacing w:after="0"/>
              <w:rPr>
                <w:sz w:val="1"/>
                <w:szCs w:val="1"/>
                <w:color w:val="auto"/>
              </w:rPr>
            </w:pPr>
          </w:p>
        </w:tc>
      </w:tr>
      <w:tr>
        <w:trPr>
          <w:trHeight w:val="186"/>
        </w:trPr>
        <w:tc>
          <w:tcPr>
            <w:tcW w:w="2060" w:type="dxa"/>
            <w:vAlign w:val="bottom"/>
          </w:tcPr>
          <w:p>
            <w:pPr>
              <w:spacing w:after="0" w:line="186" w:lineRule="exact"/>
              <w:rPr>
                <w:sz w:val="20"/>
                <w:szCs w:val="20"/>
                <w:color w:val="auto"/>
              </w:rPr>
            </w:pPr>
            <w:r>
              <w:rPr>
                <w:rFonts w:ascii="Arial" w:cs="Arial" w:eastAsia="Arial" w:hAnsi="Arial"/>
                <w:sz w:val="17"/>
                <w:szCs w:val="17"/>
                <w:color w:val="auto"/>
              </w:rPr>
              <w:t>Brochure Revision</w:t>
            </w:r>
          </w:p>
        </w:tc>
        <w:tc>
          <w:tcPr>
            <w:tcW w:w="1080" w:type="dxa"/>
            <w:vAlign w:val="bottom"/>
          </w:tcPr>
          <w:p>
            <w:pPr>
              <w:jc w:val="right"/>
              <w:ind w:right="177"/>
              <w:spacing w:after="0" w:line="186" w:lineRule="exact"/>
              <w:rPr>
                <w:sz w:val="20"/>
                <w:szCs w:val="20"/>
                <w:color w:val="auto"/>
              </w:rPr>
            </w:pPr>
            <w:r>
              <w:rPr>
                <w:rFonts w:ascii="Arial" w:cs="Arial" w:eastAsia="Arial" w:hAnsi="Arial"/>
                <w:sz w:val="17"/>
                <w:szCs w:val="17"/>
                <w:color w:val="auto"/>
              </w:rPr>
              <w:t>2,500</w:t>
            </w:r>
          </w:p>
        </w:tc>
        <w:tc>
          <w:tcPr>
            <w:tcW w:w="1620" w:type="dxa"/>
            <w:vAlign w:val="bottom"/>
          </w:tcPr>
          <w:p>
            <w:pPr>
              <w:spacing w:after="0"/>
              <w:rPr>
                <w:sz w:val="16"/>
                <w:szCs w:val="16"/>
                <w:color w:val="auto"/>
              </w:rPr>
            </w:pPr>
          </w:p>
        </w:tc>
        <w:tc>
          <w:tcPr>
            <w:tcW w:w="1900" w:type="dxa"/>
            <w:vAlign w:val="bottom"/>
          </w:tcPr>
          <w:p>
            <w:pPr>
              <w:ind w:left="180"/>
              <w:spacing w:after="0" w:line="186" w:lineRule="exact"/>
              <w:rPr>
                <w:sz w:val="20"/>
                <w:szCs w:val="20"/>
                <w:color w:val="auto"/>
              </w:rPr>
            </w:pPr>
            <w:r>
              <w:rPr>
                <w:rFonts w:ascii="Arial" w:cs="Arial" w:eastAsia="Arial" w:hAnsi="Arial"/>
                <w:sz w:val="17"/>
                <w:szCs w:val="17"/>
                <w:color w:val="auto"/>
              </w:rPr>
              <w:t>Shared cost due to</w:t>
            </w: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00" w:type="dxa"/>
            <w:vAlign w:val="bottom"/>
          </w:tcPr>
          <w:p>
            <w:pPr>
              <w:ind w:left="180"/>
              <w:spacing w:after="0" w:line="186" w:lineRule="exact"/>
              <w:rPr>
                <w:sz w:val="20"/>
                <w:szCs w:val="20"/>
                <w:color w:val="auto"/>
              </w:rPr>
            </w:pPr>
            <w:r>
              <w:rPr>
                <w:rFonts w:ascii="Arial" w:cs="Arial" w:eastAsia="Arial" w:hAnsi="Arial"/>
                <w:sz w:val="17"/>
                <w:szCs w:val="17"/>
                <w:color w:val="auto"/>
                <w:w w:val="90"/>
              </w:rPr>
              <w:t>multiple communication -</w:t>
            </w:r>
          </w:p>
        </w:tc>
        <w:tc>
          <w:tcPr>
            <w:tcW w:w="0" w:type="dxa"/>
            <w:vAlign w:val="bottom"/>
          </w:tcPr>
          <w:p>
            <w:pPr>
              <w:spacing w:after="0"/>
              <w:rPr>
                <w:sz w:val="1"/>
                <w:szCs w:val="1"/>
                <w:color w:val="auto"/>
              </w:rPr>
            </w:pPr>
          </w:p>
        </w:tc>
      </w:tr>
      <w:tr>
        <w:trPr>
          <w:trHeight w:val="209"/>
        </w:trPr>
        <w:tc>
          <w:tcPr>
            <w:tcW w:w="2060" w:type="dxa"/>
            <w:vAlign w:val="bottom"/>
            <w:vMerge w:val="restart"/>
          </w:tcPr>
          <w:p>
            <w:pPr>
              <w:spacing w:after="0"/>
              <w:rPr>
                <w:sz w:val="20"/>
                <w:szCs w:val="20"/>
                <w:color w:val="auto"/>
              </w:rPr>
            </w:pPr>
            <w:r>
              <w:rPr>
                <w:rFonts w:ascii="Arial" w:cs="Arial" w:eastAsia="Arial" w:hAnsi="Arial"/>
                <w:sz w:val="17"/>
                <w:szCs w:val="17"/>
                <w:color w:val="auto"/>
              </w:rPr>
              <w:t>Website Changes</w:t>
            </w:r>
          </w:p>
        </w:tc>
        <w:tc>
          <w:tcPr>
            <w:tcW w:w="1080" w:type="dxa"/>
            <w:vAlign w:val="bottom"/>
            <w:vMerge w:val="restart"/>
          </w:tcPr>
          <w:p>
            <w:pPr>
              <w:jc w:val="right"/>
              <w:ind w:right="177"/>
              <w:spacing w:after="0"/>
              <w:rPr>
                <w:sz w:val="20"/>
                <w:szCs w:val="20"/>
                <w:color w:val="auto"/>
              </w:rPr>
            </w:pPr>
            <w:r>
              <w:rPr>
                <w:rFonts w:ascii="Arial" w:cs="Arial" w:eastAsia="Arial" w:hAnsi="Arial"/>
                <w:sz w:val="17"/>
                <w:szCs w:val="17"/>
                <w:color w:val="auto"/>
              </w:rPr>
              <w:t>3,500</w:t>
            </w:r>
          </w:p>
        </w:tc>
        <w:tc>
          <w:tcPr>
            <w:tcW w:w="1620" w:type="dxa"/>
            <w:vAlign w:val="bottom"/>
          </w:tcPr>
          <w:p>
            <w:pPr>
              <w:spacing w:after="0"/>
              <w:rPr>
                <w:sz w:val="18"/>
                <w:szCs w:val="18"/>
                <w:color w:val="auto"/>
              </w:rPr>
            </w:pPr>
          </w:p>
        </w:tc>
        <w:tc>
          <w:tcPr>
            <w:tcW w:w="1900" w:type="dxa"/>
            <w:vAlign w:val="bottom"/>
          </w:tcPr>
          <w:p>
            <w:pPr>
              <w:ind w:left="180"/>
              <w:spacing w:after="0"/>
              <w:rPr>
                <w:sz w:val="20"/>
                <w:szCs w:val="20"/>
                <w:color w:val="auto"/>
              </w:rPr>
            </w:pPr>
            <w:r>
              <w:rPr>
                <w:rFonts w:ascii="Arial" w:cs="Arial" w:eastAsia="Arial" w:hAnsi="Arial"/>
                <w:sz w:val="17"/>
                <w:szCs w:val="17"/>
                <w:color w:val="auto"/>
              </w:rPr>
              <w:t>DWR @ 20%</w:t>
            </w:r>
          </w:p>
        </w:tc>
        <w:tc>
          <w:tcPr>
            <w:tcW w:w="0" w:type="dxa"/>
            <w:vAlign w:val="bottom"/>
          </w:tcPr>
          <w:p>
            <w:pPr>
              <w:spacing w:after="0"/>
              <w:rPr>
                <w:sz w:val="1"/>
                <w:szCs w:val="1"/>
                <w:color w:val="auto"/>
              </w:rPr>
            </w:pPr>
          </w:p>
        </w:tc>
      </w:tr>
      <w:tr>
        <w:trPr>
          <w:trHeight w:val="163"/>
        </w:trPr>
        <w:tc>
          <w:tcPr>
            <w:tcW w:w="20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60" w:type="dxa"/>
            <w:vAlign w:val="bottom"/>
          </w:tcPr>
          <w:p>
            <w:pPr>
              <w:spacing w:after="0" w:line="186" w:lineRule="exact"/>
              <w:rPr>
                <w:sz w:val="20"/>
                <w:szCs w:val="20"/>
                <w:color w:val="auto"/>
              </w:rPr>
            </w:pPr>
            <w:r>
              <w:rPr>
                <w:rFonts w:ascii="Arial" w:cs="Arial" w:eastAsia="Arial" w:hAnsi="Arial"/>
                <w:sz w:val="17"/>
                <w:szCs w:val="17"/>
                <w:color w:val="auto"/>
              </w:rPr>
              <w:t>Direct Mail</w:t>
            </w:r>
          </w:p>
        </w:tc>
        <w:tc>
          <w:tcPr>
            <w:tcW w:w="1080" w:type="dxa"/>
            <w:vAlign w:val="bottom"/>
          </w:tcPr>
          <w:p>
            <w:pPr>
              <w:spacing w:after="0"/>
              <w:rPr>
                <w:sz w:val="16"/>
                <w:szCs w:val="16"/>
                <w:color w:val="auto"/>
              </w:rPr>
            </w:pPr>
          </w:p>
        </w:tc>
        <w:tc>
          <w:tcPr>
            <w:tcW w:w="1620" w:type="dxa"/>
            <w:vAlign w:val="bottom"/>
          </w:tcPr>
          <w:p>
            <w:pPr>
              <w:jc w:val="right"/>
              <w:ind w:right="77"/>
              <w:spacing w:after="0" w:line="186" w:lineRule="exact"/>
              <w:rPr>
                <w:sz w:val="20"/>
                <w:szCs w:val="20"/>
                <w:color w:val="auto"/>
              </w:rPr>
            </w:pPr>
            <w:r>
              <w:rPr>
                <w:rFonts w:ascii="Arial" w:cs="Arial" w:eastAsia="Arial" w:hAnsi="Arial"/>
                <w:sz w:val="17"/>
                <w:szCs w:val="17"/>
                <w:color w:val="auto"/>
              </w:rPr>
              <w:t>$700,000</w:t>
            </w:r>
          </w:p>
        </w:tc>
        <w:tc>
          <w:tcPr>
            <w:tcW w:w="1900" w:type="dxa"/>
            <w:vAlign w:val="bottom"/>
          </w:tcPr>
          <w:p>
            <w:pPr>
              <w:ind w:left="180"/>
              <w:spacing w:after="0" w:line="186" w:lineRule="exact"/>
              <w:rPr>
                <w:sz w:val="20"/>
                <w:szCs w:val="20"/>
                <w:color w:val="auto"/>
              </w:rPr>
            </w:pPr>
            <w:r>
              <w:rPr>
                <w:rFonts w:ascii="Arial" w:cs="Arial" w:eastAsia="Arial" w:hAnsi="Arial"/>
                <w:sz w:val="17"/>
                <w:szCs w:val="17"/>
                <w:color w:val="auto"/>
              </w:rPr>
              <w:t>Each mailing to all</w:t>
            </w: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00" w:type="dxa"/>
            <w:vAlign w:val="bottom"/>
          </w:tcPr>
          <w:p>
            <w:pPr>
              <w:ind w:left="180"/>
              <w:spacing w:after="0" w:line="186" w:lineRule="exact"/>
              <w:rPr>
                <w:sz w:val="20"/>
                <w:szCs w:val="20"/>
                <w:color w:val="auto"/>
              </w:rPr>
            </w:pPr>
            <w:r>
              <w:rPr>
                <w:rFonts w:ascii="Arial" w:cs="Arial" w:eastAsia="Arial" w:hAnsi="Arial"/>
                <w:sz w:val="17"/>
                <w:szCs w:val="17"/>
                <w:color w:val="auto"/>
              </w:rPr>
              <w:t>customers</w:t>
            </w:r>
          </w:p>
        </w:tc>
        <w:tc>
          <w:tcPr>
            <w:tcW w:w="0" w:type="dxa"/>
            <w:vAlign w:val="bottom"/>
          </w:tcPr>
          <w:p>
            <w:pPr>
              <w:spacing w:after="0"/>
              <w:rPr>
                <w:sz w:val="1"/>
                <w:szCs w:val="1"/>
                <w:color w:val="auto"/>
              </w:rPr>
            </w:pPr>
          </w:p>
        </w:tc>
      </w:tr>
      <w:tr>
        <w:trPr>
          <w:trHeight w:val="186"/>
        </w:trPr>
        <w:tc>
          <w:tcPr>
            <w:tcW w:w="2060" w:type="dxa"/>
            <w:vAlign w:val="bottom"/>
          </w:tcPr>
          <w:p>
            <w:pPr>
              <w:spacing w:after="0" w:line="186" w:lineRule="exact"/>
              <w:rPr>
                <w:sz w:val="20"/>
                <w:szCs w:val="20"/>
                <w:color w:val="auto"/>
              </w:rPr>
            </w:pPr>
            <w:r>
              <w:rPr>
                <w:rFonts w:ascii="Arial" w:cs="Arial" w:eastAsia="Arial" w:hAnsi="Arial"/>
                <w:sz w:val="17"/>
                <w:szCs w:val="17"/>
                <w:color w:val="auto"/>
              </w:rPr>
              <w:t>DWR Revenue Req. Ntc</w:t>
            </w:r>
          </w:p>
        </w:tc>
        <w:tc>
          <w:tcPr>
            <w:tcW w:w="1080" w:type="dxa"/>
            <w:vAlign w:val="bottom"/>
          </w:tcPr>
          <w:p>
            <w:pPr>
              <w:jc w:val="right"/>
              <w:ind w:right="177"/>
              <w:spacing w:after="0" w:line="186" w:lineRule="exact"/>
              <w:rPr>
                <w:sz w:val="20"/>
                <w:szCs w:val="20"/>
                <w:color w:val="auto"/>
              </w:rPr>
            </w:pPr>
            <w:r>
              <w:rPr>
                <w:rFonts w:ascii="Arial" w:cs="Arial" w:eastAsia="Arial" w:hAnsi="Arial"/>
                <w:sz w:val="17"/>
                <w:szCs w:val="17"/>
                <w:color w:val="auto"/>
              </w:rPr>
              <w:t>500,000</w:t>
            </w:r>
          </w:p>
        </w:tc>
        <w:tc>
          <w:tcPr>
            <w:tcW w:w="1620" w:type="dxa"/>
            <w:vAlign w:val="bottom"/>
          </w:tcPr>
          <w:p>
            <w:pPr>
              <w:spacing w:after="0"/>
              <w:rPr>
                <w:sz w:val="16"/>
                <w:szCs w:val="16"/>
                <w:color w:val="auto"/>
              </w:rPr>
            </w:pPr>
          </w:p>
        </w:tc>
        <w:tc>
          <w:tcPr>
            <w:tcW w:w="1900" w:type="dxa"/>
            <w:vAlign w:val="bottom"/>
          </w:tcPr>
          <w:p>
            <w:pPr>
              <w:ind w:left="180"/>
              <w:spacing w:after="0" w:line="186" w:lineRule="exact"/>
              <w:rPr>
                <w:sz w:val="20"/>
                <w:szCs w:val="20"/>
                <w:color w:val="auto"/>
              </w:rPr>
            </w:pPr>
            <w:r>
              <w:rPr>
                <w:rFonts w:ascii="Arial" w:cs="Arial" w:eastAsia="Arial" w:hAnsi="Arial"/>
                <w:sz w:val="17"/>
                <w:szCs w:val="17"/>
                <w:color w:val="auto"/>
                <w:w w:val="95"/>
              </w:rPr>
              <w:t>May/June direct mailing</w:t>
            </w: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00" w:type="dxa"/>
            <w:vAlign w:val="bottom"/>
          </w:tcPr>
          <w:p>
            <w:pPr>
              <w:ind w:left="180"/>
              <w:spacing w:after="0" w:line="186" w:lineRule="exact"/>
              <w:rPr>
                <w:sz w:val="20"/>
                <w:szCs w:val="20"/>
                <w:color w:val="auto"/>
              </w:rPr>
            </w:pPr>
            <w:r>
              <w:rPr>
                <w:rFonts w:ascii="Arial" w:cs="Arial" w:eastAsia="Arial" w:hAnsi="Arial"/>
                <w:sz w:val="17"/>
                <w:szCs w:val="17"/>
                <w:color w:val="auto"/>
              </w:rPr>
              <w:t>to large &amp; small</w:t>
            </w: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00" w:type="dxa"/>
            <w:vAlign w:val="bottom"/>
          </w:tcPr>
          <w:p>
            <w:pPr>
              <w:ind w:left="180"/>
              <w:spacing w:after="0" w:line="186" w:lineRule="exact"/>
              <w:rPr>
                <w:sz w:val="20"/>
                <w:szCs w:val="20"/>
                <w:color w:val="auto"/>
              </w:rPr>
            </w:pPr>
            <w:r>
              <w:rPr>
                <w:rFonts w:ascii="Arial" w:cs="Arial" w:eastAsia="Arial" w:hAnsi="Arial"/>
                <w:sz w:val="17"/>
                <w:szCs w:val="17"/>
                <w:color w:val="auto"/>
              </w:rPr>
              <w:t>customers</w:t>
            </w:r>
          </w:p>
        </w:tc>
        <w:tc>
          <w:tcPr>
            <w:tcW w:w="0" w:type="dxa"/>
            <w:vAlign w:val="bottom"/>
          </w:tcPr>
          <w:p>
            <w:pPr>
              <w:spacing w:after="0"/>
              <w:rPr>
                <w:sz w:val="1"/>
                <w:szCs w:val="1"/>
                <w:color w:val="auto"/>
              </w:rPr>
            </w:pPr>
          </w:p>
        </w:tc>
      </w:tr>
      <w:tr>
        <w:trPr>
          <w:trHeight w:val="186"/>
        </w:trPr>
        <w:tc>
          <w:tcPr>
            <w:tcW w:w="2060" w:type="dxa"/>
            <w:vAlign w:val="bottom"/>
          </w:tcPr>
          <w:p>
            <w:pPr>
              <w:spacing w:after="0" w:line="186" w:lineRule="exact"/>
              <w:rPr>
                <w:sz w:val="20"/>
                <w:szCs w:val="20"/>
                <w:color w:val="auto"/>
              </w:rPr>
            </w:pPr>
            <w:r>
              <w:rPr>
                <w:rFonts w:ascii="Arial" w:cs="Arial" w:eastAsia="Arial" w:hAnsi="Arial"/>
                <w:sz w:val="17"/>
                <w:szCs w:val="17"/>
                <w:color w:val="auto"/>
              </w:rPr>
              <w:t>Bill Insert</w:t>
            </w:r>
          </w:p>
        </w:tc>
        <w:tc>
          <w:tcPr>
            <w:tcW w:w="1080" w:type="dxa"/>
            <w:vAlign w:val="bottom"/>
          </w:tcPr>
          <w:p>
            <w:pPr>
              <w:spacing w:after="0"/>
              <w:rPr>
                <w:sz w:val="16"/>
                <w:szCs w:val="16"/>
                <w:color w:val="auto"/>
              </w:rPr>
            </w:pPr>
          </w:p>
        </w:tc>
        <w:tc>
          <w:tcPr>
            <w:tcW w:w="1620" w:type="dxa"/>
            <w:vAlign w:val="bottom"/>
          </w:tcPr>
          <w:p>
            <w:pPr>
              <w:jc w:val="right"/>
              <w:ind w:right="117"/>
              <w:spacing w:after="0" w:line="186" w:lineRule="exact"/>
              <w:rPr>
                <w:sz w:val="20"/>
                <w:szCs w:val="20"/>
                <w:color w:val="auto"/>
              </w:rPr>
            </w:pPr>
            <w:r>
              <w:rPr>
                <w:rFonts w:ascii="Arial" w:cs="Arial" w:eastAsia="Arial" w:hAnsi="Arial"/>
                <w:sz w:val="17"/>
                <w:szCs w:val="17"/>
                <w:color w:val="auto"/>
              </w:rPr>
              <w:t>26,500</w:t>
            </w:r>
          </w:p>
        </w:tc>
        <w:tc>
          <w:tcPr>
            <w:tcW w:w="1900" w:type="dxa"/>
            <w:vAlign w:val="bottom"/>
          </w:tcPr>
          <w:p>
            <w:pPr>
              <w:ind w:left="180"/>
              <w:spacing w:after="0" w:line="186" w:lineRule="exact"/>
              <w:rPr>
                <w:sz w:val="20"/>
                <w:szCs w:val="20"/>
                <w:color w:val="auto"/>
              </w:rPr>
            </w:pPr>
            <w:r>
              <w:rPr>
                <w:rFonts w:ascii="Arial" w:cs="Arial" w:eastAsia="Arial" w:hAnsi="Arial"/>
                <w:sz w:val="17"/>
                <w:szCs w:val="17"/>
                <w:color w:val="auto"/>
              </w:rPr>
              <w:t>One bill insert to all</w:t>
            </w: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00" w:type="dxa"/>
            <w:vAlign w:val="bottom"/>
          </w:tcPr>
          <w:p>
            <w:pPr>
              <w:ind w:left="180"/>
              <w:spacing w:after="0" w:line="186" w:lineRule="exact"/>
              <w:rPr>
                <w:sz w:val="20"/>
                <w:szCs w:val="20"/>
                <w:color w:val="auto"/>
              </w:rPr>
            </w:pPr>
            <w:r>
              <w:rPr>
                <w:rFonts w:ascii="Arial" w:cs="Arial" w:eastAsia="Arial" w:hAnsi="Arial"/>
                <w:sz w:val="17"/>
                <w:szCs w:val="17"/>
                <w:color w:val="auto"/>
              </w:rPr>
              <w:t>customers</w:t>
            </w:r>
          </w:p>
        </w:tc>
        <w:tc>
          <w:tcPr>
            <w:tcW w:w="0" w:type="dxa"/>
            <w:vAlign w:val="bottom"/>
          </w:tcPr>
          <w:p>
            <w:pPr>
              <w:spacing w:after="0"/>
              <w:rPr>
                <w:sz w:val="1"/>
                <w:szCs w:val="1"/>
                <w:color w:val="auto"/>
              </w:rPr>
            </w:pPr>
          </w:p>
        </w:tc>
      </w:tr>
      <w:tr>
        <w:trPr>
          <w:trHeight w:val="186"/>
        </w:trPr>
        <w:tc>
          <w:tcPr>
            <w:tcW w:w="2060" w:type="dxa"/>
            <w:vAlign w:val="bottom"/>
          </w:tcPr>
          <w:p>
            <w:pPr>
              <w:spacing w:after="0" w:line="186" w:lineRule="exact"/>
              <w:rPr>
                <w:sz w:val="20"/>
                <w:szCs w:val="20"/>
                <w:color w:val="auto"/>
              </w:rPr>
            </w:pPr>
            <w:r>
              <w:rPr>
                <w:rFonts w:ascii="Arial" w:cs="Arial" w:eastAsia="Arial" w:hAnsi="Arial"/>
                <w:sz w:val="17"/>
                <w:szCs w:val="17"/>
                <w:color w:val="auto"/>
              </w:rPr>
              <w:t>Customer Contacts</w:t>
            </w:r>
          </w:p>
        </w:tc>
        <w:tc>
          <w:tcPr>
            <w:tcW w:w="1080" w:type="dxa"/>
            <w:vAlign w:val="bottom"/>
          </w:tcPr>
          <w:p>
            <w:pPr>
              <w:spacing w:after="0"/>
              <w:rPr>
                <w:sz w:val="16"/>
                <w:szCs w:val="16"/>
                <w:color w:val="auto"/>
              </w:rPr>
            </w:pPr>
          </w:p>
        </w:tc>
        <w:tc>
          <w:tcPr>
            <w:tcW w:w="1620" w:type="dxa"/>
            <w:vAlign w:val="bottom"/>
          </w:tcPr>
          <w:p>
            <w:pPr>
              <w:jc w:val="right"/>
              <w:ind w:right="237"/>
              <w:spacing w:after="0" w:line="186" w:lineRule="exact"/>
              <w:rPr>
                <w:sz w:val="20"/>
                <w:szCs w:val="20"/>
                <w:color w:val="auto"/>
              </w:rPr>
            </w:pPr>
            <w:r>
              <w:rPr>
                <w:rFonts w:ascii="Arial" w:cs="Arial" w:eastAsia="Arial" w:hAnsi="Arial"/>
                <w:sz w:val="17"/>
                <w:szCs w:val="17"/>
                <w:color w:val="auto"/>
              </w:rPr>
              <w:t>6.25</w:t>
            </w:r>
          </w:p>
        </w:tc>
        <w:tc>
          <w:tcPr>
            <w:tcW w:w="1900" w:type="dxa"/>
            <w:vAlign w:val="bottom"/>
          </w:tcPr>
          <w:p>
            <w:pPr>
              <w:ind w:left="180"/>
              <w:spacing w:after="0" w:line="186" w:lineRule="exact"/>
              <w:rPr>
                <w:sz w:val="20"/>
                <w:szCs w:val="20"/>
                <w:color w:val="auto"/>
              </w:rPr>
            </w:pPr>
            <w:r>
              <w:rPr>
                <w:rFonts w:ascii="Arial" w:cs="Arial" w:eastAsia="Arial" w:hAnsi="Arial"/>
                <w:sz w:val="17"/>
                <w:szCs w:val="17"/>
                <w:color w:val="auto"/>
              </w:rPr>
              <w:t>Per contact</w:t>
            </w:r>
          </w:p>
        </w:tc>
        <w:tc>
          <w:tcPr>
            <w:tcW w:w="0" w:type="dxa"/>
            <w:vAlign w:val="bottom"/>
          </w:tcPr>
          <w:p>
            <w:pPr>
              <w:spacing w:after="0"/>
              <w:rPr>
                <w:sz w:val="1"/>
                <w:szCs w:val="1"/>
                <w:color w:val="auto"/>
              </w:rPr>
            </w:pPr>
          </w:p>
        </w:tc>
      </w:tr>
      <w:tr>
        <w:trPr>
          <w:trHeight w:val="186"/>
        </w:trPr>
        <w:tc>
          <w:tcPr>
            <w:tcW w:w="2060" w:type="dxa"/>
            <w:vAlign w:val="bottom"/>
          </w:tcPr>
          <w:p>
            <w:pPr>
              <w:spacing w:after="0" w:line="186" w:lineRule="exact"/>
              <w:rPr>
                <w:sz w:val="20"/>
                <w:szCs w:val="20"/>
                <w:color w:val="auto"/>
              </w:rPr>
            </w:pPr>
            <w:r>
              <w:rPr>
                <w:rFonts w:ascii="Arial" w:cs="Arial" w:eastAsia="Arial" w:hAnsi="Arial"/>
                <w:sz w:val="17"/>
                <w:szCs w:val="17"/>
                <w:color w:val="auto"/>
                <w:w w:val="97"/>
              </w:rPr>
              <w:t>Customer Contract Training</w:t>
            </w:r>
          </w:p>
        </w:tc>
        <w:tc>
          <w:tcPr>
            <w:tcW w:w="1080" w:type="dxa"/>
            <w:vAlign w:val="bottom"/>
          </w:tcPr>
          <w:p>
            <w:pPr>
              <w:spacing w:after="0"/>
              <w:rPr>
                <w:sz w:val="16"/>
                <w:szCs w:val="16"/>
                <w:color w:val="auto"/>
              </w:rPr>
            </w:pPr>
          </w:p>
        </w:tc>
        <w:tc>
          <w:tcPr>
            <w:tcW w:w="1620" w:type="dxa"/>
            <w:vAlign w:val="bottom"/>
          </w:tcPr>
          <w:p>
            <w:pPr>
              <w:jc w:val="right"/>
              <w:ind w:right="237"/>
              <w:spacing w:after="0" w:line="186" w:lineRule="exact"/>
              <w:rPr>
                <w:sz w:val="20"/>
                <w:szCs w:val="20"/>
                <w:color w:val="auto"/>
              </w:rPr>
            </w:pPr>
            <w:r>
              <w:rPr>
                <w:rFonts w:ascii="Arial" w:cs="Arial" w:eastAsia="Arial" w:hAnsi="Arial"/>
                <w:sz w:val="17"/>
                <w:szCs w:val="17"/>
                <w:color w:val="auto"/>
              </w:rPr>
              <w:t>40.00</w:t>
            </w:r>
          </w:p>
        </w:tc>
        <w:tc>
          <w:tcPr>
            <w:tcW w:w="1900" w:type="dxa"/>
            <w:vAlign w:val="bottom"/>
          </w:tcPr>
          <w:p>
            <w:pPr>
              <w:ind w:left="180"/>
              <w:spacing w:after="0" w:line="186" w:lineRule="exact"/>
              <w:rPr>
                <w:sz w:val="20"/>
                <w:szCs w:val="20"/>
                <w:color w:val="auto"/>
              </w:rPr>
            </w:pPr>
            <w:r>
              <w:rPr>
                <w:rFonts w:ascii="Arial" w:cs="Arial" w:eastAsia="Arial" w:hAnsi="Arial"/>
                <w:sz w:val="17"/>
                <w:szCs w:val="17"/>
                <w:color w:val="auto"/>
                <w:w w:val="98"/>
              </w:rPr>
              <w:t>Per hour per employee</w:t>
            </w:r>
          </w:p>
        </w:tc>
        <w:tc>
          <w:tcPr>
            <w:tcW w:w="0" w:type="dxa"/>
            <w:vAlign w:val="bottom"/>
          </w:tcPr>
          <w:p>
            <w:pPr>
              <w:spacing w:after="0"/>
              <w:rPr>
                <w:sz w:val="1"/>
                <w:szCs w:val="1"/>
                <w:color w:val="auto"/>
              </w:rPr>
            </w:pPr>
          </w:p>
        </w:tc>
      </w:tr>
      <w:tr>
        <w:trPr>
          <w:trHeight w:val="186"/>
        </w:trPr>
        <w:tc>
          <w:tcPr>
            <w:tcW w:w="2060" w:type="dxa"/>
            <w:vAlign w:val="bottom"/>
          </w:tcPr>
          <w:p>
            <w:pPr>
              <w:spacing w:after="0" w:line="186" w:lineRule="exact"/>
              <w:rPr>
                <w:sz w:val="20"/>
                <w:szCs w:val="20"/>
                <w:color w:val="auto"/>
              </w:rPr>
            </w:pPr>
            <w:r>
              <w:rPr>
                <w:rFonts w:ascii="Arial" w:cs="Arial" w:eastAsia="Arial" w:hAnsi="Arial"/>
                <w:sz w:val="17"/>
                <w:szCs w:val="17"/>
                <w:color w:val="auto"/>
              </w:rPr>
              <w:t>Rebilling - Load Profile</w:t>
            </w:r>
          </w:p>
        </w:tc>
        <w:tc>
          <w:tcPr>
            <w:tcW w:w="1080" w:type="dxa"/>
            <w:vAlign w:val="bottom"/>
          </w:tcPr>
          <w:p>
            <w:pPr>
              <w:spacing w:after="0"/>
              <w:rPr>
                <w:sz w:val="16"/>
                <w:szCs w:val="16"/>
                <w:color w:val="auto"/>
              </w:rPr>
            </w:pPr>
          </w:p>
        </w:tc>
        <w:tc>
          <w:tcPr>
            <w:tcW w:w="1620" w:type="dxa"/>
            <w:vAlign w:val="bottom"/>
          </w:tcPr>
          <w:p>
            <w:pPr>
              <w:jc w:val="right"/>
              <w:ind w:right="237"/>
              <w:spacing w:after="0" w:line="186" w:lineRule="exact"/>
              <w:rPr>
                <w:sz w:val="20"/>
                <w:szCs w:val="20"/>
                <w:color w:val="auto"/>
              </w:rPr>
            </w:pPr>
            <w:r>
              <w:rPr>
                <w:rFonts w:ascii="Arial" w:cs="Arial" w:eastAsia="Arial" w:hAnsi="Arial"/>
                <w:sz w:val="17"/>
                <w:szCs w:val="17"/>
                <w:color w:val="auto"/>
              </w:rPr>
              <w:t>3.00</w:t>
            </w:r>
          </w:p>
        </w:tc>
        <w:tc>
          <w:tcPr>
            <w:tcW w:w="1900" w:type="dxa"/>
            <w:vAlign w:val="bottom"/>
          </w:tcPr>
          <w:p>
            <w:pPr>
              <w:ind w:left="180"/>
              <w:spacing w:after="0" w:line="186" w:lineRule="exact"/>
              <w:rPr>
                <w:sz w:val="20"/>
                <w:szCs w:val="20"/>
                <w:color w:val="auto"/>
              </w:rPr>
            </w:pPr>
            <w:r>
              <w:rPr>
                <w:rFonts w:ascii="Arial" w:cs="Arial" w:eastAsia="Arial" w:hAnsi="Arial"/>
                <w:sz w:val="17"/>
                <w:szCs w:val="17"/>
                <w:color w:val="auto"/>
              </w:rPr>
              <w:t>Per month, per meter</w:t>
            </w:r>
          </w:p>
        </w:tc>
        <w:tc>
          <w:tcPr>
            <w:tcW w:w="0" w:type="dxa"/>
            <w:vAlign w:val="bottom"/>
          </w:tcPr>
          <w:p>
            <w:pPr>
              <w:spacing w:after="0"/>
              <w:rPr>
                <w:sz w:val="1"/>
                <w:szCs w:val="1"/>
                <w:color w:val="auto"/>
              </w:rPr>
            </w:pPr>
          </w:p>
        </w:tc>
      </w:tr>
      <w:tr>
        <w:trPr>
          <w:trHeight w:val="186"/>
        </w:trPr>
        <w:tc>
          <w:tcPr>
            <w:tcW w:w="2060" w:type="dxa"/>
            <w:vAlign w:val="bottom"/>
          </w:tcPr>
          <w:p>
            <w:pPr>
              <w:spacing w:after="0" w:line="186" w:lineRule="exact"/>
              <w:rPr>
                <w:sz w:val="20"/>
                <w:szCs w:val="20"/>
                <w:color w:val="auto"/>
              </w:rPr>
            </w:pPr>
            <w:r>
              <w:rPr>
                <w:rFonts w:ascii="Arial" w:cs="Arial" w:eastAsia="Arial" w:hAnsi="Arial"/>
                <w:sz w:val="17"/>
                <w:szCs w:val="17"/>
                <w:color w:val="auto"/>
              </w:rPr>
              <w:t>Rebilling - IDR Metering</w:t>
            </w:r>
          </w:p>
        </w:tc>
        <w:tc>
          <w:tcPr>
            <w:tcW w:w="1080" w:type="dxa"/>
            <w:vAlign w:val="bottom"/>
          </w:tcPr>
          <w:p>
            <w:pPr>
              <w:spacing w:after="0"/>
              <w:rPr>
                <w:sz w:val="16"/>
                <w:szCs w:val="16"/>
                <w:color w:val="auto"/>
              </w:rPr>
            </w:pPr>
          </w:p>
        </w:tc>
        <w:tc>
          <w:tcPr>
            <w:tcW w:w="1620" w:type="dxa"/>
            <w:vAlign w:val="bottom"/>
          </w:tcPr>
          <w:p>
            <w:pPr>
              <w:jc w:val="right"/>
              <w:ind w:right="237"/>
              <w:spacing w:after="0" w:line="186" w:lineRule="exact"/>
              <w:rPr>
                <w:sz w:val="20"/>
                <w:szCs w:val="20"/>
                <w:color w:val="auto"/>
              </w:rPr>
            </w:pPr>
            <w:r>
              <w:rPr>
                <w:rFonts w:ascii="Arial" w:cs="Arial" w:eastAsia="Arial" w:hAnsi="Arial"/>
                <w:sz w:val="17"/>
                <w:szCs w:val="17"/>
                <w:color w:val="auto"/>
              </w:rPr>
              <w:t>49.00</w:t>
            </w:r>
          </w:p>
        </w:tc>
        <w:tc>
          <w:tcPr>
            <w:tcW w:w="1900" w:type="dxa"/>
            <w:vAlign w:val="bottom"/>
          </w:tcPr>
          <w:p>
            <w:pPr>
              <w:ind w:left="180"/>
              <w:spacing w:after="0" w:line="186" w:lineRule="exact"/>
              <w:rPr>
                <w:sz w:val="20"/>
                <w:szCs w:val="20"/>
                <w:color w:val="auto"/>
              </w:rPr>
            </w:pPr>
            <w:r>
              <w:rPr>
                <w:rFonts w:ascii="Arial" w:cs="Arial" w:eastAsia="Arial" w:hAnsi="Arial"/>
                <w:sz w:val="17"/>
                <w:szCs w:val="17"/>
                <w:color w:val="auto"/>
              </w:rPr>
              <w:t>Per month, per meter</w:t>
            </w:r>
          </w:p>
        </w:tc>
        <w:tc>
          <w:tcPr>
            <w:tcW w:w="0" w:type="dxa"/>
            <w:vAlign w:val="bottom"/>
          </w:tcPr>
          <w:p>
            <w:pPr>
              <w:spacing w:after="0"/>
              <w:rPr>
                <w:sz w:val="1"/>
                <w:szCs w:val="1"/>
                <w:color w:val="auto"/>
              </w:rPr>
            </w:pPr>
          </w:p>
        </w:tc>
      </w:tr>
      <w:tr>
        <w:trPr>
          <w:trHeight w:val="186"/>
        </w:trPr>
        <w:tc>
          <w:tcPr>
            <w:tcW w:w="2060" w:type="dxa"/>
            <w:vAlign w:val="bottom"/>
          </w:tcPr>
          <w:p>
            <w:pPr>
              <w:spacing w:after="0" w:line="186" w:lineRule="exact"/>
              <w:rPr>
                <w:sz w:val="20"/>
                <w:szCs w:val="20"/>
                <w:color w:val="auto"/>
              </w:rPr>
            </w:pPr>
            <w:r>
              <w:rPr>
                <w:rFonts w:ascii="Arial" w:cs="Arial" w:eastAsia="Arial" w:hAnsi="Arial"/>
                <w:sz w:val="17"/>
                <w:szCs w:val="17"/>
                <w:color w:val="auto"/>
              </w:rPr>
              <w:t>Increased Postage</w:t>
            </w:r>
          </w:p>
        </w:tc>
        <w:tc>
          <w:tcPr>
            <w:tcW w:w="1080" w:type="dxa"/>
            <w:vAlign w:val="bottom"/>
          </w:tcPr>
          <w:p>
            <w:pPr>
              <w:spacing w:after="0"/>
              <w:rPr>
                <w:sz w:val="16"/>
                <w:szCs w:val="16"/>
                <w:color w:val="auto"/>
              </w:rPr>
            </w:pPr>
          </w:p>
        </w:tc>
        <w:tc>
          <w:tcPr>
            <w:tcW w:w="1620" w:type="dxa"/>
            <w:vAlign w:val="bottom"/>
          </w:tcPr>
          <w:p>
            <w:pPr>
              <w:jc w:val="right"/>
              <w:ind w:right="117"/>
              <w:spacing w:after="0" w:line="186" w:lineRule="exact"/>
              <w:rPr>
                <w:sz w:val="20"/>
                <w:szCs w:val="20"/>
                <w:color w:val="auto"/>
              </w:rPr>
            </w:pPr>
            <w:r>
              <w:rPr>
                <w:rFonts w:ascii="Arial" w:cs="Arial" w:eastAsia="Arial" w:hAnsi="Arial"/>
                <w:sz w:val="17"/>
                <w:szCs w:val="17"/>
                <w:color w:val="auto"/>
                <w:w w:val="85"/>
              </w:rPr>
              <w:t>Current Postage Rate</w:t>
            </w:r>
          </w:p>
        </w:tc>
        <w:tc>
          <w:tcPr>
            <w:tcW w:w="1900" w:type="dxa"/>
            <w:vAlign w:val="bottom"/>
          </w:tcPr>
          <w:p>
            <w:pPr>
              <w:ind w:left="180"/>
              <w:spacing w:after="0" w:line="186" w:lineRule="exact"/>
              <w:rPr>
                <w:sz w:val="20"/>
                <w:szCs w:val="20"/>
                <w:color w:val="auto"/>
              </w:rPr>
            </w:pPr>
            <w:r>
              <w:rPr>
                <w:rFonts w:ascii="Arial" w:cs="Arial" w:eastAsia="Arial" w:hAnsi="Arial"/>
                <w:sz w:val="17"/>
                <w:szCs w:val="17"/>
                <w:color w:val="auto"/>
              </w:rPr>
              <w:t>Per piece mailed.</w:t>
            </w: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00" w:type="dxa"/>
            <w:vAlign w:val="bottom"/>
          </w:tcPr>
          <w:p>
            <w:pPr>
              <w:ind w:left="180"/>
              <w:spacing w:after="0" w:line="186" w:lineRule="exact"/>
              <w:rPr>
                <w:sz w:val="20"/>
                <w:szCs w:val="20"/>
                <w:color w:val="auto"/>
              </w:rPr>
            </w:pPr>
            <w:r>
              <w:rPr>
                <w:rFonts w:ascii="Arial" w:cs="Arial" w:eastAsia="Arial" w:hAnsi="Arial"/>
                <w:sz w:val="17"/>
                <w:szCs w:val="17"/>
                <w:color w:val="auto"/>
                <w:w w:val="95"/>
              </w:rPr>
              <w:t>Postage rate consistent</w:t>
            </w: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00" w:type="dxa"/>
            <w:vAlign w:val="bottom"/>
          </w:tcPr>
          <w:p>
            <w:pPr>
              <w:ind w:left="180"/>
              <w:spacing w:after="0" w:line="186" w:lineRule="exact"/>
              <w:rPr>
                <w:sz w:val="20"/>
                <w:szCs w:val="20"/>
                <w:color w:val="auto"/>
              </w:rPr>
            </w:pPr>
            <w:r>
              <w:rPr>
                <w:rFonts w:ascii="Arial" w:cs="Arial" w:eastAsia="Arial" w:hAnsi="Arial"/>
                <w:sz w:val="17"/>
                <w:szCs w:val="17"/>
                <w:color w:val="auto"/>
              </w:rPr>
              <w:t>with rate used to mail</w:t>
            </w: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00" w:type="dxa"/>
            <w:vAlign w:val="bottom"/>
          </w:tcPr>
          <w:p>
            <w:pPr>
              <w:ind w:left="180"/>
              <w:spacing w:after="0" w:line="186" w:lineRule="exact"/>
              <w:rPr>
                <w:sz w:val="20"/>
                <w:szCs w:val="20"/>
                <w:color w:val="auto"/>
              </w:rPr>
            </w:pPr>
            <w:r>
              <w:rPr>
                <w:rFonts w:ascii="Arial" w:cs="Arial" w:eastAsia="Arial" w:hAnsi="Arial"/>
                <w:sz w:val="17"/>
                <w:szCs w:val="17"/>
                <w:color w:val="auto"/>
                <w:w w:val="98"/>
              </w:rPr>
              <w:t>SDG&amp;E customer bills.</w:t>
            </w:r>
          </w:p>
        </w:tc>
        <w:tc>
          <w:tcPr>
            <w:tcW w:w="0" w:type="dxa"/>
            <w:vAlign w:val="bottom"/>
          </w:tcPr>
          <w:p>
            <w:pPr>
              <w:spacing w:after="0"/>
              <w:rPr>
                <w:sz w:val="1"/>
                <w:szCs w:val="1"/>
                <w:color w:val="auto"/>
              </w:rPr>
            </w:pPr>
          </w:p>
        </w:tc>
      </w:tr>
      <w:tr>
        <w:trPr>
          <w:trHeight w:val="186"/>
        </w:trPr>
        <w:tc>
          <w:tcPr>
            <w:tcW w:w="2060" w:type="dxa"/>
            <w:vAlign w:val="bottom"/>
          </w:tcPr>
          <w:p>
            <w:pPr>
              <w:spacing w:after="0" w:line="186" w:lineRule="exact"/>
              <w:rPr>
                <w:sz w:val="20"/>
                <w:szCs w:val="20"/>
                <w:color w:val="auto"/>
              </w:rPr>
            </w:pPr>
            <w:r>
              <w:rPr>
                <w:rFonts w:ascii="Arial" w:cs="Arial" w:eastAsia="Arial" w:hAnsi="Arial"/>
                <w:sz w:val="17"/>
                <w:szCs w:val="17"/>
                <w:color w:val="auto"/>
              </w:rPr>
              <w:t>Actual Invoice Cost of</w:t>
            </w:r>
          </w:p>
        </w:tc>
        <w:tc>
          <w:tcPr>
            <w:tcW w:w="1080" w:type="dxa"/>
            <w:vAlign w:val="bottom"/>
          </w:tcPr>
          <w:p>
            <w:pPr>
              <w:spacing w:after="0"/>
              <w:rPr>
                <w:sz w:val="16"/>
                <w:szCs w:val="16"/>
                <w:color w:val="auto"/>
              </w:rPr>
            </w:pPr>
          </w:p>
        </w:tc>
        <w:tc>
          <w:tcPr>
            <w:tcW w:w="1620" w:type="dxa"/>
            <w:vAlign w:val="bottom"/>
          </w:tcPr>
          <w:p>
            <w:pPr>
              <w:jc w:val="right"/>
              <w:ind w:right="937"/>
              <w:spacing w:after="0" w:line="186" w:lineRule="exact"/>
              <w:rPr>
                <w:sz w:val="20"/>
                <w:szCs w:val="20"/>
                <w:color w:val="auto"/>
              </w:rPr>
            </w:pPr>
            <w:r>
              <w:rPr>
                <w:rFonts w:ascii="Arial" w:cs="Arial" w:eastAsia="Arial" w:hAnsi="Arial"/>
                <w:sz w:val="17"/>
                <w:szCs w:val="17"/>
                <w:color w:val="auto"/>
              </w:rPr>
              <w:t>TBD</w:t>
            </w:r>
          </w:p>
        </w:tc>
        <w:tc>
          <w:tcPr>
            <w:tcW w:w="1900" w:type="dxa"/>
            <w:vAlign w:val="bottom"/>
          </w:tcPr>
          <w:p>
            <w:pPr>
              <w:ind w:left="180"/>
              <w:spacing w:after="0" w:line="186" w:lineRule="exact"/>
              <w:rPr>
                <w:sz w:val="20"/>
                <w:szCs w:val="20"/>
                <w:color w:val="auto"/>
              </w:rPr>
            </w:pPr>
            <w:r>
              <w:rPr>
                <w:rFonts w:ascii="Arial" w:cs="Arial" w:eastAsia="Arial" w:hAnsi="Arial"/>
                <w:sz w:val="17"/>
                <w:szCs w:val="17"/>
                <w:color w:val="auto"/>
                <w:w w:val="91"/>
              </w:rPr>
              <w:t>Cost dependent on audit</w:t>
            </w:r>
          </w:p>
        </w:tc>
        <w:tc>
          <w:tcPr>
            <w:tcW w:w="0" w:type="dxa"/>
            <w:vAlign w:val="bottom"/>
          </w:tcPr>
          <w:p>
            <w:pPr>
              <w:spacing w:after="0"/>
              <w:rPr>
                <w:sz w:val="1"/>
                <w:szCs w:val="1"/>
                <w:color w:val="auto"/>
              </w:rPr>
            </w:pPr>
          </w:p>
        </w:tc>
      </w:tr>
      <w:tr>
        <w:trPr>
          <w:trHeight w:val="186"/>
        </w:trPr>
        <w:tc>
          <w:tcPr>
            <w:tcW w:w="2060" w:type="dxa"/>
            <w:vAlign w:val="bottom"/>
          </w:tcPr>
          <w:p>
            <w:pPr>
              <w:ind w:left="80"/>
              <w:spacing w:after="0" w:line="186" w:lineRule="exact"/>
              <w:rPr>
                <w:sz w:val="20"/>
                <w:szCs w:val="20"/>
                <w:color w:val="auto"/>
              </w:rPr>
            </w:pPr>
            <w:r>
              <w:rPr>
                <w:rFonts w:ascii="Arial" w:cs="Arial" w:eastAsia="Arial" w:hAnsi="Arial"/>
                <w:sz w:val="17"/>
                <w:szCs w:val="17"/>
                <w:color w:val="auto"/>
              </w:rPr>
              <w:t>Annual Report (Section</w:t>
            </w:r>
          </w:p>
        </w:tc>
        <w:tc>
          <w:tcPr>
            <w:tcW w:w="1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00" w:type="dxa"/>
            <w:vAlign w:val="bottom"/>
          </w:tcPr>
          <w:p>
            <w:pPr>
              <w:ind w:left="180"/>
              <w:spacing w:after="0" w:line="186" w:lineRule="exact"/>
              <w:rPr>
                <w:sz w:val="20"/>
                <w:szCs w:val="20"/>
                <w:color w:val="auto"/>
              </w:rPr>
            </w:pPr>
            <w:r>
              <w:rPr>
                <w:rFonts w:ascii="Arial" w:cs="Arial" w:eastAsia="Arial" w:hAnsi="Arial"/>
                <w:sz w:val="17"/>
                <w:szCs w:val="17"/>
                <w:color w:val="auto"/>
              </w:rPr>
              <w:t>requirements</w:t>
            </w:r>
          </w:p>
        </w:tc>
        <w:tc>
          <w:tcPr>
            <w:tcW w:w="0" w:type="dxa"/>
            <w:vAlign w:val="bottom"/>
          </w:tcPr>
          <w:p>
            <w:pPr>
              <w:spacing w:after="0"/>
              <w:rPr>
                <w:sz w:val="1"/>
                <w:szCs w:val="1"/>
                <w:color w:val="auto"/>
              </w:rPr>
            </w:pPr>
          </w:p>
        </w:tc>
      </w:tr>
      <w:tr>
        <w:trPr>
          <w:trHeight w:val="182"/>
        </w:trPr>
        <w:tc>
          <w:tcPr>
            <w:tcW w:w="2060" w:type="dxa"/>
            <w:vAlign w:val="bottom"/>
          </w:tcPr>
          <w:p>
            <w:pPr>
              <w:ind w:left="80"/>
              <w:spacing w:after="0" w:line="182" w:lineRule="exact"/>
              <w:rPr>
                <w:sz w:val="20"/>
                <w:szCs w:val="20"/>
                <w:color w:val="auto"/>
              </w:rPr>
            </w:pPr>
            <w:r>
              <w:rPr>
                <w:rFonts w:ascii="Arial" w:cs="Arial" w:eastAsia="Arial" w:hAnsi="Arial"/>
                <w:sz w:val="17"/>
                <w:szCs w:val="17"/>
                <w:color w:val="auto"/>
              </w:rPr>
              <w:t>8.4)</w:t>
            </w:r>
          </w:p>
        </w:tc>
        <w:tc>
          <w:tcPr>
            <w:tcW w:w="10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60" w:type="dxa"/>
            <w:vAlign w:val="bottom"/>
          </w:tcPr>
          <w:p>
            <w:pPr>
              <w:spacing w:after="0"/>
              <w:rPr>
                <w:sz w:val="20"/>
                <w:szCs w:val="20"/>
                <w:color w:val="auto"/>
              </w:rPr>
            </w:pPr>
            <w:r>
              <w:rPr>
                <w:rFonts w:ascii="Arial" w:cs="Arial" w:eastAsia="Arial" w:hAnsi="Arial"/>
                <w:sz w:val="17"/>
                <w:szCs w:val="17"/>
                <w:b w:val="1"/>
                <w:bCs w:val="1"/>
                <w:color w:val="auto"/>
              </w:rPr>
              <w:t>Total - 2003 SO</w:t>
            </w:r>
          </w:p>
        </w:tc>
        <w:tc>
          <w:tcPr>
            <w:tcW w:w="1080" w:type="dxa"/>
            <w:vAlign w:val="bottom"/>
          </w:tcPr>
          <w:p>
            <w:pPr>
              <w:jc w:val="right"/>
              <w:ind w:right="177"/>
              <w:spacing w:after="0"/>
              <w:rPr>
                <w:sz w:val="20"/>
                <w:szCs w:val="20"/>
                <w:color w:val="auto"/>
              </w:rPr>
            </w:pPr>
            <w:r>
              <w:rPr>
                <w:rFonts w:ascii="Arial" w:cs="Arial" w:eastAsia="Arial" w:hAnsi="Arial"/>
                <w:sz w:val="17"/>
                <w:szCs w:val="17"/>
                <w:b w:val="1"/>
                <w:bCs w:val="1"/>
                <w:color w:val="auto"/>
              </w:rPr>
              <w:t>$866,500</w:t>
            </w:r>
          </w:p>
        </w:tc>
        <w:tc>
          <w:tcPr>
            <w:tcW w:w="1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8"/>
        </w:trPr>
        <w:tc>
          <w:tcPr>
            <w:tcW w:w="2060" w:type="dxa"/>
            <w:vAlign w:val="bottom"/>
          </w:tcPr>
          <w:p>
            <w:pPr>
              <w:spacing w:after="0"/>
              <w:rPr>
                <w:sz w:val="20"/>
                <w:szCs w:val="20"/>
                <w:color w:val="auto"/>
              </w:rPr>
            </w:pPr>
            <w:r>
              <w:rPr>
                <w:rFonts w:ascii="Arial" w:cs="Arial" w:eastAsia="Arial" w:hAnsi="Arial"/>
                <w:sz w:val="17"/>
                <w:szCs w:val="17"/>
                <w:b w:val="1"/>
                <w:bCs w:val="1"/>
                <w:color w:val="auto"/>
              </w:rPr>
              <w:t>2006 SO Requirements</w:t>
            </w: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60" w:type="dxa"/>
            <w:vAlign w:val="bottom"/>
          </w:tcPr>
          <w:p>
            <w:pPr>
              <w:spacing w:after="0" w:line="182" w:lineRule="exact"/>
              <w:rPr>
                <w:sz w:val="20"/>
                <w:szCs w:val="20"/>
                <w:color w:val="auto"/>
              </w:rPr>
            </w:pPr>
            <w:r>
              <w:rPr>
                <w:rFonts w:ascii="Arial" w:cs="Arial" w:eastAsia="Arial" w:hAnsi="Arial"/>
                <w:sz w:val="17"/>
                <w:szCs w:val="17"/>
                <w:color w:val="auto"/>
              </w:rPr>
              <w:t>Enhanced Reporting</w:t>
            </w:r>
          </w:p>
        </w:tc>
        <w:tc>
          <w:tcPr>
            <w:tcW w:w="1080" w:type="dxa"/>
            <w:vAlign w:val="bottom"/>
          </w:tcPr>
          <w:p>
            <w:pPr>
              <w:jc w:val="right"/>
              <w:ind w:right="177"/>
              <w:spacing w:after="0" w:line="182" w:lineRule="exact"/>
              <w:rPr>
                <w:sz w:val="20"/>
                <w:szCs w:val="20"/>
                <w:color w:val="auto"/>
              </w:rPr>
            </w:pPr>
            <w:r>
              <w:rPr>
                <w:rFonts w:ascii="Arial" w:cs="Arial" w:eastAsia="Arial" w:hAnsi="Arial"/>
                <w:sz w:val="17"/>
                <w:szCs w:val="17"/>
                <w:color w:val="auto"/>
              </w:rPr>
              <w:t>$10,000</w:t>
            </w:r>
          </w:p>
        </w:tc>
        <w:tc>
          <w:tcPr>
            <w:tcW w:w="16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60" w:type="dxa"/>
            <w:vAlign w:val="bottom"/>
          </w:tcPr>
          <w:p>
            <w:pPr>
              <w:spacing w:after="0"/>
              <w:rPr>
                <w:sz w:val="20"/>
                <w:szCs w:val="20"/>
                <w:color w:val="auto"/>
              </w:rPr>
            </w:pPr>
            <w:r>
              <w:rPr>
                <w:rFonts w:ascii="Arial" w:cs="Arial" w:eastAsia="Arial" w:hAnsi="Arial"/>
                <w:sz w:val="17"/>
                <w:szCs w:val="17"/>
                <w:b w:val="1"/>
                <w:bCs w:val="1"/>
                <w:color w:val="auto"/>
              </w:rPr>
              <w:t>Total - 2006 SO</w:t>
            </w:r>
          </w:p>
        </w:tc>
        <w:tc>
          <w:tcPr>
            <w:tcW w:w="1080" w:type="dxa"/>
            <w:vAlign w:val="bottom"/>
          </w:tcPr>
          <w:p>
            <w:pPr>
              <w:jc w:val="right"/>
              <w:ind w:right="177"/>
              <w:spacing w:after="0"/>
              <w:rPr>
                <w:sz w:val="20"/>
                <w:szCs w:val="20"/>
                <w:color w:val="auto"/>
              </w:rPr>
            </w:pPr>
            <w:r>
              <w:rPr>
                <w:rFonts w:ascii="Arial" w:cs="Arial" w:eastAsia="Arial" w:hAnsi="Arial"/>
                <w:sz w:val="17"/>
                <w:szCs w:val="17"/>
                <w:b w:val="1"/>
                <w:bCs w:val="1"/>
                <w:color w:val="auto"/>
              </w:rPr>
              <w:t>$10,000</w:t>
            </w:r>
          </w:p>
        </w:tc>
        <w:tc>
          <w:tcPr>
            <w:tcW w:w="1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500" w:hanging="497"/>
        <w:spacing w:after="0"/>
        <w:tabs>
          <w:tab w:leader="none" w:pos="50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DWR Bond Charge Implementation Cost Estimates:</w:t>
      </w:r>
    </w:p>
    <w:p>
      <w:pPr>
        <w:spacing w:after="0" w:line="156" w:lineRule="exact"/>
        <w:rPr>
          <w:sz w:val="20"/>
          <w:szCs w:val="20"/>
          <w:color w:val="auto"/>
        </w:rPr>
      </w:pPr>
    </w:p>
    <w:p>
      <w:pPr>
        <w:jc w:val="both"/>
        <w:ind w:firstLine="496"/>
        <w:spacing w:after="0" w:line="237" w:lineRule="auto"/>
        <w:rPr>
          <w:sz w:val="20"/>
          <w:szCs w:val="20"/>
          <w:color w:val="auto"/>
        </w:rPr>
      </w:pPr>
      <w:r>
        <w:rPr>
          <w:rFonts w:ascii="Arial" w:cs="Arial" w:eastAsia="Arial" w:hAnsi="Arial"/>
          <w:sz w:val="17"/>
          <w:szCs w:val="17"/>
          <w:color w:val="auto"/>
        </w:rPr>
        <w:t>The following chart provides an estimate for SDG&amp;E’s implementation costs associated with the November 15, 2002 implementation of the DWR Bond Charge. SDG&amp;E will provide DWR with additional estimates in the future for the implementation costs associated with the second phase of DWR Bond Charge implementation for issues such as Direct Access and Departed Load Customers.</w:t>
      </w:r>
    </w:p>
    <w:p>
      <w:pPr>
        <w:spacing w:after="0" w:line="134" w:lineRule="exact"/>
        <w:rPr>
          <w:sz w:val="20"/>
          <w:szCs w:val="20"/>
          <w:color w:val="auto"/>
        </w:rPr>
      </w:pPr>
    </w:p>
    <w:p>
      <w:pPr>
        <w:ind w:left="500" w:hanging="497"/>
        <w:spacing w:after="0"/>
        <w:tabs>
          <w:tab w:leader="none" w:pos="500" w:val="left"/>
        </w:tabs>
        <w:numPr>
          <w:ilvl w:val="0"/>
          <w:numId w:val="248"/>
        </w:numPr>
        <w:rPr>
          <w:rFonts w:ascii="Arial" w:cs="Arial" w:eastAsia="Arial" w:hAnsi="Arial"/>
          <w:sz w:val="17"/>
          <w:szCs w:val="17"/>
          <w:color w:val="auto"/>
        </w:rPr>
      </w:pPr>
      <w:r>
        <w:rPr>
          <w:rFonts w:ascii="Arial" w:cs="Arial" w:eastAsia="Arial" w:hAnsi="Arial"/>
          <w:sz w:val="17"/>
          <w:szCs w:val="17"/>
          <w:u w:val="single" w:color="auto"/>
          <w:color w:val="auto"/>
        </w:rPr>
        <w:t>Reimbursement of DWR Bond Charge Costs</w:t>
      </w:r>
      <w:r>
        <w:rPr>
          <w:rFonts w:ascii="Arial" w:cs="Arial" w:eastAsia="Arial" w:hAnsi="Arial"/>
          <w:sz w:val="17"/>
          <w:szCs w:val="17"/>
          <w:color w:val="auto"/>
        </w:rPr>
        <w:t>:</w:t>
      </w:r>
    </w:p>
    <w:p>
      <w:pPr>
        <w:spacing w:after="0" w:line="155" w:lineRule="exact"/>
        <w:rPr>
          <w:rFonts w:ascii="Arial" w:cs="Arial" w:eastAsia="Arial" w:hAnsi="Arial"/>
          <w:sz w:val="17"/>
          <w:szCs w:val="17"/>
          <w:color w:val="auto"/>
        </w:rPr>
      </w:pPr>
    </w:p>
    <w:p>
      <w:pPr>
        <w:jc w:val="both"/>
        <w:ind w:firstLine="499"/>
        <w:spacing w:after="0" w:line="237" w:lineRule="auto"/>
        <w:tabs>
          <w:tab w:leader="none" w:pos="679" w:val="left"/>
        </w:tabs>
        <w:numPr>
          <w:ilvl w:val="1"/>
          <w:numId w:val="248"/>
        </w:numPr>
        <w:rPr>
          <w:rFonts w:ascii="Arial" w:cs="Arial" w:eastAsia="Arial" w:hAnsi="Arial"/>
          <w:sz w:val="17"/>
          <w:szCs w:val="17"/>
          <w:color w:val="auto"/>
        </w:rPr>
      </w:pPr>
      <w:r>
        <w:rPr>
          <w:rFonts w:ascii="Arial" w:cs="Arial" w:eastAsia="Arial" w:hAnsi="Arial"/>
          <w:sz w:val="17"/>
          <w:szCs w:val="17"/>
          <w:color w:val="auto"/>
        </w:rPr>
        <w:t>DWR will pay SDG&amp;E an implementation fee and recurring fees in order to cover SDG&amp;E’s reasonable development and on-going costs for the procedures, systems and mechanisms that are necessary to implement the DWR Bond Charge on November 15, 2002. SDG&amp;E shall invoice DWR for payment of the implementation fee and recurring fees with reasonable supporting documentation in accordance with Section 7.2 of the Servicing Order.</w:t>
      </w:r>
    </w:p>
    <w:p>
      <w:pPr>
        <w:spacing w:after="0" w:line="144" w:lineRule="exact"/>
        <w:rPr>
          <w:rFonts w:ascii="Arial" w:cs="Arial" w:eastAsia="Arial" w:hAnsi="Arial"/>
          <w:sz w:val="17"/>
          <w:szCs w:val="17"/>
          <w:color w:val="auto"/>
        </w:rPr>
      </w:pPr>
    </w:p>
    <w:p>
      <w:pPr>
        <w:ind w:firstLine="499"/>
        <w:spacing w:after="0" w:line="245" w:lineRule="auto"/>
        <w:tabs>
          <w:tab w:leader="none" w:pos="666" w:val="left"/>
        </w:tabs>
        <w:numPr>
          <w:ilvl w:val="1"/>
          <w:numId w:val="248"/>
        </w:numPr>
        <w:rPr>
          <w:rFonts w:ascii="Arial" w:cs="Arial" w:eastAsia="Arial" w:hAnsi="Arial"/>
          <w:sz w:val="17"/>
          <w:szCs w:val="17"/>
          <w:color w:val="auto"/>
        </w:rPr>
      </w:pPr>
      <w:r>
        <w:rPr>
          <w:rFonts w:ascii="Arial" w:cs="Arial" w:eastAsia="Arial" w:hAnsi="Arial"/>
          <w:sz w:val="17"/>
          <w:szCs w:val="17"/>
          <w:color w:val="auto"/>
        </w:rPr>
        <w:t>The intent is to reimburse the actual, incremental costs incurred by SDG&amp;E. SDG&amp;E will exercise reasonable commercial efforts in managing their operations to minimize costs and keep within the budgeted costs shown in the table below.</w:t>
      </w:r>
    </w:p>
    <w:p>
      <w:pPr>
        <w:spacing w:after="0" w:line="138" w:lineRule="exact"/>
        <w:rPr>
          <w:rFonts w:ascii="Arial" w:cs="Arial" w:eastAsia="Arial" w:hAnsi="Arial"/>
          <w:sz w:val="17"/>
          <w:szCs w:val="17"/>
          <w:color w:val="auto"/>
        </w:rPr>
      </w:pPr>
    </w:p>
    <w:p>
      <w:pPr>
        <w:ind w:firstLine="499"/>
        <w:spacing w:after="0" w:line="245" w:lineRule="auto"/>
        <w:tabs>
          <w:tab w:leader="none" w:pos="671" w:val="left"/>
        </w:tabs>
        <w:numPr>
          <w:ilvl w:val="1"/>
          <w:numId w:val="248"/>
        </w:numPr>
        <w:rPr>
          <w:rFonts w:ascii="Arial" w:cs="Arial" w:eastAsia="Arial" w:hAnsi="Arial"/>
          <w:sz w:val="17"/>
          <w:szCs w:val="17"/>
          <w:color w:val="auto"/>
        </w:rPr>
      </w:pPr>
      <w:r>
        <w:rPr>
          <w:rFonts w:ascii="Arial" w:cs="Arial" w:eastAsia="Arial" w:hAnsi="Arial"/>
          <w:sz w:val="17"/>
          <w:szCs w:val="17"/>
          <w:color w:val="auto"/>
        </w:rPr>
        <w:t>SDG&amp;E shall invoice DWR after a DWR Bond Charge implementation activity described below has been completed and will undertake reasonable commercial efforts to track and keep costs within the estimated costs shown in Section C of this Attachment G.</w:t>
      </w:r>
    </w:p>
    <w:p>
      <w:pPr>
        <w:sectPr>
          <w:pgSz w:w="11900" w:h="16838" w:orient="portrait"/>
          <w:cols w:equalWidth="0" w:num="1">
            <w:col w:w="11460"/>
          </w:cols>
          <w:pgMar w:left="220" w:top="491" w:right="219" w:bottom="0" w:gutter="0" w:footer="0" w:header="0"/>
        </w:sectPr>
      </w:pPr>
    </w:p>
    <w:bookmarkStart w:id="164" w:name="page165"/>
    <w:bookmarkEnd w:id="164"/>
    <w:p>
      <w:pPr>
        <w:ind w:left="660" w:hanging="161"/>
        <w:spacing w:after="0"/>
        <w:tabs>
          <w:tab w:leader="none" w:pos="6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SDG&amp;E will invoice DWR based on actual costs and provide DWR with an invoice itemizing and documenting such costs.</w:t>
      </w:r>
    </w:p>
    <w:p>
      <w:pPr>
        <w:spacing w:after="0" w:line="155" w:lineRule="exact"/>
        <w:rPr>
          <w:rFonts w:ascii="Arial" w:cs="Arial" w:eastAsia="Arial" w:hAnsi="Arial"/>
          <w:sz w:val="17"/>
          <w:szCs w:val="17"/>
          <w:color w:val="auto"/>
        </w:rPr>
      </w:pPr>
    </w:p>
    <w:p>
      <w:pPr>
        <w:jc w:val="both"/>
        <w:ind w:firstLine="499"/>
        <w:spacing w:after="0" w:line="295" w:lineRule="auto"/>
        <w:tabs>
          <w:tab w:leader="none" w:pos="684" w:val="left"/>
        </w:tabs>
        <w:numPr>
          <w:ilvl w:val="0"/>
          <w:numId w:val="249"/>
        </w:numPr>
        <w:rPr>
          <w:rFonts w:ascii="Arial" w:cs="Arial" w:eastAsia="Arial" w:hAnsi="Arial"/>
          <w:sz w:val="14"/>
          <w:szCs w:val="14"/>
          <w:color w:val="auto"/>
        </w:rPr>
      </w:pPr>
      <w:r>
        <w:rPr>
          <w:rFonts w:ascii="Arial" w:cs="Arial" w:eastAsia="Arial" w:hAnsi="Arial"/>
          <w:sz w:val="14"/>
          <w:szCs w:val="14"/>
          <w:color w:val="auto"/>
        </w:rPr>
        <w:t>SDG&amp;E is unable to track, itemize and document costs for Customer Bill Inquiries related to the DWR Bond Charge without undertaking extensive system programming and hardware upgrades. At this time, SDG&amp;E does not anticipate any incremental increase in costs for these activities. Accordingly, SDG&amp;E has not included cost estimates for Customer Bill Inquiries in the table below. However, DWR agrees that if SDG&amp;E should experience a significant increase in customer bill inquiries associated with the DWR Bond Charge, SDG&amp;E will notify DWR and provide to DWR documentation reasonably necessary to establish such activity levels. SDG&amp;E and DWR shall negotiate a mutually acceptable adjustment based on an estimate of reasonable costs for the applicable increased Customer Bill Inquiries.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DWR Bond Charge Implementation Costs</w:t>
      </w:r>
      <w:r>
        <w:rPr>
          <w:rFonts w:ascii="Arial" w:cs="Arial" w:eastAsia="Arial" w:hAnsi="Arial"/>
          <w:sz w:val="17"/>
          <w:szCs w:val="17"/>
          <w:color w:val="auto"/>
        </w:rPr>
        <w:t>:</w:t>
      </w:r>
    </w:p>
    <w:p>
      <w:pPr>
        <w:spacing w:after="0" w:line="163"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740" w:type="dxa"/>
            <w:vAlign w:val="bottom"/>
          </w:tcPr>
          <w:p>
            <w:pPr>
              <w:jc w:val="center"/>
              <w:ind w:right="77"/>
              <w:spacing w:after="0"/>
              <w:rPr>
                <w:sz w:val="20"/>
                <w:szCs w:val="20"/>
                <w:color w:val="auto"/>
              </w:rPr>
            </w:pPr>
            <w:r>
              <w:rPr>
                <w:rFonts w:ascii="Arial" w:cs="Arial" w:eastAsia="Arial" w:hAnsi="Arial"/>
                <w:sz w:val="17"/>
                <w:szCs w:val="17"/>
                <w:b w:val="1"/>
                <w:bCs w:val="1"/>
                <w:color w:val="auto"/>
                <w:w w:val="97"/>
              </w:rPr>
              <w:t>Item</w:t>
            </w:r>
          </w:p>
        </w:tc>
        <w:tc>
          <w:tcPr>
            <w:tcW w:w="33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7"/>
                <w:szCs w:val="17"/>
                <w:b w:val="1"/>
                <w:bCs w:val="1"/>
                <w:color w:val="auto"/>
                <w:w w:val="92"/>
              </w:rPr>
              <w:t>Quantity or</w:t>
            </w: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3"/>
        </w:trPr>
        <w:tc>
          <w:tcPr>
            <w:tcW w:w="740" w:type="dxa"/>
            <w:vAlign w:val="bottom"/>
          </w:tcPr>
          <w:p>
            <w:pPr>
              <w:jc w:val="center"/>
              <w:ind w:right="77"/>
              <w:spacing w:after="0"/>
              <w:rPr>
                <w:sz w:val="20"/>
                <w:szCs w:val="20"/>
                <w:color w:val="auto"/>
              </w:rPr>
            </w:pPr>
            <w:r>
              <w:rPr>
                <w:rFonts w:ascii="Arial" w:cs="Arial" w:eastAsia="Arial" w:hAnsi="Arial"/>
                <w:sz w:val="17"/>
                <w:szCs w:val="17"/>
                <w:b w:val="1"/>
                <w:bCs w:val="1"/>
                <w:color w:val="auto"/>
                <w:w w:val="90"/>
              </w:rPr>
              <w:t>Number</w:t>
            </w:r>
          </w:p>
        </w:tc>
        <w:tc>
          <w:tcPr>
            <w:tcW w:w="3320" w:type="dxa"/>
            <w:vAlign w:val="bottom"/>
          </w:tcPr>
          <w:p>
            <w:pPr>
              <w:ind w:left="1200"/>
              <w:spacing w:after="0"/>
              <w:rPr>
                <w:sz w:val="20"/>
                <w:szCs w:val="20"/>
                <w:color w:val="auto"/>
              </w:rPr>
            </w:pPr>
            <w:r>
              <w:rPr>
                <w:rFonts w:ascii="Arial" w:cs="Arial" w:eastAsia="Arial" w:hAnsi="Arial"/>
                <w:sz w:val="17"/>
                <w:szCs w:val="17"/>
                <w:b w:val="1"/>
                <w:bCs w:val="1"/>
                <w:color w:val="auto"/>
              </w:rPr>
              <w:t>Expense Items</w:t>
            </w:r>
          </w:p>
        </w:tc>
        <w:tc>
          <w:tcPr>
            <w:tcW w:w="1640" w:type="dxa"/>
            <w:vAlign w:val="bottom"/>
          </w:tcPr>
          <w:p>
            <w:pPr>
              <w:jc w:val="center"/>
              <w:spacing w:after="0"/>
              <w:rPr>
                <w:sz w:val="20"/>
                <w:szCs w:val="20"/>
                <w:color w:val="auto"/>
              </w:rPr>
            </w:pPr>
            <w:r>
              <w:rPr>
                <w:rFonts w:ascii="Arial" w:cs="Arial" w:eastAsia="Arial" w:hAnsi="Arial"/>
                <w:sz w:val="17"/>
                <w:szCs w:val="17"/>
                <w:b w:val="1"/>
                <w:bCs w:val="1"/>
                <w:color w:val="auto"/>
                <w:w w:val="86"/>
              </w:rPr>
              <w:t>Unit Costs</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2002</w:t>
            </w:r>
          </w:p>
        </w:tc>
      </w:tr>
      <w:tr>
        <w:trPr>
          <w:trHeight w:val="269"/>
        </w:trPr>
        <w:tc>
          <w:tcPr>
            <w:tcW w:w="740" w:type="dxa"/>
            <w:vAlign w:val="bottom"/>
          </w:tcPr>
          <w:p>
            <w:pPr>
              <w:jc w:val="center"/>
              <w:ind w:right="77"/>
              <w:spacing w:after="0"/>
              <w:rPr>
                <w:sz w:val="20"/>
                <w:szCs w:val="20"/>
                <w:color w:val="auto"/>
              </w:rPr>
            </w:pPr>
            <w:r>
              <w:rPr>
                <w:rFonts w:ascii="Arial" w:cs="Arial" w:eastAsia="Arial" w:hAnsi="Arial"/>
                <w:sz w:val="17"/>
                <w:szCs w:val="17"/>
                <w:color w:val="auto"/>
              </w:rPr>
              <w:t>1</w:t>
            </w:r>
          </w:p>
        </w:tc>
        <w:tc>
          <w:tcPr>
            <w:tcW w:w="3320" w:type="dxa"/>
            <w:vAlign w:val="bottom"/>
          </w:tcPr>
          <w:p>
            <w:pPr>
              <w:ind w:left="160"/>
              <w:spacing w:after="0"/>
              <w:rPr>
                <w:sz w:val="20"/>
                <w:szCs w:val="20"/>
                <w:color w:val="auto"/>
              </w:rPr>
            </w:pPr>
            <w:r>
              <w:rPr>
                <w:rFonts w:ascii="Arial" w:cs="Arial" w:eastAsia="Arial" w:hAnsi="Arial"/>
                <w:sz w:val="17"/>
                <w:szCs w:val="17"/>
                <w:color w:val="auto"/>
              </w:rPr>
              <w:t>Systems Programming</w:t>
            </w:r>
          </w:p>
        </w:tc>
        <w:tc>
          <w:tcPr>
            <w:tcW w:w="1640" w:type="dxa"/>
            <w:vAlign w:val="bottom"/>
          </w:tcPr>
          <w:p>
            <w:pPr>
              <w:jc w:val="center"/>
              <w:spacing w:after="0"/>
              <w:rPr>
                <w:sz w:val="20"/>
                <w:szCs w:val="20"/>
                <w:color w:val="auto"/>
              </w:rPr>
            </w:pPr>
            <w:r>
              <w:rPr>
                <w:rFonts w:ascii="Arial" w:cs="Arial" w:eastAsia="Arial" w:hAnsi="Arial"/>
                <w:sz w:val="17"/>
                <w:szCs w:val="17"/>
                <w:color w:val="auto"/>
                <w:w w:val="86"/>
              </w:rPr>
              <w:t>One Time Fee</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81"/>
              </w:rPr>
              <w:t>110,000</w:t>
            </w:r>
          </w:p>
        </w:tc>
      </w:tr>
      <w:tr>
        <w:trPr>
          <w:trHeight w:val="351"/>
        </w:trPr>
        <w:tc>
          <w:tcPr>
            <w:tcW w:w="740" w:type="dxa"/>
            <w:vAlign w:val="bottom"/>
          </w:tcPr>
          <w:p>
            <w:pPr>
              <w:jc w:val="center"/>
              <w:ind w:right="77"/>
              <w:spacing w:after="0"/>
              <w:rPr>
                <w:sz w:val="20"/>
                <w:szCs w:val="20"/>
                <w:color w:val="auto"/>
              </w:rPr>
            </w:pPr>
            <w:r>
              <w:rPr>
                <w:rFonts w:ascii="Arial" w:cs="Arial" w:eastAsia="Arial" w:hAnsi="Arial"/>
                <w:sz w:val="17"/>
                <w:szCs w:val="17"/>
                <w:color w:val="auto"/>
              </w:rPr>
              <w:t>2</w:t>
            </w:r>
          </w:p>
        </w:tc>
        <w:tc>
          <w:tcPr>
            <w:tcW w:w="3320" w:type="dxa"/>
            <w:vAlign w:val="bottom"/>
          </w:tcPr>
          <w:p>
            <w:pPr>
              <w:ind w:left="160"/>
              <w:spacing w:after="0"/>
              <w:rPr>
                <w:sz w:val="20"/>
                <w:szCs w:val="20"/>
                <w:color w:val="auto"/>
              </w:rPr>
            </w:pPr>
            <w:r>
              <w:rPr>
                <w:rFonts w:ascii="Arial" w:cs="Arial" w:eastAsia="Arial" w:hAnsi="Arial"/>
                <w:sz w:val="17"/>
                <w:szCs w:val="17"/>
                <w:color w:val="auto"/>
              </w:rPr>
              <w:t>Additional Postage for Bill Messages</w:t>
            </w:r>
          </w:p>
        </w:tc>
        <w:tc>
          <w:tcPr>
            <w:tcW w:w="1640" w:type="dxa"/>
            <w:vAlign w:val="bottom"/>
          </w:tcPr>
          <w:p>
            <w:pPr>
              <w:jc w:val="center"/>
              <w:spacing w:after="0"/>
              <w:rPr>
                <w:sz w:val="20"/>
                <w:szCs w:val="20"/>
                <w:color w:val="auto"/>
              </w:rPr>
            </w:pPr>
            <w:r>
              <w:rPr>
                <w:rFonts w:ascii="Arial" w:cs="Arial" w:eastAsia="Arial" w:hAnsi="Arial"/>
                <w:sz w:val="17"/>
                <w:szCs w:val="17"/>
                <w:color w:val="auto"/>
                <w:w w:val="89"/>
              </w:rPr>
              <w:t>One-Time</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20,000</w:t>
            </w:r>
          </w:p>
        </w:tc>
      </w:tr>
      <w:tr>
        <w:trPr>
          <w:trHeight w:val="351"/>
        </w:trPr>
        <w:tc>
          <w:tcPr>
            <w:tcW w:w="740" w:type="dxa"/>
            <w:vAlign w:val="bottom"/>
          </w:tcPr>
          <w:p>
            <w:pPr>
              <w:jc w:val="center"/>
              <w:ind w:right="77"/>
              <w:spacing w:after="0"/>
              <w:rPr>
                <w:sz w:val="20"/>
                <w:szCs w:val="20"/>
                <w:color w:val="auto"/>
              </w:rPr>
            </w:pPr>
            <w:r>
              <w:rPr>
                <w:rFonts w:ascii="Arial" w:cs="Arial" w:eastAsia="Arial" w:hAnsi="Arial"/>
                <w:sz w:val="17"/>
                <w:szCs w:val="17"/>
                <w:color w:val="auto"/>
              </w:rPr>
              <w:t>4</w:t>
            </w:r>
          </w:p>
        </w:tc>
        <w:tc>
          <w:tcPr>
            <w:tcW w:w="3320" w:type="dxa"/>
            <w:vAlign w:val="bottom"/>
          </w:tcPr>
          <w:p>
            <w:pPr>
              <w:ind w:left="160"/>
              <w:spacing w:after="0"/>
              <w:rPr>
                <w:sz w:val="20"/>
                <w:szCs w:val="20"/>
                <w:color w:val="auto"/>
              </w:rPr>
            </w:pPr>
            <w:r>
              <w:rPr>
                <w:rFonts w:ascii="Arial" w:cs="Arial" w:eastAsia="Arial" w:hAnsi="Arial"/>
                <w:sz w:val="17"/>
                <w:szCs w:val="17"/>
                <w:color w:val="auto"/>
                <w:w w:val="98"/>
              </w:rPr>
              <w:t>Customer Service Representative Training</w:t>
            </w:r>
          </w:p>
        </w:tc>
        <w:tc>
          <w:tcPr>
            <w:tcW w:w="1640" w:type="dxa"/>
            <w:vAlign w:val="bottom"/>
          </w:tcPr>
          <w:p>
            <w:pPr>
              <w:jc w:val="center"/>
              <w:spacing w:after="0"/>
              <w:rPr>
                <w:sz w:val="20"/>
                <w:szCs w:val="20"/>
                <w:color w:val="auto"/>
              </w:rPr>
            </w:pPr>
            <w:r>
              <w:rPr>
                <w:rFonts w:ascii="Arial" w:cs="Arial" w:eastAsia="Arial" w:hAnsi="Arial"/>
                <w:sz w:val="17"/>
                <w:szCs w:val="17"/>
                <w:color w:val="auto"/>
                <w:w w:val="89"/>
              </w:rPr>
              <w:t>One-Time</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10,000</w:t>
            </w:r>
          </w:p>
        </w:tc>
      </w:tr>
      <w:tr>
        <w:trPr>
          <w:trHeight w:val="351"/>
        </w:trPr>
        <w:tc>
          <w:tcPr>
            <w:tcW w:w="740" w:type="dxa"/>
            <w:vAlign w:val="bottom"/>
          </w:tcPr>
          <w:p>
            <w:pPr>
              <w:spacing w:after="0"/>
              <w:rPr>
                <w:sz w:val="24"/>
                <w:szCs w:val="24"/>
                <w:color w:val="auto"/>
              </w:rPr>
            </w:pPr>
          </w:p>
        </w:tc>
        <w:tc>
          <w:tcPr>
            <w:tcW w:w="3320" w:type="dxa"/>
            <w:vAlign w:val="bottom"/>
          </w:tcPr>
          <w:p>
            <w:pPr>
              <w:ind w:left="160"/>
              <w:spacing w:after="0"/>
              <w:rPr>
                <w:sz w:val="20"/>
                <w:szCs w:val="20"/>
                <w:color w:val="auto"/>
              </w:rPr>
            </w:pPr>
            <w:r>
              <w:rPr>
                <w:rFonts w:ascii="Arial" w:cs="Arial" w:eastAsia="Arial" w:hAnsi="Arial"/>
                <w:sz w:val="17"/>
                <w:szCs w:val="17"/>
                <w:b w:val="1"/>
                <w:bCs w:val="1"/>
                <w:color w:val="auto"/>
              </w:rPr>
              <w:t>Total Estimated Admin Costs</w:t>
            </w:r>
          </w:p>
        </w:tc>
        <w:tc>
          <w:tcPr>
            <w:tcW w:w="16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w w:val="84"/>
              </w:rPr>
              <w:t>140,000</w:t>
            </w:r>
          </w:p>
        </w:tc>
      </w:tr>
    </w:tbl>
    <w:p>
      <w:pPr>
        <w:spacing w:after="0" w:line="200" w:lineRule="exact"/>
        <w:rPr>
          <w:sz w:val="20"/>
          <w:szCs w:val="20"/>
          <w:color w:val="auto"/>
        </w:rPr>
      </w:pPr>
    </w:p>
    <w:p>
      <w:pPr>
        <w:spacing w:after="0" w:line="283" w:lineRule="exact"/>
        <w:rPr>
          <w:sz w:val="20"/>
          <w:szCs w:val="20"/>
          <w:color w:val="auto"/>
        </w:rPr>
      </w:pPr>
    </w:p>
    <w:p>
      <w:pPr>
        <w:ind w:left="500" w:hanging="497"/>
        <w:spacing w:after="0"/>
        <w:tabs>
          <w:tab w:leader="none" w:pos="50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Summary of Estimated Costs from the 2003 Servicing Order and Actual Payments to SDG&amp;E for Billing Services:</w:t>
      </w:r>
    </w:p>
    <w:p>
      <w:pPr>
        <w:spacing w:after="0" w:line="165" w:lineRule="exact"/>
        <w:rPr>
          <w:sz w:val="20"/>
          <w:szCs w:val="20"/>
          <w:color w:val="auto"/>
        </w:rPr>
      </w:pPr>
    </w:p>
    <w:tbl>
      <w:tblPr>
        <w:tblLayout w:type="fixed"/>
        <w:tblInd w:w="100" w:type="dxa"/>
        <w:tblCellMar>
          <w:top w:w="0" w:type="dxa"/>
          <w:left w:w="0" w:type="dxa"/>
          <w:bottom w:w="0" w:type="dxa"/>
          <w:right w:w="0" w:type="dxa"/>
        </w:tblCellMar>
      </w:tblPr>
      <w:tr>
        <w:trPr>
          <w:trHeight w:val="172"/>
        </w:trPr>
        <w:tc>
          <w:tcPr>
            <w:tcW w:w="78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5"/>
                <w:szCs w:val="15"/>
                <w:color w:val="auto"/>
              </w:rPr>
              <w:t>Charges</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2001</w:t>
            </w:r>
          </w:p>
        </w:tc>
        <w:tc>
          <w:tcPr>
            <w:tcW w:w="520" w:type="dxa"/>
            <w:vAlign w:val="bottom"/>
          </w:tcPr>
          <w:p>
            <w:pPr>
              <w:spacing w:after="0"/>
              <w:rPr>
                <w:sz w:val="14"/>
                <w:szCs w:val="14"/>
                <w:color w:val="auto"/>
              </w:rPr>
            </w:pPr>
          </w:p>
        </w:tc>
        <w:tc>
          <w:tcPr>
            <w:tcW w:w="1320" w:type="dxa"/>
            <w:vAlign w:val="bottom"/>
            <w:gridSpan w:val="3"/>
          </w:tcPr>
          <w:p>
            <w:pPr>
              <w:jc w:val="right"/>
              <w:ind w:right="760"/>
              <w:spacing w:after="0"/>
              <w:rPr>
                <w:sz w:val="20"/>
                <w:szCs w:val="20"/>
                <w:color w:val="auto"/>
              </w:rPr>
            </w:pPr>
            <w:r>
              <w:rPr>
                <w:rFonts w:ascii="Arial" w:cs="Arial" w:eastAsia="Arial" w:hAnsi="Arial"/>
                <w:sz w:val="15"/>
                <w:szCs w:val="15"/>
                <w:color w:val="auto"/>
              </w:rPr>
              <w:t>2002</w:t>
            </w:r>
          </w:p>
        </w:tc>
        <w:tc>
          <w:tcPr>
            <w:tcW w:w="840" w:type="dxa"/>
            <w:vAlign w:val="bottom"/>
            <w:gridSpan w:val="2"/>
          </w:tcPr>
          <w:p>
            <w:pPr>
              <w:jc w:val="right"/>
              <w:ind w:right="540"/>
              <w:spacing w:after="0"/>
              <w:rPr>
                <w:sz w:val="20"/>
                <w:szCs w:val="20"/>
                <w:color w:val="auto"/>
              </w:rPr>
            </w:pPr>
            <w:r>
              <w:rPr>
                <w:rFonts w:ascii="Arial" w:cs="Arial" w:eastAsia="Arial" w:hAnsi="Arial"/>
                <w:sz w:val="15"/>
                <w:szCs w:val="15"/>
                <w:color w:val="auto"/>
                <w:w w:val="83"/>
              </w:rPr>
              <w:t>2003</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2004</w:t>
            </w:r>
          </w:p>
        </w:tc>
        <w:tc>
          <w:tcPr>
            <w:tcW w:w="52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2005</w:t>
            </w:r>
          </w:p>
        </w:tc>
        <w:tc>
          <w:tcPr>
            <w:tcW w:w="280" w:type="dxa"/>
            <w:vAlign w:val="bottom"/>
          </w:tcPr>
          <w:p>
            <w:pPr>
              <w:spacing w:after="0"/>
              <w:rPr>
                <w:sz w:val="14"/>
                <w:szCs w:val="14"/>
                <w:color w:val="auto"/>
              </w:rPr>
            </w:pPr>
          </w:p>
        </w:tc>
      </w:tr>
      <w:tr>
        <w:trPr>
          <w:trHeight w:val="20"/>
        </w:trPr>
        <w:tc>
          <w:tcPr>
            <w:tcW w:w="7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30"/>
        </w:trPr>
        <w:tc>
          <w:tcPr>
            <w:tcW w:w="780" w:type="dxa"/>
            <w:vAlign w:val="bottom"/>
          </w:tcPr>
          <w:p>
            <w:pPr>
              <w:spacing w:after="0"/>
              <w:rPr>
                <w:sz w:val="20"/>
                <w:szCs w:val="20"/>
                <w:color w:val="auto"/>
              </w:rPr>
            </w:pPr>
            <w:r>
              <w:rPr>
                <w:rFonts w:ascii="Arial" w:cs="Arial" w:eastAsia="Arial" w:hAnsi="Arial"/>
                <w:sz w:val="14"/>
                <w:szCs w:val="14"/>
                <w:color w:val="auto"/>
                <w:w w:val="97"/>
              </w:rPr>
              <w:t>Initial Set-up</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95"/>
              </w:rPr>
              <w:t>$866,500</w:t>
            </w:r>
          </w:p>
        </w:tc>
        <w:tc>
          <w:tcPr>
            <w:tcW w:w="1320" w:type="dxa"/>
            <w:vAlign w:val="bottom"/>
            <w:gridSpan w:val="3"/>
          </w:tcPr>
          <w:p>
            <w:pPr>
              <w:jc w:val="right"/>
              <w:ind w:right="480"/>
              <w:spacing w:after="0"/>
              <w:rPr>
                <w:sz w:val="20"/>
                <w:szCs w:val="20"/>
                <w:color w:val="auto"/>
              </w:rPr>
            </w:pPr>
            <w:r>
              <w:rPr>
                <w:rFonts w:ascii="Arial" w:cs="Arial" w:eastAsia="Arial" w:hAnsi="Arial"/>
                <w:sz w:val="14"/>
                <w:szCs w:val="14"/>
                <w:color w:val="auto"/>
              </w:rPr>
              <w:t>$132,000</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$132,000</w:t>
            </w:r>
          </w:p>
        </w:tc>
        <w:tc>
          <w:tcPr>
            <w:tcW w:w="1060" w:type="dxa"/>
            <w:vAlign w:val="bottom"/>
            <w:gridSpan w:val="3"/>
          </w:tcPr>
          <w:p>
            <w:pPr>
              <w:jc w:val="right"/>
              <w:ind w:right="240"/>
              <w:spacing w:after="0"/>
              <w:rPr>
                <w:sz w:val="20"/>
                <w:szCs w:val="20"/>
                <w:color w:val="auto"/>
              </w:rPr>
            </w:pPr>
            <w:r>
              <w:rPr>
                <w:rFonts w:ascii="Arial" w:cs="Arial" w:eastAsia="Arial" w:hAnsi="Arial"/>
                <w:sz w:val="14"/>
                <w:szCs w:val="14"/>
                <w:color w:val="auto"/>
              </w:rPr>
              <w:t>$132,000</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$132,000</w:t>
            </w:r>
          </w:p>
        </w:tc>
      </w:tr>
      <w:tr>
        <w:trPr>
          <w:trHeight w:val="300"/>
        </w:trPr>
        <w:tc>
          <w:tcPr>
            <w:tcW w:w="2060" w:type="dxa"/>
            <w:vAlign w:val="bottom"/>
            <w:gridSpan w:val="3"/>
          </w:tcPr>
          <w:p>
            <w:pPr>
              <w:spacing w:after="0"/>
              <w:rPr>
                <w:sz w:val="20"/>
                <w:szCs w:val="20"/>
                <w:color w:val="auto"/>
              </w:rPr>
            </w:pPr>
            <w:r>
              <w:rPr>
                <w:rFonts w:ascii="Arial" w:cs="Arial" w:eastAsia="Arial" w:hAnsi="Arial"/>
                <w:sz w:val="14"/>
                <w:szCs w:val="14"/>
                <w:color w:val="auto"/>
              </w:rPr>
              <w:t>Bond Charge Set-up</w:t>
            </w:r>
          </w:p>
        </w:tc>
        <w:tc>
          <w:tcPr>
            <w:tcW w:w="13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480"/>
              <w:spacing w:after="0"/>
              <w:rPr>
                <w:sz w:val="20"/>
                <w:szCs w:val="20"/>
                <w:color w:val="auto"/>
              </w:rPr>
            </w:pPr>
            <w:r>
              <w:rPr>
                <w:rFonts w:ascii="Arial" w:cs="Arial" w:eastAsia="Arial" w:hAnsi="Arial"/>
                <w:sz w:val="14"/>
                <w:szCs w:val="14"/>
                <w:color w:val="auto"/>
              </w:rPr>
              <w:t>140,000</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w:t>
            </w:r>
          </w:p>
        </w:tc>
      </w:tr>
      <w:tr>
        <w:trPr>
          <w:trHeight w:val="300"/>
        </w:trPr>
        <w:tc>
          <w:tcPr>
            <w:tcW w:w="2060" w:type="dxa"/>
            <w:vAlign w:val="bottom"/>
            <w:gridSpan w:val="3"/>
          </w:tcPr>
          <w:p>
            <w:pPr>
              <w:spacing w:after="0"/>
              <w:rPr>
                <w:sz w:val="20"/>
                <w:szCs w:val="20"/>
                <w:color w:val="auto"/>
              </w:rPr>
            </w:pPr>
            <w:r>
              <w:rPr>
                <w:rFonts w:ascii="Arial" w:cs="Arial" w:eastAsia="Arial" w:hAnsi="Arial"/>
                <w:sz w:val="14"/>
                <w:szCs w:val="14"/>
                <w:color w:val="auto"/>
              </w:rPr>
              <w:t>$1 Billion Refund Set-up</w:t>
            </w:r>
          </w:p>
        </w:tc>
        <w:tc>
          <w:tcPr>
            <w:tcW w:w="13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168,000</w:t>
            </w:r>
          </w:p>
        </w:tc>
        <w:tc>
          <w:tcPr>
            <w:tcW w:w="10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w:t>
            </w:r>
          </w:p>
        </w:tc>
      </w:tr>
      <w:tr>
        <w:trPr>
          <w:trHeight w:val="300"/>
        </w:trPr>
        <w:tc>
          <w:tcPr>
            <w:tcW w:w="2060" w:type="dxa"/>
            <w:vAlign w:val="bottom"/>
            <w:gridSpan w:val="3"/>
          </w:tcPr>
          <w:p>
            <w:pPr>
              <w:spacing w:after="0"/>
              <w:rPr>
                <w:sz w:val="20"/>
                <w:szCs w:val="20"/>
                <w:color w:val="auto"/>
              </w:rPr>
            </w:pPr>
            <w:r>
              <w:rPr>
                <w:rFonts w:ascii="Arial" w:cs="Arial" w:eastAsia="Arial" w:hAnsi="Arial"/>
                <w:sz w:val="14"/>
                <w:szCs w:val="14"/>
                <w:color w:val="auto"/>
              </w:rPr>
              <w:t>LPP System Correction</w:t>
            </w:r>
          </w:p>
        </w:tc>
        <w:tc>
          <w:tcPr>
            <w:tcW w:w="13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500,000</w:t>
            </w:r>
          </w:p>
        </w:tc>
      </w:tr>
      <w:tr>
        <w:trPr>
          <w:trHeight w:val="300"/>
        </w:trPr>
        <w:tc>
          <w:tcPr>
            <w:tcW w:w="206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 Estimated Amount</w:t>
            </w:r>
          </w:p>
        </w:tc>
        <w:tc>
          <w:tcPr>
            <w:tcW w:w="13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$866,500</w:t>
            </w:r>
          </w:p>
        </w:tc>
        <w:tc>
          <w:tcPr>
            <w:tcW w:w="13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$272,000</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$300,000</w:t>
            </w:r>
          </w:p>
        </w:tc>
        <w:tc>
          <w:tcPr>
            <w:tcW w:w="10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$132,000</w:t>
            </w: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$632,000</w:t>
            </w:r>
          </w:p>
        </w:tc>
      </w:tr>
      <w:tr>
        <w:trPr>
          <w:trHeight w:val="300"/>
        </w:trPr>
        <w:tc>
          <w:tcPr>
            <w:tcW w:w="206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 Actual Payment</w:t>
            </w:r>
          </w:p>
        </w:tc>
        <w:tc>
          <w:tcPr>
            <w:tcW w:w="13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$732,003</w:t>
            </w:r>
          </w:p>
        </w:tc>
        <w:tc>
          <w:tcPr>
            <w:tcW w:w="13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$0</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$77,200</w:t>
            </w:r>
          </w:p>
        </w:tc>
        <w:tc>
          <w:tcPr>
            <w:tcW w:w="10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$69,545</w:t>
            </w: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$578,348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w:t>
      </w:r>
    </w:p>
    <w:p>
      <w:pPr>
        <w:sectPr>
          <w:pgSz w:w="11900" w:h="16838" w:orient="portrait"/>
          <w:cols w:equalWidth="0" w:num="1">
            <w:col w:w="11460"/>
          </w:cols>
          <w:pgMar w:left="220" w:top="124" w:right="21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7"/>
          <w:szCs w:val="17"/>
          <w:b w:val="1"/>
          <w:bCs w:val="1"/>
          <w:color w:val="auto"/>
        </w:rPr>
        <w:t>ATTACHMENT 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[Provisions of Attachment H have been incorporated in</w:t>
      </w:r>
    </w:p>
    <w:p>
      <w:pPr>
        <w:spacing w:after="0" w:line="39"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Appendix A-2 of Attachment B of the Servicing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w:t>
      </w:r>
    </w:p>
    <w:p>
      <w:pPr>
        <w:sectPr>
          <w:pgSz w:w="11900" w:h="16838" w:orient="portrait"/>
          <w:cols w:equalWidth="0" w:num="1">
            <w:col w:w="9019"/>
          </w:cols>
          <w:pgMar w:left="1440" w:top="491" w:right="1440" w:bottom="1440" w:gutter="0" w:footer="0" w:header="0"/>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Fixed charges and preferred stock dividends:</w:t>
      </w:r>
    </w:p>
    <w:p>
      <w:pPr>
        <w:spacing w:after="0" w:line="231" w:lineRule="auto"/>
        <w:rPr>
          <w:sz w:val="20"/>
          <w:szCs w:val="20"/>
          <w:color w:val="auto"/>
        </w:rPr>
      </w:pPr>
      <w:r>
        <w:rPr>
          <w:rFonts w:ascii="Arial" w:cs="Arial" w:eastAsia="Arial" w:hAnsi="Arial"/>
          <w:sz w:val="14"/>
          <w:szCs w:val="14"/>
          <w:color w:val="auto"/>
        </w:rPr>
        <w:t>Interest</w:t>
      </w:r>
    </w:p>
    <w:p>
      <w:pPr>
        <w:ind w:right="660"/>
        <w:spacing w:after="0" w:line="257" w:lineRule="auto"/>
        <w:rPr>
          <w:sz w:val="20"/>
          <w:szCs w:val="20"/>
          <w:color w:val="auto"/>
        </w:rPr>
      </w:pPr>
      <w:r>
        <w:rPr>
          <w:rFonts w:ascii="Arial" w:cs="Arial" w:eastAsia="Arial" w:hAnsi="Arial"/>
          <w:sz w:val="13"/>
          <w:szCs w:val="13"/>
          <w:color w:val="auto"/>
        </w:rPr>
        <w:t>Interest portion of annual rentals Preferred dividends of subsidiaries (1)</w:t>
      </w:r>
    </w:p>
    <w:p>
      <w:pPr>
        <w:ind w:left="200"/>
        <w:spacing w:after="0" w:line="231" w:lineRule="auto"/>
        <w:rPr>
          <w:sz w:val="20"/>
          <w:szCs w:val="20"/>
          <w:color w:val="auto"/>
        </w:rPr>
      </w:pPr>
      <w:r>
        <w:rPr>
          <w:rFonts w:ascii="Arial" w:cs="Arial" w:eastAsia="Arial" w:hAnsi="Arial"/>
          <w:sz w:val="14"/>
          <w:szCs w:val="14"/>
          <w:color w:val="auto"/>
        </w:rPr>
        <w:t>Total fixed charges</w:t>
      </w:r>
    </w:p>
    <w:p>
      <w:pPr>
        <w:spacing w:after="0" w:line="231" w:lineRule="auto"/>
        <w:rPr>
          <w:sz w:val="20"/>
          <w:szCs w:val="20"/>
          <w:color w:val="auto"/>
        </w:rPr>
      </w:pPr>
      <w:r>
        <w:rPr>
          <w:rFonts w:ascii="Arial" w:cs="Arial" w:eastAsia="Arial" w:hAnsi="Arial"/>
          <w:sz w:val="14"/>
          <w:szCs w:val="14"/>
          <w:color w:val="auto"/>
        </w:rPr>
        <w:t>Preferred dividends for purpose of ratio</w:t>
      </w:r>
    </w:p>
    <w:p>
      <w:pPr>
        <w:ind w:left="200" w:right="140" w:hanging="197"/>
        <w:spacing w:after="0" w:line="238" w:lineRule="auto"/>
        <w:rPr>
          <w:sz w:val="20"/>
          <w:szCs w:val="20"/>
          <w:color w:val="auto"/>
        </w:rPr>
      </w:pPr>
      <w:r>
        <w:rPr>
          <w:rFonts w:ascii="Arial" w:cs="Arial" w:eastAsia="Arial" w:hAnsi="Arial"/>
          <w:sz w:val="14"/>
          <w:szCs w:val="14"/>
          <w:color w:val="auto"/>
        </w:rPr>
        <w:t>Total fixed charges and preferred dividends for purpose of ratio</w:t>
      </w:r>
    </w:p>
    <w:p>
      <w:pPr>
        <w:spacing w:after="0" w:line="232" w:lineRule="auto"/>
        <w:rPr>
          <w:sz w:val="20"/>
          <w:szCs w:val="20"/>
          <w:color w:val="auto"/>
        </w:rPr>
      </w:pPr>
      <w:r>
        <w:rPr>
          <w:rFonts w:ascii="Arial" w:cs="Arial" w:eastAsia="Arial" w:hAnsi="Arial"/>
          <w:sz w:val="14"/>
          <w:szCs w:val="14"/>
          <w:color w:val="auto"/>
        </w:rPr>
        <w:t>Earnings:</w:t>
      </w:r>
    </w:p>
    <w:p>
      <w:pPr>
        <w:spacing w:after="0" w:line="1" w:lineRule="exact"/>
        <w:rPr>
          <w:sz w:val="20"/>
          <w:szCs w:val="20"/>
          <w:color w:val="auto"/>
        </w:rPr>
      </w:pPr>
    </w:p>
    <w:p>
      <w:pPr>
        <w:ind w:left="200" w:hanging="197"/>
        <w:spacing w:after="0" w:line="235" w:lineRule="auto"/>
        <w:rPr>
          <w:sz w:val="20"/>
          <w:szCs w:val="20"/>
          <w:color w:val="auto"/>
        </w:rPr>
      </w:pPr>
      <w:r>
        <w:rPr>
          <w:rFonts w:ascii="Arial" w:cs="Arial" w:eastAsia="Arial" w:hAnsi="Arial"/>
          <w:sz w:val="14"/>
          <w:szCs w:val="14"/>
          <w:color w:val="auto"/>
        </w:rPr>
        <w:t>Pretax income from continuing operations before adjustment for income or loss from equity investees</w:t>
      </w:r>
    </w:p>
    <w:p>
      <w:pPr>
        <w:spacing w:after="0" w:line="234" w:lineRule="auto"/>
        <w:rPr>
          <w:sz w:val="20"/>
          <w:szCs w:val="20"/>
          <w:color w:val="auto"/>
        </w:rPr>
      </w:pPr>
      <w:r>
        <w:rPr>
          <w:rFonts w:ascii="Arial" w:cs="Arial" w:eastAsia="Arial" w:hAnsi="Arial"/>
          <w:sz w:val="14"/>
          <w:szCs w:val="14"/>
          <w:color w:val="auto"/>
        </w:rPr>
        <w:t>Add:</w:t>
      </w:r>
    </w:p>
    <w:p>
      <w:pPr>
        <w:spacing w:after="0" w:line="1" w:lineRule="exact"/>
        <w:rPr>
          <w:sz w:val="20"/>
          <w:szCs w:val="20"/>
          <w:color w:val="auto"/>
        </w:rPr>
      </w:pPr>
    </w:p>
    <w:p>
      <w:pPr>
        <w:ind w:left="80" w:right="580" w:hanging="1"/>
        <w:spacing w:after="0" w:line="257" w:lineRule="auto"/>
        <w:rPr>
          <w:sz w:val="20"/>
          <w:szCs w:val="20"/>
          <w:color w:val="auto"/>
        </w:rPr>
      </w:pPr>
      <w:r>
        <w:rPr>
          <w:rFonts w:ascii="Arial" w:cs="Arial" w:eastAsia="Arial" w:hAnsi="Arial"/>
          <w:sz w:val="13"/>
          <w:szCs w:val="13"/>
          <w:color w:val="auto"/>
        </w:rPr>
        <w:t>Total fixed charges (from above) Distributed income of equity investees</w:t>
      </w:r>
    </w:p>
    <w:p>
      <w:pPr>
        <w:spacing w:after="0" w:line="231" w:lineRule="auto"/>
        <w:rPr>
          <w:sz w:val="20"/>
          <w:szCs w:val="20"/>
          <w:color w:val="auto"/>
        </w:rPr>
      </w:pPr>
      <w:r>
        <w:rPr>
          <w:rFonts w:ascii="Arial" w:cs="Arial" w:eastAsia="Arial" w:hAnsi="Arial"/>
          <w:sz w:val="14"/>
          <w:szCs w:val="14"/>
          <w:color w:val="auto"/>
        </w:rPr>
        <w:t>Less:</w:t>
      </w:r>
    </w:p>
    <w:p>
      <w:pPr>
        <w:ind w:left="80"/>
        <w:spacing w:after="0"/>
        <w:rPr>
          <w:sz w:val="20"/>
          <w:szCs w:val="20"/>
          <w:color w:val="auto"/>
        </w:rPr>
      </w:pPr>
      <w:r>
        <w:rPr>
          <w:rFonts w:ascii="Arial" w:cs="Arial" w:eastAsia="Arial" w:hAnsi="Arial"/>
          <w:sz w:val="14"/>
          <w:szCs w:val="14"/>
          <w:color w:val="auto"/>
        </w:rPr>
        <w:t>Interest capitalized</w:t>
      </w:r>
    </w:p>
    <w:p>
      <w:pPr>
        <w:spacing w:after="0" w:line="4" w:lineRule="exact"/>
        <w:rPr>
          <w:sz w:val="20"/>
          <w:szCs w:val="20"/>
          <w:color w:val="auto"/>
        </w:rPr>
      </w:pPr>
    </w:p>
    <w:p>
      <w:pPr>
        <w:ind w:left="80"/>
        <w:spacing w:after="0"/>
        <w:rPr>
          <w:sz w:val="20"/>
          <w:szCs w:val="20"/>
          <w:color w:val="auto"/>
        </w:rPr>
      </w:pPr>
      <w:r>
        <w:rPr>
          <w:rFonts w:ascii="Arial" w:cs="Arial" w:eastAsia="Arial" w:hAnsi="Arial"/>
          <w:sz w:val="14"/>
          <w:szCs w:val="14"/>
          <w:color w:val="auto"/>
        </w:rPr>
        <w:t>Preferred dividends of subsidiaries (1)</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Total earnings for purpose of ratio</w:t>
      </w:r>
    </w:p>
    <w:p>
      <w:pPr>
        <w:ind w:left="200" w:right="20" w:hanging="197"/>
        <w:spacing w:after="0" w:line="238" w:lineRule="auto"/>
        <w:rPr>
          <w:sz w:val="20"/>
          <w:szCs w:val="20"/>
          <w:color w:val="auto"/>
        </w:rPr>
      </w:pPr>
      <w:r>
        <w:rPr>
          <w:rFonts w:ascii="Arial" w:cs="Arial" w:eastAsia="Arial" w:hAnsi="Arial"/>
          <w:sz w:val="14"/>
          <w:szCs w:val="14"/>
          <w:color w:val="auto"/>
        </w:rPr>
        <w:t>Ratio of earnings to combined fixed charges and preferred stock dividends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Ratio of earnings to fixed charges</w:t>
      </w:r>
    </w:p>
    <w:p>
      <w:pPr>
        <w:spacing w:after="0" w:line="20" w:lineRule="exact"/>
        <w:rPr>
          <w:sz w:val="20"/>
          <w:szCs w:val="20"/>
          <w:color w:val="auto"/>
        </w:rPr>
      </w:pPr>
      <w:r>
        <w:rPr>
          <w:sz w:val="20"/>
          <w:szCs w:val="20"/>
          <w:color w:val="auto"/>
        </w:rPr>
        <w:br w:type="column"/>
      </w:r>
    </w:p>
    <w:p>
      <w:pPr>
        <w:jc w:val="center"/>
        <w:ind w:right="3280"/>
        <w:spacing w:after="0"/>
        <w:rPr>
          <w:sz w:val="20"/>
          <w:szCs w:val="20"/>
          <w:color w:val="auto"/>
        </w:rPr>
      </w:pPr>
      <w:r>
        <w:rPr>
          <w:rFonts w:ascii="Arial" w:cs="Arial" w:eastAsia="Arial" w:hAnsi="Arial"/>
          <w:sz w:val="14"/>
          <w:szCs w:val="14"/>
          <w:b w:val="1"/>
          <w:bCs w:val="1"/>
          <w:color w:val="auto"/>
        </w:rPr>
        <w:t>EXHIBIT 12.1</w:t>
      </w:r>
    </w:p>
    <w:p>
      <w:pPr>
        <w:spacing w:after="0" w:line="4" w:lineRule="exact"/>
        <w:rPr>
          <w:sz w:val="20"/>
          <w:szCs w:val="20"/>
          <w:color w:val="auto"/>
        </w:rPr>
      </w:pPr>
    </w:p>
    <w:p>
      <w:pPr>
        <w:jc w:val="center"/>
        <w:ind w:right="3280"/>
        <w:spacing w:after="0"/>
        <w:rPr>
          <w:sz w:val="20"/>
          <w:szCs w:val="20"/>
          <w:color w:val="auto"/>
        </w:rPr>
      </w:pPr>
      <w:r>
        <w:rPr>
          <w:rFonts w:ascii="Arial" w:cs="Arial" w:eastAsia="Arial" w:hAnsi="Arial"/>
          <w:sz w:val="14"/>
          <w:szCs w:val="14"/>
          <w:b w:val="1"/>
          <w:bCs w:val="1"/>
          <w:color w:val="auto"/>
        </w:rPr>
        <w:t>SEMPRA ENERGY</w:t>
      </w:r>
    </w:p>
    <w:p>
      <w:pPr>
        <w:jc w:val="center"/>
        <w:ind w:right="3280"/>
        <w:spacing w:after="0"/>
        <w:rPr>
          <w:sz w:val="20"/>
          <w:szCs w:val="20"/>
          <w:color w:val="auto"/>
        </w:rPr>
      </w:pPr>
      <w:r>
        <w:rPr>
          <w:rFonts w:ascii="Arial" w:cs="Arial" w:eastAsia="Arial" w:hAnsi="Arial"/>
          <w:sz w:val="13"/>
          <w:szCs w:val="13"/>
          <w:b w:val="1"/>
          <w:bCs w:val="1"/>
          <w:color w:val="auto"/>
        </w:rPr>
        <w:t>COMPUTATION OF RATIO OF EARNINGS TO COMBINED FIXED CHARGES</w:t>
      </w:r>
    </w:p>
    <w:p>
      <w:pPr>
        <w:jc w:val="center"/>
        <w:ind w:right="3280"/>
        <w:spacing w:after="0"/>
        <w:rPr>
          <w:sz w:val="20"/>
          <w:szCs w:val="20"/>
          <w:color w:val="auto"/>
        </w:rPr>
      </w:pPr>
      <w:r>
        <w:rPr>
          <w:rFonts w:ascii="Arial" w:cs="Arial" w:eastAsia="Arial" w:hAnsi="Arial"/>
          <w:sz w:val="14"/>
          <w:szCs w:val="14"/>
          <w:b w:val="1"/>
          <w:bCs w:val="1"/>
          <w:color w:val="auto"/>
        </w:rPr>
        <w:t>AND PREFERRED STOCK DIVIDENDS</w:t>
      </w:r>
    </w:p>
    <w:p>
      <w:pPr>
        <w:jc w:val="center"/>
        <w:ind w:right="3280"/>
        <w:spacing w:after="0"/>
        <w:rPr>
          <w:sz w:val="20"/>
          <w:szCs w:val="20"/>
          <w:color w:val="auto"/>
        </w:rPr>
      </w:pPr>
      <w:r>
        <w:rPr>
          <w:rFonts w:ascii="Arial" w:cs="Arial" w:eastAsia="Arial" w:hAnsi="Arial"/>
          <w:sz w:val="14"/>
          <w:szCs w:val="14"/>
          <w:b w:val="1"/>
          <w:bCs w:val="1"/>
          <w:color w:val="auto"/>
        </w:rPr>
        <w:t>(Dollars in millions)</w:t>
      </w:r>
    </w:p>
    <w:p>
      <w:pPr>
        <w:spacing w:after="0" w:line="14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ind w:right="131"/>
              <w:spacing w:after="0"/>
              <w:rPr>
                <w:sz w:val="20"/>
                <w:szCs w:val="20"/>
                <w:color w:val="auto"/>
              </w:rPr>
            </w:pPr>
            <w:r>
              <w:rPr>
                <w:rFonts w:ascii="Arial" w:cs="Arial" w:eastAsia="Arial" w:hAnsi="Arial"/>
                <w:sz w:val="14"/>
                <w:szCs w:val="14"/>
                <w:color w:val="auto"/>
              </w:rPr>
              <w:t>March 31,</w:t>
            </w:r>
          </w:p>
        </w:tc>
      </w:tr>
      <w:tr>
        <w:trPr>
          <w:trHeight w:val="156"/>
        </w:trPr>
        <w:tc>
          <w:tcPr>
            <w:tcW w:w="1000" w:type="dxa"/>
            <w:vAlign w:val="bottom"/>
            <w:tcBorders>
              <w:bottom w:val="single" w:sz="8" w:color="auto"/>
            </w:tcBorders>
          </w:tcPr>
          <w:p>
            <w:pPr>
              <w:jc w:val="right"/>
              <w:ind w:right="311"/>
              <w:spacing w:after="0" w:line="156" w:lineRule="exact"/>
              <w:rPr>
                <w:sz w:val="20"/>
                <w:szCs w:val="20"/>
                <w:color w:val="auto"/>
              </w:rPr>
            </w:pPr>
            <w:r>
              <w:rPr>
                <w:rFonts w:ascii="Arial" w:cs="Arial" w:eastAsia="Arial" w:hAnsi="Arial"/>
                <w:sz w:val="14"/>
                <w:szCs w:val="14"/>
                <w:color w:val="auto"/>
              </w:rPr>
              <w:t>2006</w:t>
            </w:r>
          </w:p>
        </w:tc>
        <w:tc>
          <w:tcPr>
            <w:tcW w:w="340" w:type="dxa"/>
            <w:vAlign w:val="bottom"/>
          </w:tcPr>
          <w:p>
            <w:pPr>
              <w:spacing w:after="0"/>
              <w:rPr>
                <w:sz w:val="13"/>
                <w:szCs w:val="13"/>
                <w:color w:val="auto"/>
              </w:rPr>
            </w:pPr>
          </w:p>
        </w:tc>
        <w:tc>
          <w:tcPr>
            <w:tcW w:w="1000" w:type="dxa"/>
            <w:vAlign w:val="bottom"/>
            <w:tcBorders>
              <w:bottom w:val="single" w:sz="8" w:color="auto"/>
            </w:tcBorders>
          </w:tcPr>
          <w:p>
            <w:pPr>
              <w:jc w:val="right"/>
              <w:ind w:right="291"/>
              <w:spacing w:after="0" w:line="156" w:lineRule="exact"/>
              <w:rPr>
                <w:sz w:val="20"/>
                <w:szCs w:val="20"/>
                <w:color w:val="auto"/>
              </w:rPr>
            </w:pPr>
            <w:r>
              <w:rPr>
                <w:rFonts w:ascii="Arial" w:cs="Arial" w:eastAsia="Arial" w:hAnsi="Arial"/>
                <w:sz w:val="14"/>
                <w:szCs w:val="14"/>
                <w:color w:val="auto"/>
              </w:rPr>
              <w:t>2007</w:t>
            </w:r>
          </w:p>
        </w:tc>
        <w:tc>
          <w:tcPr>
            <w:tcW w:w="340" w:type="dxa"/>
            <w:vAlign w:val="bottom"/>
          </w:tcPr>
          <w:p>
            <w:pPr>
              <w:spacing w:after="0"/>
              <w:rPr>
                <w:sz w:val="13"/>
                <w:szCs w:val="13"/>
                <w:color w:val="auto"/>
              </w:rPr>
            </w:pPr>
          </w:p>
        </w:tc>
        <w:tc>
          <w:tcPr>
            <w:tcW w:w="1000" w:type="dxa"/>
            <w:vAlign w:val="bottom"/>
            <w:tcBorders>
              <w:bottom w:val="single" w:sz="8" w:color="auto"/>
            </w:tcBorders>
          </w:tcPr>
          <w:p>
            <w:pPr>
              <w:jc w:val="right"/>
              <w:ind w:right="291"/>
              <w:spacing w:after="0" w:line="156" w:lineRule="exact"/>
              <w:rPr>
                <w:sz w:val="20"/>
                <w:szCs w:val="20"/>
                <w:color w:val="auto"/>
              </w:rPr>
            </w:pPr>
            <w:r>
              <w:rPr>
                <w:rFonts w:ascii="Arial" w:cs="Arial" w:eastAsia="Arial" w:hAnsi="Arial"/>
                <w:sz w:val="14"/>
                <w:szCs w:val="14"/>
                <w:color w:val="auto"/>
              </w:rPr>
              <w:t>2008</w:t>
            </w:r>
          </w:p>
        </w:tc>
        <w:tc>
          <w:tcPr>
            <w:tcW w:w="340" w:type="dxa"/>
            <w:vAlign w:val="bottom"/>
          </w:tcPr>
          <w:p>
            <w:pPr>
              <w:spacing w:after="0"/>
              <w:rPr>
                <w:sz w:val="13"/>
                <w:szCs w:val="13"/>
                <w:color w:val="auto"/>
              </w:rPr>
            </w:pPr>
          </w:p>
        </w:tc>
        <w:tc>
          <w:tcPr>
            <w:tcW w:w="1000" w:type="dxa"/>
            <w:vAlign w:val="bottom"/>
            <w:tcBorders>
              <w:bottom w:val="single" w:sz="8" w:color="auto"/>
            </w:tcBorders>
          </w:tcPr>
          <w:p>
            <w:pPr>
              <w:jc w:val="right"/>
              <w:ind w:right="291"/>
              <w:spacing w:after="0" w:line="156" w:lineRule="exact"/>
              <w:rPr>
                <w:sz w:val="20"/>
                <w:szCs w:val="20"/>
                <w:color w:val="auto"/>
              </w:rPr>
            </w:pPr>
            <w:r>
              <w:rPr>
                <w:rFonts w:ascii="Arial" w:cs="Arial" w:eastAsia="Arial" w:hAnsi="Arial"/>
                <w:sz w:val="14"/>
                <w:szCs w:val="14"/>
                <w:color w:val="auto"/>
              </w:rPr>
              <w:t>2009</w:t>
            </w:r>
          </w:p>
        </w:tc>
        <w:tc>
          <w:tcPr>
            <w:tcW w:w="340" w:type="dxa"/>
            <w:vAlign w:val="bottom"/>
          </w:tcPr>
          <w:p>
            <w:pPr>
              <w:spacing w:after="0"/>
              <w:rPr>
                <w:sz w:val="13"/>
                <w:szCs w:val="13"/>
                <w:color w:val="auto"/>
              </w:rPr>
            </w:pPr>
          </w:p>
        </w:tc>
        <w:tc>
          <w:tcPr>
            <w:tcW w:w="1020" w:type="dxa"/>
            <w:vAlign w:val="bottom"/>
            <w:tcBorders>
              <w:bottom w:val="single" w:sz="8" w:color="auto"/>
            </w:tcBorders>
          </w:tcPr>
          <w:p>
            <w:pPr>
              <w:jc w:val="right"/>
              <w:ind w:right="311"/>
              <w:spacing w:after="0" w:line="156" w:lineRule="exact"/>
              <w:rPr>
                <w:sz w:val="20"/>
                <w:szCs w:val="20"/>
                <w:color w:val="auto"/>
              </w:rPr>
            </w:pPr>
            <w:r>
              <w:rPr>
                <w:rFonts w:ascii="Arial" w:cs="Arial" w:eastAsia="Arial" w:hAnsi="Arial"/>
                <w:sz w:val="14"/>
                <w:szCs w:val="14"/>
                <w:color w:val="auto"/>
              </w:rPr>
              <w:t>2010</w:t>
            </w:r>
          </w:p>
        </w:tc>
        <w:tc>
          <w:tcPr>
            <w:tcW w:w="340" w:type="dxa"/>
            <w:vAlign w:val="bottom"/>
          </w:tcPr>
          <w:p>
            <w:pPr>
              <w:spacing w:after="0"/>
              <w:rPr>
                <w:sz w:val="13"/>
                <w:szCs w:val="13"/>
                <w:color w:val="auto"/>
              </w:rPr>
            </w:pPr>
          </w:p>
        </w:tc>
        <w:tc>
          <w:tcPr>
            <w:tcW w:w="1000" w:type="dxa"/>
            <w:vAlign w:val="bottom"/>
            <w:tcBorders>
              <w:bottom w:val="single" w:sz="8" w:color="auto"/>
            </w:tcBorders>
          </w:tcPr>
          <w:p>
            <w:pPr>
              <w:jc w:val="right"/>
              <w:ind w:right="271"/>
              <w:spacing w:after="0" w:line="156" w:lineRule="exact"/>
              <w:rPr>
                <w:sz w:val="20"/>
                <w:szCs w:val="20"/>
                <w:color w:val="auto"/>
              </w:rPr>
            </w:pPr>
            <w:r>
              <w:rPr>
                <w:rFonts w:ascii="Arial" w:cs="Arial" w:eastAsia="Arial" w:hAnsi="Arial"/>
                <w:sz w:val="14"/>
                <w:szCs w:val="14"/>
                <w:color w:val="auto"/>
              </w:rPr>
              <w:t>2011</w:t>
            </w:r>
          </w:p>
        </w:tc>
      </w:tr>
      <w:tr>
        <w:trPr>
          <w:trHeight w:val="300"/>
        </w:trPr>
        <w:tc>
          <w:tcPr>
            <w:tcW w:w="1000" w:type="dxa"/>
            <w:vAlign w:val="bottom"/>
          </w:tcPr>
          <w:p>
            <w:pPr>
              <w:jc w:val="right"/>
              <w:ind w:right="31"/>
              <w:spacing w:after="0"/>
              <w:rPr>
                <w:sz w:val="20"/>
                <w:szCs w:val="20"/>
                <w:color w:val="auto"/>
              </w:rPr>
            </w:pPr>
            <w:r>
              <w:rPr>
                <w:rFonts w:ascii="Arial" w:cs="Arial" w:eastAsia="Arial" w:hAnsi="Arial"/>
                <w:sz w:val="14"/>
                <w:szCs w:val="14"/>
                <w:color w:val="auto"/>
              </w:rPr>
              <w:t>$ 413</w:t>
            </w: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$ 379</w:t>
            </w: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$ 353</w:t>
            </w: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$ 455</w:t>
            </w:r>
          </w:p>
        </w:tc>
        <w:tc>
          <w:tcPr>
            <w:tcW w:w="1360" w:type="dxa"/>
            <w:vAlign w:val="bottom"/>
            <w:gridSpan w:val="2"/>
          </w:tcPr>
          <w:p>
            <w:pPr>
              <w:jc w:val="right"/>
              <w:ind w:right="31"/>
              <w:spacing w:after="0"/>
              <w:rPr>
                <w:sz w:val="20"/>
                <w:szCs w:val="20"/>
                <w:color w:val="auto"/>
              </w:rPr>
            </w:pPr>
            <w:r>
              <w:rPr>
                <w:rFonts w:ascii="Arial" w:cs="Arial" w:eastAsia="Arial" w:hAnsi="Arial"/>
                <w:sz w:val="14"/>
                <w:szCs w:val="14"/>
                <w:color w:val="auto"/>
              </w:rPr>
              <w:t>$ 492</w:t>
            </w: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$ 122</w:t>
            </w:r>
          </w:p>
        </w:tc>
      </w:tr>
      <w:tr>
        <w:trPr>
          <w:trHeight w:val="155"/>
        </w:trPr>
        <w:tc>
          <w:tcPr>
            <w:tcW w:w="1000" w:type="dxa"/>
            <w:vAlign w:val="bottom"/>
          </w:tcPr>
          <w:p>
            <w:pPr>
              <w:jc w:val="right"/>
              <w:ind w:right="31"/>
              <w:spacing w:after="0" w:line="155" w:lineRule="exact"/>
              <w:rPr>
                <w:sz w:val="20"/>
                <w:szCs w:val="20"/>
                <w:color w:val="auto"/>
              </w:rPr>
            </w:pPr>
            <w:r>
              <w:rPr>
                <w:rFonts w:ascii="Arial" w:cs="Arial" w:eastAsia="Arial" w:hAnsi="Arial"/>
                <w:sz w:val="14"/>
                <w:szCs w:val="14"/>
                <w:color w:val="auto"/>
              </w:rPr>
              <w:t>6</w:t>
            </w:r>
          </w:p>
        </w:tc>
        <w:tc>
          <w:tcPr>
            <w:tcW w:w="134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6</w:t>
            </w:r>
          </w:p>
        </w:tc>
        <w:tc>
          <w:tcPr>
            <w:tcW w:w="134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3</w:t>
            </w:r>
          </w:p>
        </w:tc>
        <w:tc>
          <w:tcPr>
            <w:tcW w:w="134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2</w:t>
            </w:r>
          </w:p>
        </w:tc>
        <w:tc>
          <w:tcPr>
            <w:tcW w:w="136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3</w:t>
            </w:r>
          </w:p>
        </w:tc>
        <w:tc>
          <w:tcPr>
            <w:tcW w:w="134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1</w:t>
            </w:r>
          </w:p>
        </w:tc>
      </w:tr>
      <w:tr>
        <w:trPr>
          <w:trHeight w:val="156"/>
        </w:trPr>
        <w:tc>
          <w:tcPr>
            <w:tcW w:w="1000" w:type="dxa"/>
            <w:vAlign w:val="bottom"/>
          </w:tcPr>
          <w:p>
            <w:pPr>
              <w:jc w:val="right"/>
              <w:ind w:right="31"/>
              <w:spacing w:after="0" w:line="156" w:lineRule="exact"/>
              <w:rPr>
                <w:sz w:val="20"/>
                <w:szCs w:val="20"/>
                <w:color w:val="auto"/>
              </w:rPr>
            </w:pPr>
            <w:r>
              <w:rPr>
                <w:rFonts w:ascii="Arial" w:cs="Arial" w:eastAsia="Arial" w:hAnsi="Arial"/>
                <w:sz w:val="14"/>
                <w:szCs w:val="14"/>
                <w:color w:val="auto"/>
              </w:rPr>
              <w:t>15</w:t>
            </w:r>
          </w:p>
        </w:tc>
        <w:tc>
          <w:tcPr>
            <w:tcW w:w="134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14</w:t>
            </w:r>
          </w:p>
        </w:tc>
        <w:tc>
          <w:tcPr>
            <w:tcW w:w="134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13</w:t>
            </w:r>
          </w:p>
        </w:tc>
        <w:tc>
          <w:tcPr>
            <w:tcW w:w="134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13</w:t>
            </w:r>
          </w:p>
        </w:tc>
        <w:tc>
          <w:tcPr>
            <w:tcW w:w="136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11</w:t>
            </w:r>
          </w:p>
        </w:tc>
        <w:tc>
          <w:tcPr>
            <w:tcW w:w="134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3</w:t>
            </w:r>
          </w:p>
        </w:tc>
      </w:tr>
      <w:tr>
        <w:trPr>
          <w:trHeight w:val="145"/>
        </w:trPr>
        <w:tc>
          <w:tcPr>
            <w:tcW w:w="1000" w:type="dxa"/>
            <w:vAlign w:val="bottom"/>
            <w:tcBorders>
              <w:top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434</w:t>
            </w:r>
          </w:p>
        </w:tc>
        <w:tc>
          <w:tcPr>
            <w:tcW w:w="340" w:type="dxa"/>
            <w:vAlign w:val="bottom"/>
          </w:tcPr>
          <w:p>
            <w:pPr>
              <w:spacing w:after="0"/>
              <w:rPr>
                <w:sz w:val="12"/>
                <w:szCs w:val="12"/>
                <w:color w:val="auto"/>
              </w:rPr>
            </w:pPr>
          </w:p>
        </w:tc>
        <w:tc>
          <w:tcPr>
            <w:tcW w:w="1000" w:type="dxa"/>
            <w:vAlign w:val="bottom"/>
            <w:tcBorders>
              <w:top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399</w:t>
            </w:r>
          </w:p>
        </w:tc>
        <w:tc>
          <w:tcPr>
            <w:tcW w:w="340" w:type="dxa"/>
            <w:vAlign w:val="bottom"/>
          </w:tcPr>
          <w:p>
            <w:pPr>
              <w:spacing w:after="0"/>
              <w:rPr>
                <w:sz w:val="12"/>
                <w:szCs w:val="12"/>
                <w:color w:val="auto"/>
              </w:rPr>
            </w:pPr>
          </w:p>
        </w:tc>
        <w:tc>
          <w:tcPr>
            <w:tcW w:w="1000" w:type="dxa"/>
            <w:vAlign w:val="bottom"/>
            <w:tcBorders>
              <w:top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369</w:t>
            </w:r>
          </w:p>
        </w:tc>
        <w:tc>
          <w:tcPr>
            <w:tcW w:w="340" w:type="dxa"/>
            <w:vAlign w:val="bottom"/>
          </w:tcPr>
          <w:p>
            <w:pPr>
              <w:spacing w:after="0"/>
              <w:rPr>
                <w:sz w:val="12"/>
                <w:szCs w:val="12"/>
                <w:color w:val="auto"/>
              </w:rPr>
            </w:pPr>
          </w:p>
        </w:tc>
        <w:tc>
          <w:tcPr>
            <w:tcW w:w="1000" w:type="dxa"/>
            <w:vAlign w:val="bottom"/>
            <w:tcBorders>
              <w:top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470</w:t>
            </w:r>
          </w:p>
        </w:tc>
        <w:tc>
          <w:tcPr>
            <w:tcW w:w="340" w:type="dxa"/>
            <w:vAlign w:val="bottom"/>
          </w:tcPr>
          <w:p>
            <w:pPr>
              <w:spacing w:after="0"/>
              <w:rPr>
                <w:sz w:val="12"/>
                <w:szCs w:val="12"/>
                <w:color w:val="auto"/>
              </w:rPr>
            </w:pPr>
          </w:p>
        </w:tc>
        <w:tc>
          <w:tcPr>
            <w:tcW w:w="1020" w:type="dxa"/>
            <w:vAlign w:val="bottom"/>
            <w:tcBorders>
              <w:top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506</w:t>
            </w:r>
          </w:p>
        </w:tc>
        <w:tc>
          <w:tcPr>
            <w:tcW w:w="340" w:type="dxa"/>
            <w:vAlign w:val="bottom"/>
          </w:tcPr>
          <w:p>
            <w:pPr>
              <w:spacing w:after="0"/>
              <w:rPr>
                <w:sz w:val="12"/>
                <w:szCs w:val="12"/>
                <w:color w:val="auto"/>
              </w:rPr>
            </w:pPr>
          </w:p>
        </w:tc>
        <w:tc>
          <w:tcPr>
            <w:tcW w:w="1000" w:type="dxa"/>
            <w:vAlign w:val="bottom"/>
            <w:tcBorders>
              <w:top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126</w:t>
            </w:r>
          </w:p>
        </w:tc>
      </w:tr>
      <w:tr>
        <w:trPr>
          <w:trHeight w:val="156"/>
        </w:trPr>
        <w:tc>
          <w:tcPr>
            <w:tcW w:w="1000" w:type="dxa"/>
            <w:vAlign w:val="bottom"/>
            <w:tcBorders>
              <w:bottom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000" w:type="dxa"/>
            <w:vAlign w:val="bottom"/>
            <w:tcBorders>
              <w:bottom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000" w:type="dxa"/>
            <w:vAlign w:val="bottom"/>
            <w:tcBorders>
              <w:bottom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000" w:type="dxa"/>
            <w:vAlign w:val="bottom"/>
            <w:tcBorders>
              <w:bottom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020" w:type="dxa"/>
            <w:vAlign w:val="bottom"/>
            <w:tcBorders>
              <w:bottom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000" w:type="dxa"/>
            <w:vAlign w:val="bottom"/>
            <w:tcBorders>
              <w:bottom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w:t>
            </w:r>
          </w:p>
        </w:tc>
      </w:tr>
      <w:tr>
        <w:trPr>
          <w:trHeight w:val="259"/>
        </w:trPr>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$ 434</w:t>
            </w:r>
          </w:p>
        </w:tc>
        <w:tc>
          <w:tcPr>
            <w:tcW w:w="340" w:type="dxa"/>
            <w:vAlign w:val="bottom"/>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$ 399</w:t>
            </w:r>
          </w:p>
        </w:tc>
        <w:tc>
          <w:tcPr>
            <w:tcW w:w="340" w:type="dxa"/>
            <w:vAlign w:val="bottom"/>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$ 369</w:t>
            </w:r>
          </w:p>
        </w:tc>
        <w:tc>
          <w:tcPr>
            <w:tcW w:w="340" w:type="dxa"/>
            <w:vAlign w:val="bottom"/>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$ 470</w:t>
            </w:r>
          </w:p>
        </w:tc>
        <w:tc>
          <w:tcPr>
            <w:tcW w:w="340" w:type="dxa"/>
            <w:vAlign w:val="bottom"/>
          </w:tcPr>
          <w:p>
            <w:pPr>
              <w:spacing w:after="0"/>
              <w:rPr>
                <w:sz w:val="22"/>
                <w:szCs w:val="22"/>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$ 506</w:t>
            </w:r>
          </w:p>
        </w:tc>
        <w:tc>
          <w:tcPr>
            <w:tcW w:w="340" w:type="dxa"/>
            <w:vAlign w:val="bottom"/>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$ 126</w:t>
            </w: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10"/>
        </w:trPr>
        <w:tc>
          <w:tcPr>
            <w:tcW w:w="1000" w:type="dxa"/>
            <w:vAlign w:val="bottom"/>
          </w:tcPr>
          <w:p>
            <w:pPr>
              <w:jc w:val="right"/>
              <w:ind w:right="31"/>
              <w:spacing w:after="0"/>
              <w:rPr>
                <w:sz w:val="20"/>
                <w:szCs w:val="20"/>
                <w:color w:val="auto"/>
              </w:rPr>
            </w:pPr>
            <w:r>
              <w:rPr>
                <w:rFonts w:ascii="Arial" w:cs="Arial" w:eastAsia="Arial" w:hAnsi="Arial"/>
                <w:sz w:val="14"/>
                <w:szCs w:val="14"/>
                <w:color w:val="auto"/>
              </w:rPr>
              <w:t>$ 1,579</w:t>
            </w: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$ 1,538</w:t>
            </w: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$ 1,009</w:t>
            </w: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$ 977</w:t>
            </w:r>
          </w:p>
        </w:tc>
        <w:tc>
          <w:tcPr>
            <w:tcW w:w="1360" w:type="dxa"/>
            <w:vAlign w:val="bottom"/>
            <w:gridSpan w:val="2"/>
          </w:tcPr>
          <w:p>
            <w:pPr>
              <w:jc w:val="right"/>
              <w:ind w:right="31"/>
              <w:spacing w:after="0"/>
              <w:rPr>
                <w:sz w:val="20"/>
                <w:szCs w:val="20"/>
                <w:color w:val="auto"/>
              </w:rPr>
            </w:pPr>
            <w:r>
              <w:rPr>
                <w:rFonts w:ascii="Arial" w:cs="Arial" w:eastAsia="Arial" w:hAnsi="Arial"/>
                <w:sz w:val="14"/>
                <w:szCs w:val="14"/>
                <w:color w:val="auto"/>
              </w:rPr>
              <w:t>$ 1,078</w:t>
            </w: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$ 341</w:t>
            </w:r>
          </w:p>
        </w:tc>
      </w:tr>
      <w:tr>
        <w:trPr>
          <w:trHeight w:val="311"/>
        </w:trPr>
        <w:tc>
          <w:tcPr>
            <w:tcW w:w="1000" w:type="dxa"/>
            <w:vAlign w:val="bottom"/>
          </w:tcPr>
          <w:p>
            <w:pPr>
              <w:jc w:val="right"/>
              <w:ind w:right="31"/>
              <w:spacing w:after="0"/>
              <w:rPr>
                <w:sz w:val="20"/>
                <w:szCs w:val="20"/>
                <w:color w:val="auto"/>
              </w:rPr>
            </w:pPr>
            <w:r>
              <w:rPr>
                <w:rFonts w:ascii="Arial" w:cs="Arial" w:eastAsia="Arial" w:hAnsi="Arial"/>
                <w:sz w:val="14"/>
                <w:szCs w:val="14"/>
                <w:color w:val="auto"/>
              </w:rPr>
              <w:t>434</w:t>
            </w: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399</w:t>
            </w: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369</w:t>
            </w: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470</w:t>
            </w:r>
          </w:p>
        </w:tc>
        <w:tc>
          <w:tcPr>
            <w:tcW w:w="1360" w:type="dxa"/>
            <w:vAlign w:val="bottom"/>
            <w:gridSpan w:val="2"/>
          </w:tcPr>
          <w:p>
            <w:pPr>
              <w:jc w:val="right"/>
              <w:ind w:right="31"/>
              <w:spacing w:after="0"/>
              <w:rPr>
                <w:sz w:val="20"/>
                <w:szCs w:val="20"/>
                <w:color w:val="auto"/>
              </w:rPr>
            </w:pPr>
            <w:r>
              <w:rPr>
                <w:rFonts w:ascii="Arial" w:cs="Arial" w:eastAsia="Arial" w:hAnsi="Arial"/>
                <w:sz w:val="14"/>
                <w:szCs w:val="14"/>
                <w:color w:val="auto"/>
              </w:rPr>
              <w:t>506</w:t>
            </w: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126</w:t>
            </w:r>
          </w:p>
        </w:tc>
      </w:tr>
      <w:tr>
        <w:trPr>
          <w:trHeight w:val="165"/>
        </w:trPr>
        <w:tc>
          <w:tcPr>
            <w:tcW w:w="1000" w:type="dxa"/>
            <w:vAlign w:val="bottom"/>
          </w:tcPr>
          <w:p>
            <w:pPr>
              <w:jc w:val="right"/>
              <w:ind w:right="31"/>
              <w:spacing w:after="0"/>
              <w:rPr>
                <w:sz w:val="20"/>
                <w:szCs w:val="20"/>
                <w:color w:val="auto"/>
              </w:rPr>
            </w:pPr>
            <w:r>
              <w:rPr>
                <w:rFonts w:ascii="Arial" w:cs="Arial" w:eastAsia="Arial" w:hAnsi="Arial"/>
                <w:sz w:val="14"/>
                <w:szCs w:val="14"/>
                <w:color w:val="auto"/>
              </w:rPr>
              <w:t>431</w:t>
            </w: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19</w:t>
            </w: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133</w:t>
            </w: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493</w:t>
            </w:r>
          </w:p>
        </w:tc>
        <w:tc>
          <w:tcPr>
            <w:tcW w:w="1360" w:type="dxa"/>
            <w:vAlign w:val="bottom"/>
            <w:gridSpan w:val="2"/>
          </w:tcPr>
          <w:p>
            <w:pPr>
              <w:jc w:val="right"/>
              <w:ind w:right="31"/>
              <w:spacing w:after="0"/>
              <w:rPr>
                <w:sz w:val="20"/>
                <w:szCs w:val="20"/>
                <w:color w:val="auto"/>
              </w:rPr>
            </w:pPr>
            <w:r>
              <w:rPr>
                <w:rFonts w:ascii="Arial" w:cs="Arial" w:eastAsia="Arial" w:hAnsi="Arial"/>
                <w:sz w:val="14"/>
                <w:szCs w:val="14"/>
                <w:color w:val="auto"/>
              </w:rPr>
              <w:t>260</w:t>
            </w: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12</w:t>
            </w:r>
          </w:p>
        </w:tc>
      </w:tr>
      <w:tr>
        <w:trPr>
          <w:trHeight w:val="311"/>
        </w:trPr>
        <w:tc>
          <w:tcPr>
            <w:tcW w:w="1000" w:type="dxa"/>
            <w:vAlign w:val="bottom"/>
          </w:tcPr>
          <w:p>
            <w:pPr>
              <w:jc w:val="right"/>
              <w:ind w:right="31"/>
              <w:spacing w:after="0"/>
              <w:rPr>
                <w:sz w:val="20"/>
                <w:szCs w:val="20"/>
                <w:color w:val="auto"/>
              </w:rPr>
            </w:pPr>
            <w:r>
              <w:rPr>
                <w:rFonts w:ascii="Arial" w:cs="Arial" w:eastAsia="Arial" w:hAnsi="Arial"/>
                <w:sz w:val="14"/>
                <w:szCs w:val="14"/>
                <w:color w:val="auto"/>
              </w:rPr>
              <w:t>58</w:t>
            </w: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100</w:t>
            </w: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100</w:t>
            </w: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73</w:t>
            </w:r>
          </w:p>
        </w:tc>
        <w:tc>
          <w:tcPr>
            <w:tcW w:w="1360" w:type="dxa"/>
            <w:vAlign w:val="bottom"/>
            <w:gridSpan w:val="2"/>
          </w:tcPr>
          <w:p>
            <w:pPr>
              <w:jc w:val="right"/>
              <w:ind w:right="31"/>
              <w:spacing w:after="0"/>
              <w:rPr>
                <w:sz w:val="20"/>
                <w:szCs w:val="20"/>
                <w:color w:val="auto"/>
              </w:rPr>
            </w:pPr>
            <w:r>
              <w:rPr>
                <w:rFonts w:ascii="Arial" w:cs="Arial" w:eastAsia="Arial" w:hAnsi="Arial"/>
                <w:sz w:val="14"/>
                <w:szCs w:val="14"/>
                <w:color w:val="auto"/>
              </w:rPr>
              <w:t>74</w:t>
            </w: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6</w:t>
            </w:r>
          </w:p>
        </w:tc>
      </w:tr>
      <w:tr>
        <w:trPr>
          <w:trHeight w:val="156"/>
        </w:trPr>
        <w:tc>
          <w:tcPr>
            <w:tcW w:w="1000" w:type="dxa"/>
            <w:vAlign w:val="bottom"/>
          </w:tcPr>
          <w:p>
            <w:pPr>
              <w:jc w:val="right"/>
              <w:ind w:right="31"/>
              <w:spacing w:after="0" w:line="156" w:lineRule="exact"/>
              <w:rPr>
                <w:sz w:val="20"/>
                <w:szCs w:val="20"/>
                <w:color w:val="auto"/>
              </w:rPr>
            </w:pPr>
            <w:r>
              <w:rPr>
                <w:rFonts w:ascii="Arial" w:cs="Arial" w:eastAsia="Arial" w:hAnsi="Arial"/>
                <w:sz w:val="14"/>
                <w:szCs w:val="14"/>
                <w:color w:val="auto"/>
              </w:rPr>
              <w:t>10</w:t>
            </w:r>
          </w:p>
        </w:tc>
        <w:tc>
          <w:tcPr>
            <w:tcW w:w="134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10</w:t>
            </w:r>
          </w:p>
        </w:tc>
        <w:tc>
          <w:tcPr>
            <w:tcW w:w="134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10</w:t>
            </w:r>
          </w:p>
        </w:tc>
        <w:tc>
          <w:tcPr>
            <w:tcW w:w="134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13</w:t>
            </w:r>
          </w:p>
        </w:tc>
        <w:tc>
          <w:tcPr>
            <w:tcW w:w="136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11</w:t>
            </w:r>
          </w:p>
        </w:tc>
        <w:tc>
          <w:tcPr>
            <w:tcW w:w="134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3</w:t>
            </w:r>
          </w:p>
        </w:tc>
      </w:tr>
      <w:tr>
        <w:trPr>
          <w:trHeight w:val="145"/>
        </w:trPr>
        <w:tc>
          <w:tcPr>
            <w:tcW w:w="1000" w:type="dxa"/>
            <w:vAlign w:val="bottom"/>
            <w:tcBorders>
              <w:top w:val="single" w:sz="8" w:color="auto"/>
              <w:bottom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$ 2,376</w:t>
            </w:r>
          </w:p>
        </w:tc>
        <w:tc>
          <w:tcPr>
            <w:tcW w:w="34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$ 1,846</w:t>
            </w:r>
          </w:p>
        </w:tc>
        <w:tc>
          <w:tcPr>
            <w:tcW w:w="34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$ 1,401</w:t>
            </w:r>
          </w:p>
        </w:tc>
        <w:tc>
          <w:tcPr>
            <w:tcW w:w="34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$ 1,854</w:t>
            </w:r>
          </w:p>
        </w:tc>
        <w:tc>
          <w:tcPr>
            <w:tcW w:w="34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$ 1,759</w:t>
            </w:r>
          </w:p>
        </w:tc>
        <w:tc>
          <w:tcPr>
            <w:tcW w:w="34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$ 470</w:t>
            </w: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50"/>
        </w:trPr>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5.47</w:t>
            </w:r>
          </w:p>
        </w:tc>
        <w:tc>
          <w:tcPr>
            <w:tcW w:w="340" w:type="dxa"/>
            <w:vAlign w:val="bottom"/>
          </w:tcPr>
          <w:p>
            <w:pPr>
              <w:spacing w:after="0"/>
              <w:rPr>
                <w:sz w:val="21"/>
                <w:szCs w:val="21"/>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4.63</w:t>
            </w:r>
          </w:p>
        </w:tc>
        <w:tc>
          <w:tcPr>
            <w:tcW w:w="340" w:type="dxa"/>
            <w:vAlign w:val="bottom"/>
          </w:tcPr>
          <w:p>
            <w:pPr>
              <w:spacing w:after="0"/>
              <w:rPr>
                <w:sz w:val="21"/>
                <w:szCs w:val="21"/>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3.80</w:t>
            </w:r>
          </w:p>
        </w:tc>
        <w:tc>
          <w:tcPr>
            <w:tcW w:w="340" w:type="dxa"/>
            <w:vAlign w:val="bottom"/>
          </w:tcPr>
          <w:p>
            <w:pPr>
              <w:spacing w:after="0"/>
              <w:rPr>
                <w:sz w:val="21"/>
                <w:szCs w:val="21"/>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3.94</w:t>
            </w:r>
          </w:p>
        </w:tc>
        <w:tc>
          <w:tcPr>
            <w:tcW w:w="340" w:type="dxa"/>
            <w:vAlign w:val="bottom"/>
          </w:tcPr>
          <w:p>
            <w:pPr>
              <w:spacing w:after="0"/>
              <w:rPr>
                <w:sz w:val="21"/>
                <w:szCs w:val="21"/>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3.48</w:t>
            </w:r>
          </w:p>
        </w:tc>
        <w:tc>
          <w:tcPr>
            <w:tcW w:w="340" w:type="dxa"/>
            <w:vAlign w:val="bottom"/>
          </w:tcPr>
          <w:p>
            <w:pPr>
              <w:spacing w:after="0"/>
              <w:rPr>
                <w:sz w:val="21"/>
                <w:szCs w:val="21"/>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3.73</w:t>
            </w:r>
          </w:p>
        </w:tc>
      </w:tr>
      <w:tr>
        <w:trPr>
          <w:trHeight w:val="20"/>
        </w:trPr>
        <w:tc>
          <w:tcPr>
            <w:tcW w:w="10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126"/>
        </w:trPr>
        <w:tc>
          <w:tcPr>
            <w:tcW w:w="1000" w:type="dxa"/>
            <w:vAlign w:val="bottom"/>
            <w:tcBorders>
              <w:top w:val="single" w:sz="8" w:color="auto"/>
              <w:bottom w:val="single" w:sz="8" w:color="auto"/>
            </w:tcBorders>
          </w:tcPr>
          <w:p>
            <w:pPr>
              <w:jc w:val="right"/>
              <w:ind w:right="31"/>
              <w:spacing w:after="0" w:line="126" w:lineRule="exact"/>
              <w:rPr>
                <w:sz w:val="20"/>
                <w:szCs w:val="20"/>
                <w:color w:val="auto"/>
              </w:rPr>
            </w:pPr>
            <w:r>
              <w:rPr>
                <w:rFonts w:ascii="Arial" w:cs="Arial" w:eastAsia="Arial" w:hAnsi="Arial"/>
                <w:sz w:val="14"/>
                <w:szCs w:val="14"/>
                <w:color w:val="auto"/>
              </w:rPr>
              <w:t>5.47</w:t>
            </w:r>
          </w:p>
        </w:tc>
        <w:tc>
          <w:tcPr>
            <w:tcW w:w="340" w:type="dxa"/>
            <w:vAlign w:val="bottom"/>
          </w:tcPr>
          <w:p>
            <w:pPr>
              <w:spacing w:after="0"/>
              <w:rPr>
                <w:sz w:val="10"/>
                <w:szCs w:val="10"/>
                <w:color w:val="auto"/>
              </w:rPr>
            </w:pPr>
          </w:p>
        </w:tc>
        <w:tc>
          <w:tcPr>
            <w:tcW w:w="1000" w:type="dxa"/>
            <w:vAlign w:val="bottom"/>
            <w:tcBorders>
              <w:top w:val="single" w:sz="8" w:color="auto"/>
              <w:bottom w:val="single" w:sz="8" w:color="auto"/>
            </w:tcBorders>
          </w:tcPr>
          <w:p>
            <w:pPr>
              <w:jc w:val="right"/>
              <w:ind w:right="31"/>
              <w:spacing w:after="0" w:line="126" w:lineRule="exact"/>
              <w:rPr>
                <w:sz w:val="20"/>
                <w:szCs w:val="20"/>
                <w:color w:val="auto"/>
              </w:rPr>
            </w:pPr>
            <w:r>
              <w:rPr>
                <w:rFonts w:ascii="Arial" w:cs="Arial" w:eastAsia="Arial" w:hAnsi="Arial"/>
                <w:sz w:val="14"/>
                <w:szCs w:val="14"/>
                <w:color w:val="auto"/>
              </w:rPr>
              <w:t>4.63</w:t>
            </w:r>
          </w:p>
        </w:tc>
        <w:tc>
          <w:tcPr>
            <w:tcW w:w="340" w:type="dxa"/>
            <w:vAlign w:val="bottom"/>
          </w:tcPr>
          <w:p>
            <w:pPr>
              <w:spacing w:after="0"/>
              <w:rPr>
                <w:sz w:val="10"/>
                <w:szCs w:val="10"/>
                <w:color w:val="auto"/>
              </w:rPr>
            </w:pPr>
          </w:p>
        </w:tc>
        <w:tc>
          <w:tcPr>
            <w:tcW w:w="1000" w:type="dxa"/>
            <w:vAlign w:val="bottom"/>
            <w:tcBorders>
              <w:top w:val="single" w:sz="8" w:color="auto"/>
              <w:bottom w:val="single" w:sz="8" w:color="auto"/>
            </w:tcBorders>
          </w:tcPr>
          <w:p>
            <w:pPr>
              <w:jc w:val="right"/>
              <w:ind w:right="31"/>
              <w:spacing w:after="0" w:line="126" w:lineRule="exact"/>
              <w:rPr>
                <w:sz w:val="20"/>
                <w:szCs w:val="20"/>
                <w:color w:val="auto"/>
              </w:rPr>
            </w:pPr>
            <w:r>
              <w:rPr>
                <w:rFonts w:ascii="Arial" w:cs="Arial" w:eastAsia="Arial" w:hAnsi="Arial"/>
                <w:sz w:val="14"/>
                <w:szCs w:val="14"/>
                <w:color w:val="auto"/>
              </w:rPr>
              <w:t>3.80</w:t>
            </w:r>
          </w:p>
        </w:tc>
        <w:tc>
          <w:tcPr>
            <w:tcW w:w="340" w:type="dxa"/>
            <w:vAlign w:val="bottom"/>
          </w:tcPr>
          <w:p>
            <w:pPr>
              <w:spacing w:after="0"/>
              <w:rPr>
                <w:sz w:val="10"/>
                <w:szCs w:val="10"/>
                <w:color w:val="auto"/>
              </w:rPr>
            </w:pPr>
          </w:p>
        </w:tc>
        <w:tc>
          <w:tcPr>
            <w:tcW w:w="1000" w:type="dxa"/>
            <w:vAlign w:val="bottom"/>
            <w:tcBorders>
              <w:top w:val="single" w:sz="8" w:color="auto"/>
              <w:bottom w:val="single" w:sz="8" w:color="auto"/>
            </w:tcBorders>
          </w:tcPr>
          <w:p>
            <w:pPr>
              <w:jc w:val="right"/>
              <w:ind w:right="31"/>
              <w:spacing w:after="0" w:line="126" w:lineRule="exact"/>
              <w:rPr>
                <w:sz w:val="20"/>
                <w:szCs w:val="20"/>
                <w:color w:val="auto"/>
              </w:rPr>
            </w:pPr>
            <w:r>
              <w:rPr>
                <w:rFonts w:ascii="Arial" w:cs="Arial" w:eastAsia="Arial" w:hAnsi="Arial"/>
                <w:sz w:val="14"/>
                <w:szCs w:val="14"/>
                <w:color w:val="auto"/>
              </w:rPr>
              <w:t>3.94</w:t>
            </w:r>
          </w:p>
        </w:tc>
        <w:tc>
          <w:tcPr>
            <w:tcW w:w="340" w:type="dxa"/>
            <w:vAlign w:val="bottom"/>
          </w:tcPr>
          <w:p>
            <w:pPr>
              <w:spacing w:after="0"/>
              <w:rPr>
                <w:sz w:val="10"/>
                <w:szCs w:val="10"/>
                <w:color w:val="auto"/>
              </w:rPr>
            </w:pPr>
          </w:p>
        </w:tc>
        <w:tc>
          <w:tcPr>
            <w:tcW w:w="1020" w:type="dxa"/>
            <w:vAlign w:val="bottom"/>
            <w:tcBorders>
              <w:top w:val="single" w:sz="8" w:color="auto"/>
              <w:bottom w:val="single" w:sz="8" w:color="auto"/>
            </w:tcBorders>
          </w:tcPr>
          <w:p>
            <w:pPr>
              <w:jc w:val="right"/>
              <w:ind w:right="31"/>
              <w:spacing w:after="0" w:line="126" w:lineRule="exact"/>
              <w:rPr>
                <w:sz w:val="20"/>
                <w:szCs w:val="20"/>
                <w:color w:val="auto"/>
              </w:rPr>
            </w:pPr>
            <w:r>
              <w:rPr>
                <w:rFonts w:ascii="Arial" w:cs="Arial" w:eastAsia="Arial" w:hAnsi="Arial"/>
                <w:sz w:val="14"/>
                <w:szCs w:val="14"/>
                <w:color w:val="auto"/>
              </w:rPr>
              <w:t>3.48</w:t>
            </w:r>
          </w:p>
        </w:tc>
        <w:tc>
          <w:tcPr>
            <w:tcW w:w="340" w:type="dxa"/>
            <w:vAlign w:val="bottom"/>
          </w:tcPr>
          <w:p>
            <w:pPr>
              <w:spacing w:after="0"/>
              <w:rPr>
                <w:sz w:val="10"/>
                <w:szCs w:val="10"/>
                <w:color w:val="auto"/>
              </w:rPr>
            </w:pPr>
          </w:p>
        </w:tc>
        <w:tc>
          <w:tcPr>
            <w:tcW w:w="1000" w:type="dxa"/>
            <w:vAlign w:val="bottom"/>
            <w:tcBorders>
              <w:top w:val="single" w:sz="8" w:color="auto"/>
              <w:bottom w:val="single" w:sz="8" w:color="auto"/>
            </w:tcBorders>
          </w:tcPr>
          <w:p>
            <w:pPr>
              <w:jc w:val="right"/>
              <w:ind w:right="31"/>
              <w:spacing w:after="0" w:line="126" w:lineRule="exact"/>
              <w:rPr>
                <w:sz w:val="20"/>
                <w:szCs w:val="20"/>
                <w:color w:val="auto"/>
              </w:rPr>
            </w:pPr>
            <w:r>
              <w:rPr>
                <w:rFonts w:ascii="Arial" w:cs="Arial" w:eastAsia="Arial" w:hAnsi="Arial"/>
                <w:sz w:val="14"/>
                <w:szCs w:val="14"/>
                <w:color w:val="auto"/>
              </w:rPr>
              <w:t>3.73</w:t>
            </w: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2">
            <w:col w:w="2980" w:space="220"/>
            <w:col w:w="8160"/>
          </w:cols>
          <w:pgMar w:left="320" w:top="1074" w:right="219" w:bottom="1440" w:gutter="0" w:footer="0" w:header="0"/>
        </w:sectPr>
      </w:pPr>
    </w:p>
    <w:p>
      <w:pPr>
        <w:ind w:left="480" w:right="460" w:hanging="419"/>
        <w:spacing w:after="0" w:line="238" w:lineRule="auto"/>
        <w:tabs>
          <w:tab w:leader="none" w:pos="480" w:val="left"/>
        </w:tabs>
        <w:numPr>
          <w:ilvl w:val="0"/>
          <w:numId w:val="251"/>
        </w:numPr>
        <w:rPr>
          <w:rFonts w:ascii="Arial" w:cs="Arial" w:eastAsia="Arial" w:hAnsi="Arial"/>
          <w:sz w:val="14"/>
          <w:szCs w:val="14"/>
          <w:color w:val="auto"/>
        </w:rPr>
      </w:pPr>
      <w:r>
        <w:rPr>
          <w:rFonts w:ascii="Arial" w:cs="Arial" w:eastAsia="Arial" w:hAnsi="Arial"/>
          <w:sz w:val="14"/>
          <w:szCs w:val="14"/>
          <w:color w:val="auto"/>
        </w:rPr>
        <w:t>In computing this ratio, “Preferred dividends of subsidiaries” represents the before-tax earnings necessary to pay such dividends, computed at the effective tax rates for the applicable periods.</w:t>
      </w:r>
    </w:p>
    <w:p>
      <w:pPr>
        <w:sectPr>
          <w:pgSz w:w="11900" w:h="16838" w:orient="portrait"/>
          <w:cols w:equalWidth="0" w:num="1">
            <w:col w:w="11360"/>
          </w:cols>
          <w:pgMar w:left="320" w:top="1074" w:right="219" w:bottom="1440" w:gutter="0" w:footer="0" w:header="0"/>
          <w:type w:val="continuous"/>
        </w:sectPr>
      </w:pPr>
    </w:p>
    <w:bookmarkStart w:id="167" w:name="page168"/>
    <w:bookmarkEnd w:id="1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0" w:right="560" w:hanging="197"/>
        <w:spacing w:after="0" w:line="231" w:lineRule="auto"/>
        <w:rPr>
          <w:sz w:val="20"/>
          <w:szCs w:val="20"/>
          <w:color w:val="auto"/>
        </w:rPr>
      </w:pPr>
      <w:r>
        <w:rPr>
          <w:rFonts w:ascii="Arial" w:cs="Arial" w:eastAsia="Arial" w:hAnsi="Arial"/>
          <w:sz w:val="14"/>
          <w:szCs w:val="14"/>
          <w:color w:val="auto"/>
        </w:rPr>
        <w:t>Fixed Charges and Preferred Stock Dividends:</w:t>
      </w:r>
    </w:p>
    <w:p>
      <w:pPr>
        <w:spacing w:after="0"/>
        <w:rPr>
          <w:sz w:val="20"/>
          <w:szCs w:val="20"/>
          <w:color w:val="auto"/>
        </w:rPr>
      </w:pPr>
      <w:r>
        <w:rPr>
          <w:rFonts w:ascii="Arial" w:cs="Arial" w:eastAsia="Arial" w:hAnsi="Arial"/>
          <w:sz w:val="14"/>
          <w:szCs w:val="14"/>
          <w:color w:val="auto"/>
        </w:rPr>
        <w:t>Interest</w:t>
      </w:r>
    </w:p>
    <w:p>
      <w:pPr>
        <w:spacing w:after="0" w:line="4" w:lineRule="exact"/>
        <w:rPr>
          <w:sz w:val="20"/>
          <w:szCs w:val="20"/>
          <w:color w:val="auto"/>
        </w:rPr>
      </w:pPr>
    </w:p>
    <w:p>
      <w:pPr>
        <w:ind w:right="740"/>
        <w:spacing w:after="0" w:line="238" w:lineRule="auto"/>
        <w:rPr>
          <w:sz w:val="20"/>
          <w:szCs w:val="20"/>
          <w:color w:val="auto"/>
        </w:rPr>
      </w:pPr>
      <w:r>
        <w:rPr>
          <w:rFonts w:ascii="Arial" w:cs="Arial" w:eastAsia="Arial" w:hAnsi="Arial"/>
          <w:sz w:val="14"/>
          <w:szCs w:val="14"/>
          <w:color w:val="auto"/>
        </w:rPr>
        <w:t>Interest portion of annual rentals Total fixed charges</w:t>
      </w:r>
    </w:p>
    <w:p>
      <w:pPr>
        <w:spacing w:after="0" w:line="232" w:lineRule="auto"/>
        <w:rPr>
          <w:sz w:val="20"/>
          <w:szCs w:val="20"/>
          <w:color w:val="auto"/>
        </w:rPr>
      </w:pPr>
      <w:r>
        <w:rPr>
          <w:rFonts w:ascii="Arial" w:cs="Arial" w:eastAsia="Arial" w:hAnsi="Arial"/>
          <w:sz w:val="14"/>
          <w:szCs w:val="14"/>
          <w:color w:val="auto"/>
        </w:rPr>
        <w:t>Preferred stock dividends (1)</w:t>
      </w:r>
    </w:p>
    <w:p>
      <w:pPr>
        <w:spacing w:after="0" w:line="1" w:lineRule="exact"/>
        <w:rPr>
          <w:sz w:val="20"/>
          <w:szCs w:val="20"/>
          <w:color w:val="auto"/>
        </w:rPr>
      </w:pPr>
    </w:p>
    <w:p>
      <w:pPr>
        <w:ind w:left="200" w:hanging="197"/>
        <w:spacing w:after="0" w:line="238" w:lineRule="auto"/>
        <w:rPr>
          <w:sz w:val="20"/>
          <w:szCs w:val="20"/>
          <w:color w:val="auto"/>
        </w:rPr>
      </w:pPr>
      <w:r>
        <w:rPr>
          <w:rFonts w:ascii="Arial" w:cs="Arial" w:eastAsia="Arial" w:hAnsi="Arial"/>
          <w:sz w:val="14"/>
          <w:szCs w:val="14"/>
          <w:color w:val="auto"/>
        </w:rPr>
        <w:t>Combined fixed charges and preferred stock dividends for purpose of ratio</w:t>
      </w:r>
    </w:p>
    <w:p>
      <w:pPr>
        <w:spacing w:after="0" w:line="232" w:lineRule="auto"/>
        <w:rPr>
          <w:sz w:val="20"/>
          <w:szCs w:val="20"/>
          <w:color w:val="auto"/>
        </w:rPr>
      </w:pPr>
      <w:r>
        <w:rPr>
          <w:rFonts w:ascii="Arial" w:cs="Arial" w:eastAsia="Arial" w:hAnsi="Arial"/>
          <w:sz w:val="14"/>
          <w:szCs w:val="14"/>
          <w:color w:val="auto"/>
        </w:rPr>
        <w:t>Earnings:</w:t>
      </w:r>
    </w:p>
    <w:p>
      <w:pPr>
        <w:spacing w:after="0" w:line="1" w:lineRule="exact"/>
        <w:rPr>
          <w:sz w:val="20"/>
          <w:szCs w:val="20"/>
          <w:color w:val="auto"/>
        </w:rPr>
      </w:pPr>
    </w:p>
    <w:p>
      <w:pPr>
        <w:ind w:right="180"/>
        <w:spacing w:after="0" w:line="257" w:lineRule="auto"/>
        <w:rPr>
          <w:sz w:val="20"/>
          <w:szCs w:val="20"/>
          <w:color w:val="auto"/>
        </w:rPr>
      </w:pPr>
      <w:r>
        <w:rPr>
          <w:rFonts w:ascii="Arial" w:cs="Arial" w:eastAsia="Arial" w:hAnsi="Arial"/>
          <w:sz w:val="13"/>
          <w:szCs w:val="13"/>
          <w:color w:val="auto"/>
        </w:rPr>
        <w:t>Pretax income from continuing operations Total fixed charges (from above)</w:t>
      </w:r>
    </w:p>
    <w:p>
      <w:pPr>
        <w:spacing w:after="0"/>
        <w:rPr>
          <w:sz w:val="20"/>
          <w:szCs w:val="20"/>
          <w:color w:val="auto"/>
        </w:rPr>
      </w:pPr>
      <w:r>
        <w:rPr>
          <w:rFonts w:ascii="Arial" w:cs="Arial" w:eastAsia="Arial" w:hAnsi="Arial"/>
          <w:sz w:val="14"/>
          <w:szCs w:val="14"/>
          <w:color w:val="auto"/>
        </w:rPr>
        <w:t>Less: Interest capitalized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Total earnings for purpose of ratio</w:t>
      </w:r>
    </w:p>
    <w:p>
      <w:pPr>
        <w:ind w:left="200" w:right="40" w:hanging="197"/>
        <w:spacing w:after="0" w:line="238" w:lineRule="auto"/>
        <w:rPr>
          <w:sz w:val="20"/>
          <w:szCs w:val="20"/>
          <w:color w:val="auto"/>
        </w:rPr>
      </w:pPr>
      <w:r>
        <w:rPr>
          <w:rFonts w:ascii="Arial" w:cs="Arial" w:eastAsia="Arial" w:hAnsi="Arial"/>
          <w:sz w:val="14"/>
          <w:szCs w:val="14"/>
          <w:color w:val="auto"/>
        </w:rPr>
        <w:t>Ratio of earnings to combined fixed charges and preferred stock dividends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Ratio of earnings to fixed charges</w:t>
      </w:r>
    </w:p>
    <w:p>
      <w:pPr>
        <w:spacing w:after="0" w:line="20" w:lineRule="exact"/>
        <w:rPr>
          <w:sz w:val="20"/>
          <w:szCs w:val="20"/>
          <w:color w:val="auto"/>
        </w:rPr>
      </w:pPr>
      <w:r>
        <w:rPr>
          <w:sz w:val="20"/>
          <w:szCs w:val="20"/>
          <w:color w:val="auto"/>
        </w:rPr>
        <w:br w:type="column"/>
      </w:r>
    </w:p>
    <w:p>
      <w:pPr>
        <w:jc w:val="center"/>
        <w:ind w:right="3280"/>
        <w:spacing w:after="0"/>
        <w:rPr>
          <w:sz w:val="20"/>
          <w:szCs w:val="20"/>
          <w:color w:val="auto"/>
        </w:rPr>
      </w:pPr>
      <w:r>
        <w:rPr>
          <w:rFonts w:ascii="Arial" w:cs="Arial" w:eastAsia="Arial" w:hAnsi="Arial"/>
          <w:sz w:val="14"/>
          <w:szCs w:val="14"/>
          <w:b w:val="1"/>
          <w:bCs w:val="1"/>
          <w:color w:val="auto"/>
        </w:rPr>
        <w:t>EXHIBIT 12.2</w:t>
      </w:r>
    </w:p>
    <w:p>
      <w:pPr>
        <w:spacing w:after="0" w:line="4" w:lineRule="exact"/>
        <w:rPr>
          <w:sz w:val="20"/>
          <w:szCs w:val="20"/>
          <w:color w:val="auto"/>
        </w:rPr>
      </w:pPr>
    </w:p>
    <w:p>
      <w:pPr>
        <w:jc w:val="center"/>
        <w:ind w:right="3280"/>
        <w:spacing w:after="0"/>
        <w:rPr>
          <w:sz w:val="20"/>
          <w:szCs w:val="20"/>
          <w:color w:val="auto"/>
        </w:rPr>
      </w:pPr>
      <w:r>
        <w:rPr>
          <w:rFonts w:ascii="Arial" w:cs="Arial" w:eastAsia="Arial" w:hAnsi="Arial"/>
          <w:sz w:val="14"/>
          <w:szCs w:val="14"/>
          <w:b w:val="1"/>
          <w:bCs w:val="1"/>
          <w:color w:val="auto"/>
        </w:rPr>
        <w:t>SAN DIEGO GAS &amp; ELECTRIC COMPANY</w:t>
      </w:r>
    </w:p>
    <w:p>
      <w:pPr>
        <w:jc w:val="center"/>
        <w:ind w:right="3280"/>
        <w:spacing w:after="0"/>
        <w:rPr>
          <w:sz w:val="20"/>
          <w:szCs w:val="20"/>
          <w:color w:val="auto"/>
        </w:rPr>
      </w:pPr>
      <w:r>
        <w:rPr>
          <w:rFonts w:ascii="Arial" w:cs="Arial" w:eastAsia="Arial" w:hAnsi="Arial"/>
          <w:sz w:val="13"/>
          <w:szCs w:val="13"/>
          <w:b w:val="1"/>
          <w:bCs w:val="1"/>
          <w:color w:val="auto"/>
        </w:rPr>
        <w:t>COMPUTATION OF RATIO OF EARNINGS TO COMBINED FIXED CHARGES</w:t>
      </w:r>
    </w:p>
    <w:p>
      <w:pPr>
        <w:jc w:val="center"/>
        <w:ind w:right="3280"/>
        <w:spacing w:after="0"/>
        <w:rPr>
          <w:sz w:val="20"/>
          <w:szCs w:val="20"/>
          <w:color w:val="auto"/>
        </w:rPr>
      </w:pPr>
      <w:r>
        <w:rPr>
          <w:rFonts w:ascii="Arial" w:cs="Arial" w:eastAsia="Arial" w:hAnsi="Arial"/>
          <w:sz w:val="14"/>
          <w:szCs w:val="14"/>
          <w:b w:val="1"/>
          <w:bCs w:val="1"/>
          <w:color w:val="auto"/>
        </w:rPr>
        <w:t>AND PREFERRED STOCK DIVIDENDS</w:t>
      </w:r>
    </w:p>
    <w:p>
      <w:pPr>
        <w:jc w:val="center"/>
        <w:ind w:right="3280"/>
        <w:spacing w:after="0"/>
        <w:rPr>
          <w:sz w:val="20"/>
          <w:szCs w:val="20"/>
          <w:color w:val="auto"/>
        </w:rPr>
      </w:pPr>
      <w:r>
        <w:rPr>
          <w:rFonts w:ascii="Arial" w:cs="Arial" w:eastAsia="Arial" w:hAnsi="Arial"/>
          <w:sz w:val="14"/>
          <w:szCs w:val="14"/>
          <w:b w:val="1"/>
          <w:bCs w:val="1"/>
          <w:color w:val="auto"/>
        </w:rPr>
        <w:t>(Dollars in millions)</w:t>
      </w:r>
    </w:p>
    <w:p>
      <w:pPr>
        <w:spacing w:after="0" w:line="1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151"/>
              <w:spacing w:after="0"/>
              <w:rPr>
                <w:sz w:val="20"/>
                <w:szCs w:val="20"/>
                <w:color w:val="auto"/>
              </w:rPr>
            </w:pPr>
            <w:r>
              <w:rPr>
                <w:rFonts w:ascii="Arial" w:cs="Arial" w:eastAsia="Arial" w:hAnsi="Arial"/>
                <w:sz w:val="14"/>
                <w:szCs w:val="14"/>
                <w:color w:val="auto"/>
              </w:rPr>
              <w:t>March 31,</w:t>
            </w:r>
          </w:p>
        </w:tc>
      </w:tr>
      <w:tr>
        <w:trPr>
          <w:trHeight w:val="156"/>
        </w:trPr>
        <w:tc>
          <w:tcPr>
            <w:tcW w:w="1040" w:type="dxa"/>
            <w:vAlign w:val="bottom"/>
            <w:tcBorders>
              <w:bottom w:val="single" w:sz="8" w:color="auto"/>
            </w:tcBorders>
          </w:tcPr>
          <w:p>
            <w:pPr>
              <w:jc w:val="right"/>
              <w:ind w:right="311"/>
              <w:spacing w:after="0" w:line="156" w:lineRule="exact"/>
              <w:rPr>
                <w:sz w:val="20"/>
                <w:szCs w:val="20"/>
                <w:color w:val="auto"/>
              </w:rPr>
            </w:pPr>
            <w:r>
              <w:rPr>
                <w:rFonts w:ascii="Arial" w:cs="Arial" w:eastAsia="Arial" w:hAnsi="Arial"/>
                <w:sz w:val="14"/>
                <w:szCs w:val="14"/>
                <w:color w:val="auto"/>
              </w:rPr>
              <w:t>2006</w:t>
            </w:r>
          </w:p>
        </w:tc>
        <w:tc>
          <w:tcPr>
            <w:tcW w:w="360" w:type="dxa"/>
            <w:vAlign w:val="bottom"/>
          </w:tcPr>
          <w:p>
            <w:pPr>
              <w:spacing w:after="0"/>
              <w:rPr>
                <w:sz w:val="13"/>
                <w:szCs w:val="13"/>
                <w:color w:val="auto"/>
              </w:rPr>
            </w:pPr>
          </w:p>
        </w:tc>
        <w:tc>
          <w:tcPr>
            <w:tcW w:w="1060" w:type="dxa"/>
            <w:vAlign w:val="bottom"/>
            <w:tcBorders>
              <w:bottom w:val="single" w:sz="8" w:color="auto"/>
            </w:tcBorders>
          </w:tcPr>
          <w:p>
            <w:pPr>
              <w:jc w:val="right"/>
              <w:ind w:right="331"/>
              <w:spacing w:after="0" w:line="156" w:lineRule="exact"/>
              <w:rPr>
                <w:sz w:val="20"/>
                <w:szCs w:val="20"/>
                <w:color w:val="auto"/>
              </w:rPr>
            </w:pPr>
            <w:r>
              <w:rPr>
                <w:rFonts w:ascii="Arial" w:cs="Arial" w:eastAsia="Arial" w:hAnsi="Arial"/>
                <w:sz w:val="14"/>
                <w:szCs w:val="14"/>
                <w:color w:val="auto"/>
              </w:rPr>
              <w:t>2007</w:t>
            </w:r>
          </w:p>
        </w:tc>
        <w:tc>
          <w:tcPr>
            <w:tcW w:w="340" w:type="dxa"/>
            <w:vAlign w:val="bottom"/>
          </w:tcPr>
          <w:p>
            <w:pPr>
              <w:spacing w:after="0"/>
              <w:rPr>
                <w:sz w:val="13"/>
                <w:szCs w:val="13"/>
                <w:color w:val="auto"/>
              </w:rPr>
            </w:pPr>
          </w:p>
        </w:tc>
        <w:tc>
          <w:tcPr>
            <w:tcW w:w="1060" w:type="dxa"/>
            <w:vAlign w:val="bottom"/>
            <w:tcBorders>
              <w:bottom w:val="single" w:sz="8" w:color="auto"/>
            </w:tcBorders>
          </w:tcPr>
          <w:p>
            <w:pPr>
              <w:jc w:val="right"/>
              <w:ind w:right="331"/>
              <w:spacing w:after="0" w:line="156" w:lineRule="exact"/>
              <w:rPr>
                <w:sz w:val="20"/>
                <w:szCs w:val="20"/>
                <w:color w:val="auto"/>
              </w:rPr>
            </w:pPr>
            <w:r>
              <w:rPr>
                <w:rFonts w:ascii="Arial" w:cs="Arial" w:eastAsia="Arial" w:hAnsi="Arial"/>
                <w:sz w:val="14"/>
                <w:szCs w:val="14"/>
                <w:color w:val="auto"/>
              </w:rPr>
              <w:t>2008</w:t>
            </w:r>
          </w:p>
        </w:tc>
        <w:tc>
          <w:tcPr>
            <w:tcW w:w="340" w:type="dxa"/>
            <w:vAlign w:val="bottom"/>
          </w:tcPr>
          <w:p>
            <w:pPr>
              <w:spacing w:after="0"/>
              <w:rPr>
                <w:sz w:val="13"/>
                <w:szCs w:val="13"/>
                <w:color w:val="auto"/>
              </w:rPr>
            </w:pPr>
          </w:p>
        </w:tc>
        <w:tc>
          <w:tcPr>
            <w:tcW w:w="1060" w:type="dxa"/>
            <w:vAlign w:val="bottom"/>
            <w:tcBorders>
              <w:bottom w:val="single" w:sz="8" w:color="auto"/>
            </w:tcBorders>
          </w:tcPr>
          <w:p>
            <w:pPr>
              <w:jc w:val="right"/>
              <w:ind w:right="311"/>
              <w:spacing w:after="0" w:line="156" w:lineRule="exact"/>
              <w:rPr>
                <w:sz w:val="20"/>
                <w:szCs w:val="20"/>
                <w:color w:val="auto"/>
              </w:rPr>
            </w:pPr>
            <w:r>
              <w:rPr>
                <w:rFonts w:ascii="Arial" w:cs="Arial" w:eastAsia="Arial" w:hAnsi="Arial"/>
                <w:sz w:val="14"/>
                <w:szCs w:val="14"/>
                <w:color w:val="auto"/>
              </w:rPr>
              <w:t>2009</w:t>
            </w:r>
          </w:p>
        </w:tc>
        <w:tc>
          <w:tcPr>
            <w:tcW w:w="360" w:type="dxa"/>
            <w:vAlign w:val="bottom"/>
          </w:tcPr>
          <w:p>
            <w:pPr>
              <w:spacing w:after="0"/>
              <w:rPr>
                <w:sz w:val="13"/>
                <w:szCs w:val="13"/>
                <w:color w:val="auto"/>
              </w:rPr>
            </w:pPr>
          </w:p>
        </w:tc>
        <w:tc>
          <w:tcPr>
            <w:tcW w:w="1040" w:type="dxa"/>
            <w:vAlign w:val="bottom"/>
            <w:tcBorders>
              <w:bottom w:val="single" w:sz="8" w:color="auto"/>
            </w:tcBorders>
          </w:tcPr>
          <w:p>
            <w:pPr>
              <w:jc w:val="right"/>
              <w:ind w:right="311"/>
              <w:spacing w:after="0" w:line="156" w:lineRule="exact"/>
              <w:rPr>
                <w:sz w:val="20"/>
                <w:szCs w:val="20"/>
                <w:color w:val="auto"/>
              </w:rPr>
            </w:pPr>
            <w:r>
              <w:rPr>
                <w:rFonts w:ascii="Arial" w:cs="Arial" w:eastAsia="Arial" w:hAnsi="Arial"/>
                <w:sz w:val="14"/>
                <w:szCs w:val="14"/>
                <w:color w:val="auto"/>
              </w:rPr>
              <w:t>2010</w:t>
            </w:r>
          </w:p>
        </w:tc>
        <w:tc>
          <w:tcPr>
            <w:tcW w:w="360" w:type="dxa"/>
            <w:vAlign w:val="bottom"/>
          </w:tcPr>
          <w:p>
            <w:pPr>
              <w:spacing w:after="0"/>
              <w:rPr>
                <w:sz w:val="13"/>
                <w:szCs w:val="13"/>
                <w:color w:val="auto"/>
              </w:rPr>
            </w:pPr>
          </w:p>
        </w:tc>
        <w:tc>
          <w:tcPr>
            <w:tcW w:w="1060" w:type="dxa"/>
            <w:vAlign w:val="bottom"/>
            <w:tcBorders>
              <w:bottom w:val="single" w:sz="8" w:color="auto"/>
            </w:tcBorders>
          </w:tcPr>
          <w:p>
            <w:pPr>
              <w:jc w:val="right"/>
              <w:ind w:right="331"/>
              <w:spacing w:after="0" w:line="156" w:lineRule="exact"/>
              <w:rPr>
                <w:sz w:val="20"/>
                <w:szCs w:val="20"/>
                <w:color w:val="auto"/>
              </w:rPr>
            </w:pPr>
            <w:r>
              <w:rPr>
                <w:rFonts w:ascii="Arial" w:cs="Arial" w:eastAsia="Arial" w:hAnsi="Arial"/>
                <w:sz w:val="14"/>
                <w:szCs w:val="14"/>
                <w:color w:val="auto"/>
              </w:rPr>
              <w:t>2011</w:t>
            </w:r>
          </w:p>
        </w:tc>
      </w:tr>
      <w:tr>
        <w:trPr>
          <w:trHeight w:val="455"/>
        </w:trPr>
        <w:tc>
          <w:tcPr>
            <w:tcW w:w="1040" w:type="dxa"/>
            <w:vAlign w:val="bottom"/>
          </w:tcPr>
          <w:p>
            <w:pPr>
              <w:jc w:val="right"/>
              <w:ind w:right="31"/>
              <w:spacing w:after="0"/>
              <w:rPr>
                <w:sz w:val="20"/>
                <w:szCs w:val="20"/>
                <w:color w:val="auto"/>
              </w:rPr>
            </w:pPr>
            <w:r>
              <w:rPr>
                <w:rFonts w:ascii="Arial" w:cs="Arial" w:eastAsia="Arial" w:hAnsi="Arial"/>
                <w:sz w:val="14"/>
                <w:szCs w:val="14"/>
                <w:color w:val="auto"/>
              </w:rPr>
              <w:t>$ 102</w:t>
            </w:r>
          </w:p>
        </w:tc>
        <w:tc>
          <w:tcPr>
            <w:tcW w:w="1420" w:type="dxa"/>
            <w:vAlign w:val="bottom"/>
            <w:gridSpan w:val="2"/>
          </w:tcPr>
          <w:p>
            <w:pPr>
              <w:jc w:val="right"/>
              <w:ind w:right="31"/>
              <w:spacing w:after="0"/>
              <w:rPr>
                <w:sz w:val="20"/>
                <w:szCs w:val="20"/>
                <w:color w:val="auto"/>
              </w:rPr>
            </w:pPr>
            <w:r>
              <w:rPr>
                <w:rFonts w:ascii="Arial" w:cs="Arial" w:eastAsia="Arial" w:hAnsi="Arial"/>
                <w:sz w:val="14"/>
                <w:szCs w:val="14"/>
                <w:color w:val="auto"/>
              </w:rPr>
              <w:t>$ 105</w:t>
            </w:r>
          </w:p>
        </w:tc>
        <w:tc>
          <w:tcPr>
            <w:tcW w:w="1400" w:type="dxa"/>
            <w:vAlign w:val="bottom"/>
            <w:gridSpan w:val="2"/>
          </w:tcPr>
          <w:p>
            <w:pPr>
              <w:jc w:val="right"/>
              <w:ind w:right="31"/>
              <w:spacing w:after="0"/>
              <w:rPr>
                <w:sz w:val="20"/>
                <w:szCs w:val="20"/>
                <w:color w:val="auto"/>
              </w:rPr>
            </w:pPr>
            <w:r>
              <w:rPr>
                <w:rFonts w:ascii="Arial" w:cs="Arial" w:eastAsia="Arial" w:hAnsi="Arial"/>
                <w:sz w:val="14"/>
                <w:szCs w:val="14"/>
                <w:color w:val="auto"/>
              </w:rPr>
              <w:t>$ 107</w:t>
            </w:r>
          </w:p>
        </w:tc>
        <w:tc>
          <w:tcPr>
            <w:tcW w:w="1400" w:type="dxa"/>
            <w:vAlign w:val="bottom"/>
            <w:gridSpan w:val="2"/>
          </w:tcPr>
          <w:p>
            <w:pPr>
              <w:jc w:val="right"/>
              <w:ind w:right="31"/>
              <w:spacing w:after="0"/>
              <w:rPr>
                <w:sz w:val="20"/>
                <w:szCs w:val="20"/>
                <w:color w:val="auto"/>
              </w:rPr>
            </w:pPr>
            <w:r>
              <w:rPr>
                <w:rFonts w:ascii="Arial" w:cs="Arial" w:eastAsia="Arial" w:hAnsi="Arial"/>
                <w:sz w:val="14"/>
                <w:szCs w:val="14"/>
                <w:color w:val="auto"/>
              </w:rPr>
              <w:t>$ 118</w:t>
            </w:r>
          </w:p>
        </w:tc>
        <w:tc>
          <w:tcPr>
            <w:tcW w:w="1400" w:type="dxa"/>
            <w:vAlign w:val="bottom"/>
            <w:gridSpan w:val="2"/>
          </w:tcPr>
          <w:p>
            <w:pPr>
              <w:jc w:val="right"/>
              <w:ind w:right="11"/>
              <w:spacing w:after="0"/>
              <w:rPr>
                <w:sz w:val="20"/>
                <w:szCs w:val="20"/>
                <w:color w:val="auto"/>
              </w:rPr>
            </w:pPr>
            <w:r>
              <w:rPr>
                <w:rFonts w:ascii="Arial" w:cs="Arial" w:eastAsia="Arial" w:hAnsi="Arial"/>
                <w:sz w:val="14"/>
                <w:szCs w:val="14"/>
                <w:color w:val="auto"/>
              </w:rPr>
              <w:t>$ 153</w:t>
            </w:r>
          </w:p>
        </w:tc>
        <w:tc>
          <w:tcPr>
            <w:tcW w:w="1420" w:type="dxa"/>
            <w:vAlign w:val="bottom"/>
            <w:gridSpan w:val="2"/>
          </w:tcPr>
          <w:p>
            <w:pPr>
              <w:jc w:val="right"/>
              <w:ind w:right="31"/>
              <w:spacing w:after="0"/>
              <w:rPr>
                <w:sz w:val="20"/>
                <w:szCs w:val="20"/>
                <w:color w:val="auto"/>
              </w:rPr>
            </w:pPr>
            <w:r>
              <w:rPr>
                <w:rFonts w:ascii="Arial" w:cs="Arial" w:eastAsia="Arial" w:hAnsi="Arial"/>
                <w:sz w:val="14"/>
                <w:szCs w:val="14"/>
                <w:color w:val="auto"/>
              </w:rPr>
              <w:t>$ 43</w:t>
            </w:r>
          </w:p>
        </w:tc>
      </w:tr>
      <w:tr>
        <w:trPr>
          <w:trHeight w:val="156"/>
        </w:trPr>
        <w:tc>
          <w:tcPr>
            <w:tcW w:w="1040" w:type="dxa"/>
            <w:vAlign w:val="bottom"/>
          </w:tcPr>
          <w:p>
            <w:pPr>
              <w:jc w:val="right"/>
              <w:ind w:right="31"/>
              <w:spacing w:after="0" w:line="156" w:lineRule="exact"/>
              <w:rPr>
                <w:sz w:val="20"/>
                <w:szCs w:val="20"/>
                <w:color w:val="auto"/>
              </w:rPr>
            </w:pPr>
            <w:r>
              <w:rPr>
                <w:rFonts w:ascii="Arial" w:cs="Arial" w:eastAsia="Arial" w:hAnsi="Arial"/>
                <w:sz w:val="14"/>
                <w:szCs w:val="14"/>
                <w:color w:val="auto"/>
              </w:rPr>
              <w:t>3</w:t>
            </w:r>
          </w:p>
        </w:tc>
        <w:tc>
          <w:tcPr>
            <w:tcW w:w="142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3</w:t>
            </w:r>
          </w:p>
        </w:tc>
        <w:tc>
          <w:tcPr>
            <w:tcW w:w="140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1</w:t>
            </w:r>
          </w:p>
        </w:tc>
        <w:tc>
          <w:tcPr>
            <w:tcW w:w="140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1</w:t>
            </w:r>
          </w:p>
        </w:tc>
        <w:tc>
          <w:tcPr>
            <w:tcW w:w="1400" w:type="dxa"/>
            <w:vAlign w:val="bottom"/>
            <w:gridSpan w:val="2"/>
          </w:tcPr>
          <w:p>
            <w:pPr>
              <w:jc w:val="right"/>
              <w:ind w:right="11"/>
              <w:spacing w:after="0" w:line="156" w:lineRule="exact"/>
              <w:rPr>
                <w:sz w:val="20"/>
                <w:szCs w:val="20"/>
                <w:color w:val="auto"/>
              </w:rPr>
            </w:pPr>
            <w:r>
              <w:rPr>
                <w:rFonts w:ascii="Arial" w:cs="Arial" w:eastAsia="Arial" w:hAnsi="Arial"/>
                <w:sz w:val="14"/>
                <w:szCs w:val="14"/>
                <w:color w:val="auto"/>
              </w:rPr>
              <w:t>1</w:t>
            </w:r>
          </w:p>
        </w:tc>
        <w:tc>
          <w:tcPr>
            <w:tcW w:w="142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w:t>
            </w:r>
          </w:p>
        </w:tc>
      </w:tr>
      <w:tr>
        <w:trPr>
          <w:trHeight w:val="145"/>
        </w:trPr>
        <w:tc>
          <w:tcPr>
            <w:tcW w:w="1040" w:type="dxa"/>
            <w:vAlign w:val="bottom"/>
            <w:tcBorders>
              <w:top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105</w:t>
            </w:r>
          </w:p>
        </w:tc>
        <w:tc>
          <w:tcPr>
            <w:tcW w:w="360" w:type="dxa"/>
            <w:vAlign w:val="bottom"/>
          </w:tcPr>
          <w:p>
            <w:pPr>
              <w:spacing w:after="0"/>
              <w:rPr>
                <w:sz w:val="12"/>
                <w:szCs w:val="12"/>
                <w:color w:val="auto"/>
              </w:rPr>
            </w:pPr>
          </w:p>
        </w:tc>
        <w:tc>
          <w:tcPr>
            <w:tcW w:w="1060" w:type="dxa"/>
            <w:vAlign w:val="bottom"/>
            <w:tcBorders>
              <w:top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108</w:t>
            </w:r>
          </w:p>
        </w:tc>
        <w:tc>
          <w:tcPr>
            <w:tcW w:w="340" w:type="dxa"/>
            <w:vAlign w:val="bottom"/>
          </w:tcPr>
          <w:p>
            <w:pPr>
              <w:spacing w:after="0"/>
              <w:rPr>
                <w:sz w:val="12"/>
                <w:szCs w:val="12"/>
                <w:color w:val="auto"/>
              </w:rPr>
            </w:pPr>
          </w:p>
        </w:tc>
        <w:tc>
          <w:tcPr>
            <w:tcW w:w="1060" w:type="dxa"/>
            <w:vAlign w:val="bottom"/>
            <w:tcBorders>
              <w:top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108</w:t>
            </w:r>
          </w:p>
        </w:tc>
        <w:tc>
          <w:tcPr>
            <w:tcW w:w="340" w:type="dxa"/>
            <w:vAlign w:val="bottom"/>
          </w:tcPr>
          <w:p>
            <w:pPr>
              <w:spacing w:after="0"/>
              <w:rPr>
                <w:sz w:val="12"/>
                <w:szCs w:val="12"/>
                <w:color w:val="auto"/>
              </w:rPr>
            </w:pPr>
          </w:p>
        </w:tc>
        <w:tc>
          <w:tcPr>
            <w:tcW w:w="1060" w:type="dxa"/>
            <w:vAlign w:val="bottom"/>
            <w:tcBorders>
              <w:top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119</w:t>
            </w:r>
          </w:p>
        </w:tc>
        <w:tc>
          <w:tcPr>
            <w:tcW w:w="360" w:type="dxa"/>
            <w:vAlign w:val="bottom"/>
          </w:tcPr>
          <w:p>
            <w:pPr>
              <w:spacing w:after="0"/>
              <w:rPr>
                <w:sz w:val="12"/>
                <w:szCs w:val="12"/>
                <w:color w:val="auto"/>
              </w:rPr>
            </w:pPr>
          </w:p>
        </w:tc>
        <w:tc>
          <w:tcPr>
            <w:tcW w:w="1040" w:type="dxa"/>
            <w:vAlign w:val="bottom"/>
            <w:tcBorders>
              <w:top w:val="single" w:sz="8" w:color="auto"/>
            </w:tcBorders>
          </w:tcPr>
          <w:p>
            <w:pPr>
              <w:jc w:val="right"/>
              <w:ind w:right="11"/>
              <w:spacing w:after="0" w:line="145" w:lineRule="exact"/>
              <w:rPr>
                <w:sz w:val="20"/>
                <w:szCs w:val="20"/>
                <w:color w:val="auto"/>
              </w:rPr>
            </w:pPr>
            <w:r>
              <w:rPr>
                <w:rFonts w:ascii="Arial" w:cs="Arial" w:eastAsia="Arial" w:hAnsi="Arial"/>
                <w:sz w:val="14"/>
                <w:szCs w:val="14"/>
                <w:color w:val="auto"/>
              </w:rPr>
              <w:t>154</w:t>
            </w:r>
          </w:p>
        </w:tc>
        <w:tc>
          <w:tcPr>
            <w:tcW w:w="360" w:type="dxa"/>
            <w:vAlign w:val="bottom"/>
          </w:tcPr>
          <w:p>
            <w:pPr>
              <w:spacing w:after="0"/>
              <w:rPr>
                <w:sz w:val="12"/>
                <w:szCs w:val="12"/>
                <w:color w:val="auto"/>
              </w:rPr>
            </w:pPr>
          </w:p>
        </w:tc>
        <w:tc>
          <w:tcPr>
            <w:tcW w:w="1060" w:type="dxa"/>
            <w:vAlign w:val="bottom"/>
            <w:tcBorders>
              <w:top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43</w:t>
            </w:r>
          </w:p>
        </w:tc>
      </w:tr>
      <w:tr>
        <w:trPr>
          <w:trHeight w:val="156"/>
        </w:trPr>
        <w:tc>
          <w:tcPr>
            <w:tcW w:w="1040" w:type="dxa"/>
            <w:vAlign w:val="bottom"/>
            <w:tcBorders>
              <w:bottom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8</w:t>
            </w:r>
          </w:p>
        </w:tc>
        <w:tc>
          <w:tcPr>
            <w:tcW w:w="360" w:type="dxa"/>
            <w:vAlign w:val="bottom"/>
          </w:tcPr>
          <w:p>
            <w:pPr>
              <w:spacing w:after="0"/>
              <w:rPr>
                <w:sz w:val="13"/>
                <w:szCs w:val="13"/>
                <w:color w:val="auto"/>
              </w:rPr>
            </w:pPr>
          </w:p>
        </w:tc>
        <w:tc>
          <w:tcPr>
            <w:tcW w:w="1060" w:type="dxa"/>
            <w:vAlign w:val="bottom"/>
            <w:tcBorders>
              <w:bottom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7</w:t>
            </w:r>
          </w:p>
        </w:tc>
        <w:tc>
          <w:tcPr>
            <w:tcW w:w="340" w:type="dxa"/>
            <w:vAlign w:val="bottom"/>
          </w:tcPr>
          <w:p>
            <w:pPr>
              <w:spacing w:after="0"/>
              <w:rPr>
                <w:sz w:val="13"/>
                <w:szCs w:val="13"/>
                <w:color w:val="auto"/>
              </w:rPr>
            </w:pPr>
          </w:p>
        </w:tc>
        <w:tc>
          <w:tcPr>
            <w:tcW w:w="1060" w:type="dxa"/>
            <w:vAlign w:val="bottom"/>
            <w:tcBorders>
              <w:bottom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7</w:t>
            </w:r>
          </w:p>
        </w:tc>
        <w:tc>
          <w:tcPr>
            <w:tcW w:w="340" w:type="dxa"/>
            <w:vAlign w:val="bottom"/>
          </w:tcPr>
          <w:p>
            <w:pPr>
              <w:spacing w:after="0"/>
              <w:rPr>
                <w:sz w:val="13"/>
                <w:szCs w:val="13"/>
                <w:color w:val="auto"/>
              </w:rPr>
            </w:pPr>
          </w:p>
        </w:tc>
        <w:tc>
          <w:tcPr>
            <w:tcW w:w="1060" w:type="dxa"/>
            <w:vAlign w:val="bottom"/>
            <w:tcBorders>
              <w:bottom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7</w:t>
            </w:r>
          </w:p>
        </w:tc>
        <w:tc>
          <w:tcPr>
            <w:tcW w:w="360" w:type="dxa"/>
            <w:vAlign w:val="bottom"/>
          </w:tcPr>
          <w:p>
            <w:pPr>
              <w:spacing w:after="0"/>
              <w:rPr>
                <w:sz w:val="13"/>
                <w:szCs w:val="13"/>
                <w:color w:val="auto"/>
              </w:rPr>
            </w:pPr>
          </w:p>
        </w:tc>
        <w:tc>
          <w:tcPr>
            <w:tcW w:w="1040" w:type="dxa"/>
            <w:vAlign w:val="bottom"/>
            <w:tcBorders>
              <w:bottom w:val="single" w:sz="8" w:color="auto"/>
            </w:tcBorders>
          </w:tcPr>
          <w:p>
            <w:pPr>
              <w:jc w:val="right"/>
              <w:ind w:right="11"/>
              <w:spacing w:after="0" w:line="156" w:lineRule="exact"/>
              <w:rPr>
                <w:sz w:val="20"/>
                <w:szCs w:val="20"/>
                <w:color w:val="auto"/>
              </w:rPr>
            </w:pPr>
            <w:r>
              <w:rPr>
                <w:rFonts w:ascii="Arial" w:cs="Arial" w:eastAsia="Arial" w:hAnsi="Arial"/>
                <w:sz w:val="14"/>
                <w:szCs w:val="14"/>
                <w:color w:val="auto"/>
              </w:rPr>
              <w:t>7</w:t>
            </w:r>
          </w:p>
        </w:tc>
        <w:tc>
          <w:tcPr>
            <w:tcW w:w="360" w:type="dxa"/>
            <w:vAlign w:val="bottom"/>
          </w:tcPr>
          <w:p>
            <w:pPr>
              <w:spacing w:after="0"/>
              <w:rPr>
                <w:sz w:val="13"/>
                <w:szCs w:val="13"/>
                <w:color w:val="auto"/>
              </w:rPr>
            </w:pPr>
          </w:p>
        </w:tc>
        <w:tc>
          <w:tcPr>
            <w:tcW w:w="1060" w:type="dxa"/>
            <w:vAlign w:val="bottom"/>
            <w:tcBorders>
              <w:bottom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2</w:t>
            </w:r>
          </w:p>
        </w:tc>
      </w:tr>
      <w:tr>
        <w:trPr>
          <w:trHeight w:val="269"/>
        </w:trPr>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$ 113</w:t>
            </w:r>
          </w:p>
        </w:tc>
        <w:tc>
          <w:tcPr>
            <w:tcW w:w="360" w:type="dxa"/>
            <w:vAlign w:val="bottom"/>
          </w:tcPr>
          <w:p>
            <w:pPr>
              <w:spacing w:after="0"/>
              <w:rPr>
                <w:sz w:val="23"/>
                <w:szCs w:val="23"/>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$ 115</w:t>
            </w:r>
          </w:p>
        </w:tc>
        <w:tc>
          <w:tcPr>
            <w:tcW w:w="340" w:type="dxa"/>
            <w:vAlign w:val="bottom"/>
          </w:tcPr>
          <w:p>
            <w:pPr>
              <w:spacing w:after="0"/>
              <w:rPr>
                <w:sz w:val="23"/>
                <w:szCs w:val="23"/>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$ 115</w:t>
            </w:r>
          </w:p>
        </w:tc>
        <w:tc>
          <w:tcPr>
            <w:tcW w:w="340" w:type="dxa"/>
            <w:vAlign w:val="bottom"/>
          </w:tcPr>
          <w:p>
            <w:pPr>
              <w:spacing w:after="0"/>
              <w:rPr>
                <w:sz w:val="23"/>
                <w:szCs w:val="23"/>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$ 126</w:t>
            </w:r>
          </w:p>
        </w:tc>
        <w:tc>
          <w:tcPr>
            <w:tcW w:w="360" w:type="dxa"/>
            <w:vAlign w:val="bottom"/>
          </w:tcPr>
          <w:p>
            <w:pPr>
              <w:spacing w:after="0"/>
              <w:rPr>
                <w:sz w:val="23"/>
                <w:szCs w:val="23"/>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$ 161</w:t>
            </w:r>
          </w:p>
        </w:tc>
        <w:tc>
          <w:tcPr>
            <w:tcW w:w="360" w:type="dxa"/>
            <w:vAlign w:val="bottom"/>
          </w:tcPr>
          <w:p>
            <w:pPr>
              <w:spacing w:after="0"/>
              <w:rPr>
                <w:sz w:val="23"/>
                <w:szCs w:val="23"/>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$ 45</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1"/>
        </w:trPr>
        <w:tc>
          <w:tcPr>
            <w:tcW w:w="1040" w:type="dxa"/>
            <w:vAlign w:val="bottom"/>
          </w:tcPr>
          <w:p>
            <w:pPr>
              <w:jc w:val="right"/>
              <w:ind w:right="31"/>
              <w:spacing w:after="0"/>
              <w:rPr>
                <w:sz w:val="20"/>
                <w:szCs w:val="20"/>
                <w:color w:val="auto"/>
              </w:rPr>
            </w:pPr>
            <w:r>
              <w:rPr>
                <w:rFonts w:ascii="Arial" w:cs="Arial" w:eastAsia="Arial" w:hAnsi="Arial"/>
                <w:sz w:val="14"/>
                <w:szCs w:val="14"/>
                <w:color w:val="auto"/>
              </w:rPr>
              <w:t>$ 394</w:t>
            </w:r>
          </w:p>
        </w:tc>
        <w:tc>
          <w:tcPr>
            <w:tcW w:w="1420" w:type="dxa"/>
            <w:vAlign w:val="bottom"/>
            <w:gridSpan w:val="2"/>
          </w:tcPr>
          <w:p>
            <w:pPr>
              <w:jc w:val="right"/>
              <w:ind w:right="31"/>
              <w:spacing w:after="0"/>
              <w:rPr>
                <w:sz w:val="20"/>
                <w:szCs w:val="20"/>
                <w:color w:val="auto"/>
              </w:rPr>
            </w:pPr>
            <w:r>
              <w:rPr>
                <w:rFonts w:ascii="Arial" w:cs="Arial" w:eastAsia="Arial" w:hAnsi="Arial"/>
                <w:sz w:val="14"/>
                <w:szCs w:val="14"/>
                <w:color w:val="auto"/>
              </w:rPr>
              <w:t>$ 406</w:t>
            </w:r>
          </w:p>
        </w:tc>
        <w:tc>
          <w:tcPr>
            <w:tcW w:w="1400" w:type="dxa"/>
            <w:vAlign w:val="bottom"/>
            <w:gridSpan w:val="2"/>
          </w:tcPr>
          <w:p>
            <w:pPr>
              <w:jc w:val="right"/>
              <w:ind w:right="31"/>
              <w:spacing w:after="0"/>
              <w:rPr>
                <w:sz w:val="20"/>
                <w:szCs w:val="20"/>
                <w:color w:val="auto"/>
              </w:rPr>
            </w:pPr>
            <w:r>
              <w:rPr>
                <w:rFonts w:ascii="Arial" w:cs="Arial" w:eastAsia="Arial" w:hAnsi="Arial"/>
                <w:sz w:val="14"/>
                <w:szCs w:val="14"/>
                <w:color w:val="auto"/>
              </w:rPr>
              <w:t>$ 451</w:t>
            </w:r>
          </w:p>
        </w:tc>
        <w:tc>
          <w:tcPr>
            <w:tcW w:w="1400" w:type="dxa"/>
            <w:vAlign w:val="bottom"/>
            <w:gridSpan w:val="2"/>
          </w:tcPr>
          <w:p>
            <w:pPr>
              <w:jc w:val="right"/>
              <w:ind w:right="31"/>
              <w:spacing w:after="0"/>
              <w:rPr>
                <w:sz w:val="20"/>
                <w:szCs w:val="20"/>
                <w:color w:val="auto"/>
              </w:rPr>
            </w:pPr>
            <w:r>
              <w:rPr>
                <w:rFonts w:ascii="Arial" w:cs="Arial" w:eastAsia="Arial" w:hAnsi="Arial"/>
                <w:sz w:val="14"/>
                <w:szCs w:val="14"/>
                <w:color w:val="auto"/>
              </w:rPr>
              <w:t>$ 550</w:t>
            </w:r>
          </w:p>
        </w:tc>
        <w:tc>
          <w:tcPr>
            <w:tcW w:w="1400" w:type="dxa"/>
            <w:vAlign w:val="bottom"/>
            <w:gridSpan w:val="2"/>
          </w:tcPr>
          <w:p>
            <w:pPr>
              <w:jc w:val="right"/>
              <w:ind w:right="11"/>
              <w:spacing w:after="0"/>
              <w:rPr>
                <w:sz w:val="20"/>
                <w:szCs w:val="20"/>
                <w:color w:val="auto"/>
              </w:rPr>
            </w:pPr>
            <w:r>
              <w:rPr>
                <w:rFonts w:ascii="Arial" w:cs="Arial" w:eastAsia="Arial" w:hAnsi="Arial"/>
                <w:sz w:val="14"/>
                <w:szCs w:val="14"/>
                <w:color w:val="auto"/>
              </w:rPr>
              <w:t>$ 531</w:t>
            </w:r>
          </w:p>
        </w:tc>
        <w:tc>
          <w:tcPr>
            <w:tcW w:w="1420" w:type="dxa"/>
            <w:vAlign w:val="bottom"/>
            <w:gridSpan w:val="2"/>
          </w:tcPr>
          <w:p>
            <w:pPr>
              <w:jc w:val="right"/>
              <w:ind w:right="31"/>
              <w:spacing w:after="0"/>
              <w:rPr>
                <w:sz w:val="20"/>
                <w:szCs w:val="20"/>
                <w:color w:val="auto"/>
              </w:rPr>
            </w:pPr>
            <w:r>
              <w:rPr>
                <w:rFonts w:ascii="Arial" w:cs="Arial" w:eastAsia="Arial" w:hAnsi="Arial"/>
                <w:sz w:val="14"/>
                <w:szCs w:val="14"/>
                <w:color w:val="auto"/>
              </w:rPr>
              <w:t>$ 143</w:t>
            </w:r>
          </w:p>
        </w:tc>
      </w:tr>
      <w:tr>
        <w:trPr>
          <w:trHeight w:val="155"/>
        </w:trPr>
        <w:tc>
          <w:tcPr>
            <w:tcW w:w="104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105</w:t>
            </w:r>
          </w:p>
        </w:tc>
        <w:tc>
          <w:tcPr>
            <w:tcW w:w="142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108</w:t>
            </w:r>
          </w:p>
        </w:tc>
        <w:tc>
          <w:tcPr>
            <w:tcW w:w="140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108</w:t>
            </w:r>
          </w:p>
        </w:tc>
        <w:tc>
          <w:tcPr>
            <w:tcW w:w="140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119</w:t>
            </w:r>
          </w:p>
        </w:tc>
        <w:tc>
          <w:tcPr>
            <w:tcW w:w="1400" w:type="dxa"/>
            <w:vAlign w:val="bottom"/>
            <w:gridSpan w:val="2"/>
          </w:tcPr>
          <w:p>
            <w:pPr>
              <w:jc w:val="right"/>
              <w:ind w:right="11"/>
              <w:spacing w:after="0" w:line="155" w:lineRule="exact"/>
              <w:rPr>
                <w:sz w:val="20"/>
                <w:szCs w:val="20"/>
                <w:color w:val="auto"/>
              </w:rPr>
            </w:pPr>
            <w:r>
              <w:rPr>
                <w:rFonts w:ascii="Arial" w:cs="Arial" w:eastAsia="Arial" w:hAnsi="Arial"/>
                <w:sz w:val="14"/>
                <w:szCs w:val="14"/>
                <w:color w:val="auto"/>
              </w:rPr>
              <w:t>154</w:t>
            </w:r>
          </w:p>
        </w:tc>
        <w:tc>
          <w:tcPr>
            <w:tcW w:w="142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43</w:t>
            </w:r>
          </w:p>
        </w:tc>
      </w:tr>
      <w:tr>
        <w:trPr>
          <w:trHeight w:val="156"/>
        </w:trPr>
        <w:tc>
          <w:tcPr>
            <w:tcW w:w="1040" w:type="dxa"/>
            <w:vAlign w:val="bottom"/>
          </w:tcPr>
          <w:p>
            <w:pPr>
              <w:jc w:val="right"/>
              <w:ind w:right="31"/>
              <w:spacing w:after="0" w:line="156" w:lineRule="exact"/>
              <w:rPr>
                <w:sz w:val="20"/>
                <w:szCs w:val="20"/>
                <w:color w:val="auto"/>
              </w:rPr>
            </w:pPr>
            <w:r>
              <w:rPr>
                <w:rFonts w:ascii="Arial" w:cs="Arial" w:eastAsia="Arial" w:hAnsi="Arial"/>
                <w:sz w:val="14"/>
                <w:szCs w:val="14"/>
                <w:color w:val="auto"/>
              </w:rPr>
              <w:t>1</w:t>
            </w:r>
          </w:p>
        </w:tc>
        <w:tc>
          <w:tcPr>
            <w:tcW w:w="142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3</w:t>
            </w:r>
          </w:p>
        </w:tc>
        <w:tc>
          <w:tcPr>
            <w:tcW w:w="140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13</w:t>
            </w:r>
          </w:p>
        </w:tc>
        <w:tc>
          <w:tcPr>
            <w:tcW w:w="140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4</w:t>
            </w:r>
          </w:p>
        </w:tc>
        <w:tc>
          <w:tcPr>
            <w:tcW w:w="1400" w:type="dxa"/>
            <w:vAlign w:val="bottom"/>
            <w:gridSpan w:val="2"/>
          </w:tcPr>
          <w:p>
            <w:pPr>
              <w:jc w:val="right"/>
              <w:ind w:right="11"/>
              <w:spacing w:after="0" w:line="156" w:lineRule="exact"/>
              <w:rPr>
                <w:sz w:val="20"/>
                <w:szCs w:val="20"/>
                <w:color w:val="auto"/>
              </w:rPr>
            </w:pPr>
            <w:r>
              <w:rPr>
                <w:rFonts w:ascii="Arial" w:cs="Arial" w:eastAsia="Arial" w:hAnsi="Arial"/>
                <w:sz w:val="14"/>
                <w:szCs w:val="14"/>
                <w:color w:val="auto"/>
              </w:rPr>
              <w:t>1</w:t>
            </w:r>
          </w:p>
        </w:tc>
        <w:tc>
          <w:tcPr>
            <w:tcW w:w="142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w:t>
            </w:r>
          </w:p>
        </w:tc>
      </w:tr>
      <w:tr>
        <w:trPr>
          <w:trHeight w:val="145"/>
        </w:trPr>
        <w:tc>
          <w:tcPr>
            <w:tcW w:w="1040" w:type="dxa"/>
            <w:vAlign w:val="bottom"/>
            <w:tcBorders>
              <w:top w:val="single" w:sz="8" w:color="auto"/>
              <w:bottom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$ 498</w:t>
            </w:r>
          </w:p>
        </w:tc>
        <w:tc>
          <w:tcPr>
            <w:tcW w:w="36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$ 511</w:t>
            </w:r>
          </w:p>
        </w:tc>
        <w:tc>
          <w:tcPr>
            <w:tcW w:w="34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$ 546</w:t>
            </w:r>
          </w:p>
        </w:tc>
        <w:tc>
          <w:tcPr>
            <w:tcW w:w="34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$ 665</w:t>
            </w:r>
          </w:p>
        </w:tc>
        <w:tc>
          <w:tcPr>
            <w:tcW w:w="36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11"/>
              <w:spacing w:after="0" w:line="145" w:lineRule="exact"/>
              <w:rPr>
                <w:sz w:val="20"/>
                <w:szCs w:val="20"/>
                <w:color w:val="auto"/>
              </w:rPr>
            </w:pPr>
            <w:r>
              <w:rPr>
                <w:rFonts w:ascii="Arial" w:cs="Arial" w:eastAsia="Arial" w:hAnsi="Arial"/>
                <w:sz w:val="14"/>
                <w:szCs w:val="14"/>
                <w:color w:val="auto"/>
              </w:rPr>
              <w:t>$ 684</w:t>
            </w:r>
          </w:p>
        </w:tc>
        <w:tc>
          <w:tcPr>
            <w:tcW w:w="36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$ 186</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4.41</w:t>
            </w:r>
          </w:p>
        </w:tc>
        <w:tc>
          <w:tcPr>
            <w:tcW w:w="360" w:type="dxa"/>
            <w:vAlign w:val="bottom"/>
          </w:tcPr>
          <w:p>
            <w:pPr>
              <w:spacing w:after="0"/>
              <w:rPr>
                <w:sz w:val="21"/>
                <w:szCs w:val="21"/>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4.44</w:t>
            </w:r>
          </w:p>
        </w:tc>
        <w:tc>
          <w:tcPr>
            <w:tcW w:w="340" w:type="dxa"/>
            <w:vAlign w:val="bottom"/>
          </w:tcPr>
          <w:p>
            <w:pPr>
              <w:spacing w:after="0"/>
              <w:rPr>
                <w:sz w:val="21"/>
                <w:szCs w:val="21"/>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4.75</w:t>
            </w:r>
          </w:p>
        </w:tc>
        <w:tc>
          <w:tcPr>
            <w:tcW w:w="340" w:type="dxa"/>
            <w:vAlign w:val="bottom"/>
          </w:tcPr>
          <w:p>
            <w:pPr>
              <w:spacing w:after="0"/>
              <w:rPr>
                <w:sz w:val="21"/>
                <w:szCs w:val="21"/>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5.28</w:t>
            </w:r>
          </w:p>
        </w:tc>
        <w:tc>
          <w:tcPr>
            <w:tcW w:w="360" w:type="dxa"/>
            <w:vAlign w:val="bottom"/>
          </w:tcPr>
          <w:p>
            <w:pPr>
              <w:spacing w:after="0"/>
              <w:rPr>
                <w:sz w:val="21"/>
                <w:szCs w:val="21"/>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4.25</w:t>
            </w:r>
          </w:p>
        </w:tc>
        <w:tc>
          <w:tcPr>
            <w:tcW w:w="360" w:type="dxa"/>
            <w:vAlign w:val="bottom"/>
          </w:tcPr>
          <w:p>
            <w:pPr>
              <w:spacing w:after="0"/>
              <w:rPr>
                <w:sz w:val="21"/>
                <w:szCs w:val="21"/>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4.13</w:t>
            </w:r>
          </w:p>
        </w:tc>
      </w:tr>
      <w:tr>
        <w:trPr>
          <w:trHeight w:val="20"/>
        </w:trPr>
        <w:tc>
          <w:tcPr>
            <w:tcW w:w="10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r>
      <w:tr>
        <w:trPr>
          <w:trHeight w:val="126"/>
        </w:trPr>
        <w:tc>
          <w:tcPr>
            <w:tcW w:w="1040" w:type="dxa"/>
            <w:vAlign w:val="bottom"/>
            <w:tcBorders>
              <w:top w:val="single" w:sz="8" w:color="auto"/>
              <w:bottom w:val="single" w:sz="8" w:color="auto"/>
            </w:tcBorders>
          </w:tcPr>
          <w:p>
            <w:pPr>
              <w:jc w:val="right"/>
              <w:ind w:right="31"/>
              <w:spacing w:after="0" w:line="126" w:lineRule="exact"/>
              <w:rPr>
                <w:sz w:val="20"/>
                <w:szCs w:val="20"/>
                <w:color w:val="auto"/>
              </w:rPr>
            </w:pPr>
            <w:r>
              <w:rPr>
                <w:rFonts w:ascii="Arial" w:cs="Arial" w:eastAsia="Arial" w:hAnsi="Arial"/>
                <w:sz w:val="14"/>
                <w:szCs w:val="14"/>
                <w:color w:val="auto"/>
              </w:rPr>
              <w:t>4.74</w:t>
            </w:r>
          </w:p>
        </w:tc>
        <w:tc>
          <w:tcPr>
            <w:tcW w:w="360" w:type="dxa"/>
            <w:vAlign w:val="bottom"/>
          </w:tcPr>
          <w:p>
            <w:pPr>
              <w:spacing w:after="0"/>
              <w:rPr>
                <w:sz w:val="10"/>
                <w:szCs w:val="10"/>
                <w:color w:val="auto"/>
              </w:rPr>
            </w:pPr>
          </w:p>
        </w:tc>
        <w:tc>
          <w:tcPr>
            <w:tcW w:w="1060" w:type="dxa"/>
            <w:vAlign w:val="bottom"/>
            <w:tcBorders>
              <w:top w:val="single" w:sz="8" w:color="auto"/>
              <w:bottom w:val="single" w:sz="8" w:color="auto"/>
            </w:tcBorders>
          </w:tcPr>
          <w:p>
            <w:pPr>
              <w:jc w:val="right"/>
              <w:ind w:right="31"/>
              <w:spacing w:after="0" w:line="126" w:lineRule="exact"/>
              <w:rPr>
                <w:sz w:val="20"/>
                <w:szCs w:val="20"/>
                <w:color w:val="auto"/>
              </w:rPr>
            </w:pPr>
            <w:r>
              <w:rPr>
                <w:rFonts w:ascii="Arial" w:cs="Arial" w:eastAsia="Arial" w:hAnsi="Arial"/>
                <w:sz w:val="14"/>
                <w:szCs w:val="14"/>
                <w:color w:val="auto"/>
              </w:rPr>
              <w:t>4.73</w:t>
            </w:r>
          </w:p>
        </w:tc>
        <w:tc>
          <w:tcPr>
            <w:tcW w:w="340" w:type="dxa"/>
            <w:vAlign w:val="bottom"/>
          </w:tcPr>
          <w:p>
            <w:pPr>
              <w:spacing w:after="0"/>
              <w:rPr>
                <w:sz w:val="10"/>
                <w:szCs w:val="10"/>
                <w:color w:val="auto"/>
              </w:rPr>
            </w:pPr>
          </w:p>
        </w:tc>
        <w:tc>
          <w:tcPr>
            <w:tcW w:w="1060" w:type="dxa"/>
            <w:vAlign w:val="bottom"/>
            <w:tcBorders>
              <w:top w:val="single" w:sz="8" w:color="auto"/>
              <w:bottom w:val="single" w:sz="8" w:color="auto"/>
            </w:tcBorders>
          </w:tcPr>
          <w:p>
            <w:pPr>
              <w:jc w:val="right"/>
              <w:ind w:right="31"/>
              <w:spacing w:after="0" w:line="126" w:lineRule="exact"/>
              <w:rPr>
                <w:sz w:val="20"/>
                <w:szCs w:val="20"/>
                <w:color w:val="auto"/>
              </w:rPr>
            </w:pPr>
            <w:r>
              <w:rPr>
                <w:rFonts w:ascii="Arial" w:cs="Arial" w:eastAsia="Arial" w:hAnsi="Arial"/>
                <w:sz w:val="14"/>
                <w:szCs w:val="14"/>
                <w:color w:val="auto"/>
              </w:rPr>
              <w:t>5.06</w:t>
            </w:r>
          </w:p>
        </w:tc>
        <w:tc>
          <w:tcPr>
            <w:tcW w:w="340" w:type="dxa"/>
            <w:vAlign w:val="bottom"/>
          </w:tcPr>
          <w:p>
            <w:pPr>
              <w:spacing w:after="0"/>
              <w:rPr>
                <w:sz w:val="10"/>
                <w:szCs w:val="10"/>
                <w:color w:val="auto"/>
              </w:rPr>
            </w:pPr>
          </w:p>
        </w:tc>
        <w:tc>
          <w:tcPr>
            <w:tcW w:w="1060" w:type="dxa"/>
            <w:vAlign w:val="bottom"/>
            <w:tcBorders>
              <w:top w:val="single" w:sz="8" w:color="auto"/>
              <w:bottom w:val="single" w:sz="8" w:color="auto"/>
            </w:tcBorders>
          </w:tcPr>
          <w:p>
            <w:pPr>
              <w:jc w:val="right"/>
              <w:ind w:right="31"/>
              <w:spacing w:after="0" w:line="126" w:lineRule="exact"/>
              <w:rPr>
                <w:sz w:val="20"/>
                <w:szCs w:val="20"/>
                <w:color w:val="auto"/>
              </w:rPr>
            </w:pPr>
            <w:r>
              <w:rPr>
                <w:rFonts w:ascii="Arial" w:cs="Arial" w:eastAsia="Arial" w:hAnsi="Arial"/>
                <w:sz w:val="14"/>
                <w:szCs w:val="14"/>
                <w:color w:val="auto"/>
              </w:rPr>
              <w:t>5.59</w:t>
            </w:r>
          </w:p>
        </w:tc>
        <w:tc>
          <w:tcPr>
            <w:tcW w:w="360" w:type="dxa"/>
            <w:vAlign w:val="bottom"/>
          </w:tcPr>
          <w:p>
            <w:pPr>
              <w:spacing w:after="0"/>
              <w:rPr>
                <w:sz w:val="10"/>
                <w:szCs w:val="10"/>
                <w:color w:val="auto"/>
              </w:rPr>
            </w:pPr>
          </w:p>
        </w:tc>
        <w:tc>
          <w:tcPr>
            <w:tcW w:w="1040" w:type="dxa"/>
            <w:vAlign w:val="bottom"/>
            <w:tcBorders>
              <w:top w:val="single" w:sz="8" w:color="auto"/>
              <w:bottom w:val="single" w:sz="8" w:color="auto"/>
            </w:tcBorders>
          </w:tcPr>
          <w:p>
            <w:pPr>
              <w:jc w:val="right"/>
              <w:ind w:right="11"/>
              <w:spacing w:after="0" w:line="126" w:lineRule="exact"/>
              <w:rPr>
                <w:sz w:val="20"/>
                <w:szCs w:val="20"/>
                <w:color w:val="auto"/>
              </w:rPr>
            </w:pPr>
            <w:r>
              <w:rPr>
                <w:rFonts w:ascii="Arial" w:cs="Arial" w:eastAsia="Arial" w:hAnsi="Arial"/>
                <w:sz w:val="14"/>
                <w:szCs w:val="14"/>
                <w:color w:val="auto"/>
              </w:rPr>
              <w:t>4.44</w:t>
            </w:r>
          </w:p>
        </w:tc>
        <w:tc>
          <w:tcPr>
            <w:tcW w:w="360" w:type="dxa"/>
            <w:vAlign w:val="bottom"/>
          </w:tcPr>
          <w:p>
            <w:pPr>
              <w:spacing w:after="0"/>
              <w:rPr>
                <w:sz w:val="10"/>
                <w:szCs w:val="10"/>
                <w:color w:val="auto"/>
              </w:rPr>
            </w:pPr>
          </w:p>
        </w:tc>
        <w:tc>
          <w:tcPr>
            <w:tcW w:w="1060" w:type="dxa"/>
            <w:vAlign w:val="bottom"/>
            <w:tcBorders>
              <w:top w:val="single" w:sz="8" w:color="auto"/>
              <w:bottom w:val="single" w:sz="8" w:color="auto"/>
            </w:tcBorders>
          </w:tcPr>
          <w:p>
            <w:pPr>
              <w:jc w:val="right"/>
              <w:ind w:right="31"/>
              <w:spacing w:after="0" w:line="126" w:lineRule="exact"/>
              <w:rPr>
                <w:sz w:val="20"/>
                <w:szCs w:val="20"/>
                <w:color w:val="auto"/>
              </w:rPr>
            </w:pPr>
            <w:r>
              <w:rPr>
                <w:rFonts w:ascii="Arial" w:cs="Arial" w:eastAsia="Arial" w:hAnsi="Arial"/>
                <w:sz w:val="14"/>
                <w:szCs w:val="14"/>
                <w:color w:val="auto"/>
              </w:rPr>
              <w:t>4.33</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2">
            <w:col w:w="2720" w:space="480"/>
            <w:col w:w="8160"/>
          </w:cols>
          <w:pgMar w:left="320" w:top="1074" w:right="219" w:bottom="1440" w:gutter="0" w:footer="0" w:header="0"/>
        </w:sectPr>
      </w:pPr>
    </w:p>
    <w:p>
      <w:pPr>
        <w:ind w:left="600" w:right="240" w:hanging="482"/>
        <w:spacing w:after="0" w:line="238" w:lineRule="auto"/>
        <w:tabs>
          <w:tab w:leader="none" w:pos="600" w:val="left"/>
        </w:tabs>
        <w:numPr>
          <w:ilvl w:val="0"/>
          <w:numId w:val="252"/>
        </w:numPr>
        <w:rPr>
          <w:rFonts w:ascii="Arial" w:cs="Arial" w:eastAsia="Arial" w:hAnsi="Arial"/>
          <w:sz w:val="14"/>
          <w:szCs w:val="14"/>
          <w:color w:val="auto"/>
        </w:rPr>
      </w:pPr>
      <w:r>
        <w:rPr>
          <w:rFonts w:ascii="Arial" w:cs="Arial" w:eastAsia="Arial" w:hAnsi="Arial"/>
          <w:sz w:val="14"/>
          <w:szCs w:val="14"/>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360"/>
          </w:cols>
          <w:pgMar w:left="320" w:top="1074" w:right="219" w:bottom="1440" w:gutter="0" w:footer="0" w:header="0"/>
          <w:type w:val="continuous"/>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Fixed Charges:</w:t>
      </w:r>
    </w:p>
    <w:p>
      <w:pPr>
        <w:spacing w:after="0" w:line="231" w:lineRule="auto"/>
        <w:rPr>
          <w:sz w:val="20"/>
          <w:szCs w:val="20"/>
          <w:color w:val="auto"/>
        </w:rPr>
      </w:pPr>
      <w:r>
        <w:rPr>
          <w:rFonts w:ascii="Arial" w:cs="Arial" w:eastAsia="Arial" w:hAnsi="Arial"/>
          <w:sz w:val="14"/>
          <w:szCs w:val="14"/>
          <w:color w:val="auto"/>
        </w:rPr>
        <w:t>Interest</w:t>
      </w:r>
    </w:p>
    <w:p>
      <w:pPr>
        <w:spacing w:after="0"/>
        <w:rPr>
          <w:sz w:val="20"/>
          <w:szCs w:val="20"/>
          <w:color w:val="auto"/>
        </w:rPr>
      </w:pPr>
      <w:r>
        <w:rPr>
          <w:rFonts w:ascii="Arial" w:cs="Arial" w:eastAsia="Arial" w:hAnsi="Arial"/>
          <w:sz w:val="14"/>
          <w:szCs w:val="14"/>
          <w:color w:val="auto"/>
        </w:rPr>
        <w:t>Interest portion of annual rentals</w:t>
      </w:r>
    </w:p>
    <w:p>
      <w:pPr>
        <w:spacing w:after="0" w:line="237" w:lineRule="auto"/>
        <w:rPr>
          <w:sz w:val="20"/>
          <w:szCs w:val="20"/>
          <w:color w:val="auto"/>
        </w:rPr>
      </w:pPr>
      <w:r>
        <w:rPr>
          <w:rFonts w:ascii="Arial" w:cs="Arial" w:eastAsia="Arial" w:hAnsi="Arial"/>
          <w:sz w:val="14"/>
          <w:szCs w:val="14"/>
          <w:color w:val="auto"/>
        </w:rPr>
        <w:t>Preferred dividends of subsidiary (1)</w:t>
      </w:r>
    </w:p>
    <w:p>
      <w:pPr>
        <w:spacing w:after="0"/>
        <w:rPr>
          <w:sz w:val="20"/>
          <w:szCs w:val="20"/>
          <w:color w:val="auto"/>
        </w:rPr>
      </w:pPr>
      <w:r>
        <w:rPr>
          <w:rFonts w:ascii="Arial" w:cs="Arial" w:eastAsia="Arial" w:hAnsi="Arial"/>
          <w:sz w:val="14"/>
          <w:szCs w:val="14"/>
          <w:color w:val="auto"/>
        </w:rPr>
        <w:t>Total fixed charges</w:t>
      </w:r>
    </w:p>
    <w:p>
      <w:pPr>
        <w:spacing w:after="0" w:line="237" w:lineRule="auto"/>
        <w:rPr>
          <w:sz w:val="20"/>
          <w:szCs w:val="20"/>
          <w:color w:val="auto"/>
        </w:rPr>
      </w:pPr>
      <w:r>
        <w:rPr>
          <w:rFonts w:ascii="Arial" w:cs="Arial" w:eastAsia="Arial" w:hAnsi="Arial"/>
          <w:sz w:val="14"/>
          <w:szCs w:val="14"/>
          <w:color w:val="auto"/>
        </w:rPr>
        <w:t>Preferred stock dividends (1)</w:t>
      </w:r>
    </w:p>
    <w:p>
      <w:pPr>
        <w:ind w:left="200" w:hanging="197"/>
        <w:spacing w:after="0" w:line="238" w:lineRule="auto"/>
        <w:rPr>
          <w:sz w:val="20"/>
          <w:szCs w:val="20"/>
          <w:color w:val="auto"/>
        </w:rPr>
      </w:pPr>
      <w:r>
        <w:rPr>
          <w:rFonts w:ascii="Arial" w:cs="Arial" w:eastAsia="Arial" w:hAnsi="Arial"/>
          <w:sz w:val="14"/>
          <w:szCs w:val="14"/>
          <w:color w:val="auto"/>
        </w:rPr>
        <w:t>Combined fixed charges and preferred stock dividends for purpose of ratio</w:t>
      </w:r>
    </w:p>
    <w:p>
      <w:pPr>
        <w:spacing w:after="0" w:line="232" w:lineRule="auto"/>
        <w:rPr>
          <w:sz w:val="20"/>
          <w:szCs w:val="20"/>
          <w:color w:val="auto"/>
        </w:rPr>
      </w:pPr>
      <w:r>
        <w:rPr>
          <w:rFonts w:ascii="Arial" w:cs="Arial" w:eastAsia="Arial" w:hAnsi="Arial"/>
          <w:sz w:val="14"/>
          <w:szCs w:val="14"/>
          <w:color w:val="auto"/>
        </w:rPr>
        <w:t>Earnings:</w:t>
      </w:r>
    </w:p>
    <w:p>
      <w:pPr>
        <w:spacing w:after="0" w:line="231" w:lineRule="auto"/>
        <w:rPr>
          <w:sz w:val="20"/>
          <w:szCs w:val="20"/>
          <w:color w:val="auto"/>
        </w:rPr>
      </w:pPr>
      <w:r>
        <w:rPr>
          <w:rFonts w:ascii="Arial" w:cs="Arial" w:eastAsia="Arial" w:hAnsi="Arial"/>
          <w:sz w:val="14"/>
          <w:szCs w:val="14"/>
          <w:color w:val="auto"/>
        </w:rPr>
        <w:t>Pretax income from continuing operations</w:t>
      </w:r>
    </w:p>
    <w:p>
      <w:pPr>
        <w:spacing w:after="0" w:line="232" w:lineRule="auto"/>
        <w:rPr>
          <w:sz w:val="20"/>
          <w:szCs w:val="20"/>
          <w:color w:val="auto"/>
        </w:rPr>
      </w:pPr>
      <w:r>
        <w:rPr>
          <w:rFonts w:ascii="Arial" w:cs="Arial" w:eastAsia="Arial" w:hAnsi="Arial"/>
          <w:sz w:val="14"/>
          <w:szCs w:val="14"/>
          <w:color w:val="auto"/>
        </w:rPr>
        <w:t>Total fixed charges (from above)</w:t>
      </w:r>
    </w:p>
    <w:p>
      <w:pPr>
        <w:spacing w:after="0"/>
        <w:rPr>
          <w:sz w:val="20"/>
          <w:szCs w:val="20"/>
          <w:color w:val="auto"/>
        </w:rPr>
      </w:pPr>
      <w:r>
        <w:rPr>
          <w:rFonts w:ascii="Arial" w:cs="Arial" w:eastAsia="Arial" w:hAnsi="Arial"/>
          <w:sz w:val="14"/>
          <w:szCs w:val="14"/>
          <w:color w:val="auto"/>
        </w:rPr>
        <w:t>Less: Interest capitalized</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Less: Preferred dividends of subsidiary (1)</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Total earnings for purpose of ratio</w:t>
      </w:r>
    </w:p>
    <w:p>
      <w:pPr>
        <w:ind w:left="200" w:right="40" w:hanging="197"/>
        <w:spacing w:after="0" w:line="238" w:lineRule="auto"/>
        <w:rPr>
          <w:sz w:val="20"/>
          <w:szCs w:val="20"/>
          <w:color w:val="auto"/>
        </w:rPr>
      </w:pPr>
      <w:r>
        <w:rPr>
          <w:rFonts w:ascii="Arial" w:cs="Arial" w:eastAsia="Arial" w:hAnsi="Arial"/>
          <w:sz w:val="14"/>
          <w:szCs w:val="14"/>
          <w:color w:val="auto"/>
        </w:rPr>
        <w:t>Ratio of earnings to combined fixed charges and preferred stock dividends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Ratio of earnings to fixed charges</w:t>
      </w:r>
    </w:p>
    <w:p>
      <w:pPr>
        <w:spacing w:after="0" w:line="20" w:lineRule="exact"/>
        <w:rPr>
          <w:sz w:val="20"/>
          <w:szCs w:val="20"/>
          <w:color w:val="auto"/>
        </w:rPr>
      </w:pPr>
      <w:r>
        <w:rPr>
          <w:sz w:val="20"/>
          <w:szCs w:val="20"/>
          <w:color w:val="auto"/>
        </w:rPr>
        <w:br w:type="column"/>
      </w:r>
    </w:p>
    <w:p>
      <w:pPr>
        <w:jc w:val="center"/>
        <w:ind w:right="3060"/>
        <w:spacing w:after="0"/>
        <w:rPr>
          <w:sz w:val="20"/>
          <w:szCs w:val="20"/>
          <w:color w:val="auto"/>
        </w:rPr>
      </w:pPr>
      <w:r>
        <w:rPr>
          <w:rFonts w:ascii="Arial" w:cs="Arial" w:eastAsia="Arial" w:hAnsi="Arial"/>
          <w:sz w:val="14"/>
          <w:szCs w:val="14"/>
          <w:b w:val="1"/>
          <w:bCs w:val="1"/>
          <w:color w:val="auto"/>
        </w:rPr>
        <w:t>EXHIBIT 12.3</w:t>
      </w:r>
    </w:p>
    <w:p>
      <w:pPr>
        <w:spacing w:after="0" w:line="4" w:lineRule="exact"/>
        <w:rPr>
          <w:sz w:val="20"/>
          <w:szCs w:val="20"/>
          <w:color w:val="auto"/>
        </w:rPr>
      </w:pPr>
    </w:p>
    <w:p>
      <w:pPr>
        <w:jc w:val="center"/>
        <w:ind w:right="3060"/>
        <w:spacing w:after="0"/>
        <w:rPr>
          <w:sz w:val="20"/>
          <w:szCs w:val="20"/>
          <w:color w:val="auto"/>
        </w:rPr>
      </w:pPr>
      <w:r>
        <w:rPr>
          <w:rFonts w:ascii="Arial" w:cs="Arial" w:eastAsia="Arial" w:hAnsi="Arial"/>
          <w:sz w:val="14"/>
          <w:szCs w:val="14"/>
          <w:b w:val="1"/>
          <w:bCs w:val="1"/>
          <w:color w:val="auto"/>
        </w:rPr>
        <w:t>PACIFIC ENTERPRISES</w:t>
      </w:r>
    </w:p>
    <w:p>
      <w:pPr>
        <w:jc w:val="center"/>
        <w:ind w:right="3060"/>
        <w:spacing w:after="0" w:line="231" w:lineRule="auto"/>
        <w:rPr>
          <w:sz w:val="20"/>
          <w:szCs w:val="20"/>
          <w:color w:val="auto"/>
        </w:rPr>
      </w:pPr>
      <w:r>
        <w:rPr>
          <w:rFonts w:ascii="Arial" w:cs="Arial" w:eastAsia="Arial" w:hAnsi="Arial"/>
          <w:sz w:val="14"/>
          <w:szCs w:val="14"/>
          <w:b w:val="1"/>
          <w:bCs w:val="1"/>
          <w:color w:val="auto"/>
        </w:rPr>
        <w:t>COMPUTATION OF RATIO OF EARNINGS TO COMBINED FIXED CHARGES</w:t>
      </w:r>
    </w:p>
    <w:p>
      <w:pPr>
        <w:jc w:val="center"/>
        <w:ind w:right="3060"/>
        <w:spacing w:after="0" w:line="231" w:lineRule="auto"/>
        <w:rPr>
          <w:sz w:val="20"/>
          <w:szCs w:val="20"/>
          <w:color w:val="auto"/>
        </w:rPr>
      </w:pPr>
      <w:r>
        <w:rPr>
          <w:rFonts w:ascii="Arial" w:cs="Arial" w:eastAsia="Arial" w:hAnsi="Arial"/>
          <w:sz w:val="14"/>
          <w:szCs w:val="14"/>
          <w:b w:val="1"/>
          <w:bCs w:val="1"/>
          <w:color w:val="auto"/>
        </w:rPr>
        <w:t>AND PREFERRED STOCK DIVIDENDS</w:t>
      </w:r>
    </w:p>
    <w:p>
      <w:pPr>
        <w:jc w:val="center"/>
        <w:ind w:right="3060"/>
        <w:spacing w:after="0"/>
        <w:rPr>
          <w:sz w:val="20"/>
          <w:szCs w:val="20"/>
          <w:color w:val="auto"/>
        </w:rPr>
      </w:pPr>
      <w:r>
        <w:rPr>
          <w:rFonts w:ascii="Arial" w:cs="Arial" w:eastAsia="Arial" w:hAnsi="Arial"/>
          <w:sz w:val="14"/>
          <w:szCs w:val="14"/>
          <w:b w:val="1"/>
          <w:bCs w:val="1"/>
          <w:color w:val="auto"/>
        </w:rPr>
        <w:t>(Dollars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171"/>
              <w:spacing w:after="0"/>
              <w:rPr>
                <w:sz w:val="20"/>
                <w:szCs w:val="20"/>
                <w:color w:val="auto"/>
              </w:rPr>
            </w:pPr>
            <w:r>
              <w:rPr>
                <w:rFonts w:ascii="Arial" w:cs="Arial" w:eastAsia="Arial" w:hAnsi="Arial"/>
                <w:sz w:val="14"/>
                <w:szCs w:val="14"/>
                <w:color w:val="auto"/>
              </w:rPr>
              <w:t>March 31,</w:t>
            </w:r>
          </w:p>
        </w:tc>
      </w:tr>
      <w:tr>
        <w:trPr>
          <w:trHeight w:val="156"/>
        </w:trPr>
        <w:tc>
          <w:tcPr>
            <w:tcW w:w="1100" w:type="dxa"/>
            <w:vAlign w:val="bottom"/>
            <w:tcBorders>
              <w:bottom w:val="single" w:sz="8" w:color="auto"/>
            </w:tcBorders>
          </w:tcPr>
          <w:p>
            <w:pPr>
              <w:jc w:val="right"/>
              <w:ind w:right="351"/>
              <w:spacing w:after="0" w:line="156" w:lineRule="exact"/>
              <w:rPr>
                <w:sz w:val="20"/>
                <w:szCs w:val="20"/>
                <w:color w:val="auto"/>
              </w:rPr>
            </w:pPr>
            <w:r>
              <w:rPr>
                <w:rFonts w:ascii="Arial" w:cs="Arial" w:eastAsia="Arial" w:hAnsi="Arial"/>
                <w:sz w:val="14"/>
                <w:szCs w:val="14"/>
                <w:color w:val="auto"/>
              </w:rPr>
              <w:t>2006</w:t>
            </w:r>
          </w:p>
        </w:tc>
        <w:tc>
          <w:tcPr>
            <w:tcW w:w="360" w:type="dxa"/>
            <w:vAlign w:val="bottom"/>
          </w:tcPr>
          <w:p>
            <w:pPr>
              <w:spacing w:after="0"/>
              <w:rPr>
                <w:sz w:val="13"/>
                <w:szCs w:val="13"/>
                <w:color w:val="auto"/>
              </w:rPr>
            </w:pPr>
          </w:p>
        </w:tc>
        <w:tc>
          <w:tcPr>
            <w:tcW w:w="1100" w:type="dxa"/>
            <w:vAlign w:val="bottom"/>
            <w:tcBorders>
              <w:bottom w:val="single" w:sz="8" w:color="auto"/>
            </w:tcBorders>
          </w:tcPr>
          <w:p>
            <w:pPr>
              <w:jc w:val="right"/>
              <w:ind w:right="351"/>
              <w:spacing w:after="0" w:line="156" w:lineRule="exact"/>
              <w:rPr>
                <w:sz w:val="20"/>
                <w:szCs w:val="20"/>
                <w:color w:val="auto"/>
              </w:rPr>
            </w:pPr>
            <w:r>
              <w:rPr>
                <w:rFonts w:ascii="Arial" w:cs="Arial" w:eastAsia="Arial" w:hAnsi="Arial"/>
                <w:sz w:val="14"/>
                <w:szCs w:val="14"/>
                <w:color w:val="auto"/>
              </w:rPr>
              <w:t>2007</w:t>
            </w:r>
          </w:p>
        </w:tc>
        <w:tc>
          <w:tcPr>
            <w:tcW w:w="360" w:type="dxa"/>
            <w:vAlign w:val="bottom"/>
          </w:tcPr>
          <w:p>
            <w:pPr>
              <w:spacing w:after="0"/>
              <w:rPr>
                <w:sz w:val="13"/>
                <w:szCs w:val="13"/>
                <w:color w:val="auto"/>
              </w:rPr>
            </w:pPr>
          </w:p>
        </w:tc>
        <w:tc>
          <w:tcPr>
            <w:tcW w:w="1100" w:type="dxa"/>
            <w:vAlign w:val="bottom"/>
            <w:tcBorders>
              <w:bottom w:val="single" w:sz="8" w:color="auto"/>
            </w:tcBorders>
          </w:tcPr>
          <w:p>
            <w:pPr>
              <w:jc w:val="right"/>
              <w:ind w:right="351"/>
              <w:spacing w:after="0" w:line="156" w:lineRule="exact"/>
              <w:rPr>
                <w:sz w:val="20"/>
                <w:szCs w:val="20"/>
                <w:color w:val="auto"/>
              </w:rPr>
            </w:pPr>
            <w:r>
              <w:rPr>
                <w:rFonts w:ascii="Arial" w:cs="Arial" w:eastAsia="Arial" w:hAnsi="Arial"/>
                <w:sz w:val="14"/>
                <w:szCs w:val="14"/>
                <w:color w:val="auto"/>
              </w:rPr>
              <w:t>2008</w:t>
            </w:r>
          </w:p>
        </w:tc>
        <w:tc>
          <w:tcPr>
            <w:tcW w:w="360" w:type="dxa"/>
            <w:vAlign w:val="bottom"/>
          </w:tcPr>
          <w:p>
            <w:pPr>
              <w:spacing w:after="0"/>
              <w:rPr>
                <w:sz w:val="13"/>
                <w:szCs w:val="13"/>
                <w:color w:val="auto"/>
              </w:rPr>
            </w:pPr>
          </w:p>
        </w:tc>
        <w:tc>
          <w:tcPr>
            <w:tcW w:w="1080" w:type="dxa"/>
            <w:vAlign w:val="bottom"/>
            <w:tcBorders>
              <w:bottom w:val="single" w:sz="8" w:color="auto"/>
            </w:tcBorders>
          </w:tcPr>
          <w:p>
            <w:pPr>
              <w:jc w:val="right"/>
              <w:ind w:right="331"/>
              <w:spacing w:after="0" w:line="156" w:lineRule="exact"/>
              <w:rPr>
                <w:sz w:val="20"/>
                <w:szCs w:val="20"/>
                <w:color w:val="auto"/>
              </w:rPr>
            </w:pPr>
            <w:r>
              <w:rPr>
                <w:rFonts w:ascii="Arial" w:cs="Arial" w:eastAsia="Arial" w:hAnsi="Arial"/>
                <w:sz w:val="14"/>
                <w:szCs w:val="14"/>
                <w:color w:val="auto"/>
              </w:rPr>
              <w:t>2009</w:t>
            </w:r>
          </w:p>
        </w:tc>
        <w:tc>
          <w:tcPr>
            <w:tcW w:w="380" w:type="dxa"/>
            <w:vAlign w:val="bottom"/>
          </w:tcPr>
          <w:p>
            <w:pPr>
              <w:spacing w:after="0"/>
              <w:rPr>
                <w:sz w:val="13"/>
                <w:szCs w:val="13"/>
                <w:color w:val="auto"/>
              </w:rPr>
            </w:pPr>
          </w:p>
        </w:tc>
        <w:tc>
          <w:tcPr>
            <w:tcW w:w="1100" w:type="dxa"/>
            <w:vAlign w:val="bottom"/>
            <w:tcBorders>
              <w:bottom w:val="single" w:sz="8" w:color="auto"/>
            </w:tcBorders>
          </w:tcPr>
          <w:p>
            <w:pPr>
              <w:jc w:val="right"/>
              <w:ind w:right="351"/>
              <w:spacing w:after="0" w:line="156" w:lineRule="exact"/>
              <w:rPr>
                <w:sz w:val="20"/>
                <w:szCs w:val="20"/>
                <w:color w:val="auto"/>
              </w:rPr>
            </w:pPr>
            <w:r>
              <w:rPr>
                <w:rFonts w:ascii="Arial" w:cs="Arial" w:eastAsia="Arial" w:hAnsi="Arial"/>
                <w:sz w:val="14"/>
                <w:szCs w:val="14"/>
                <w:color w:val="auto"/>
              </w:rPr>
              <w:t>2010</w:t>
            </w:r>
          </w:p>
        </w:tc>
        <w:tc>
          <w:tcPr>
            <w:tcW w:w="360" w:type="dxa"/>
            <w:vAlign w:val="bottom"/>
          </w:tcPr>
          <w:p>
            <w:pPr>
              <w:spacing w:after="0"/>
              <w:rPr>
                <w:sz w:val="13"/>
                <w:szCs w:val="13"/>
                <w:color w:val="auto"/>
              </w:rPr>
            </w:pPr>
          </w:p>
        </w:tc>
        <w:tc>
          <w:tcPr>
            <w:tcW w:w="1100" w:type="dxa"/>
            <w:vAlign w:val="bottom"/>
            <w:tcBorders>
              <w:bottom w:val="single" w:sz="8" w:color="auto"/>
            </w:tcBorders>
          </w:tcPr>
          <w:p>
            <w:pPr>
              <w:jc w:val="right"/>
              <w:ind w:right="351"/>
              <w:spacing w:after="0" w:line="156" w:lineRule="exact"/>
              <w:rPr>
                <w:sz w:val="20"/>
                <w:szCs w:val="20"/>
                <w:color w:val="auto"/>
              </w:rPr>
            </w:pPr>
            <w:r>
              <w:rPr>
                <w:rFonts w:ascii="Arial" w:cs="Arial" w:eastAsia="Arial" w:hAnsi="Arial"/>
                <w:sz w:val="14"/>
                <w:szCs w:val="14"/>
                <w:color w:val="auto"/>
              </w:rPr>
              <w:t>2011</w:t>
            </w:r>
          </w:p>
        </w:tc>
      </w:tr>
      <w:tr>
        <w:trPr>
          <w:trHeight w:val="300"/>
        </w:trPr>
        <w:tc>
          <w:tcPr>
            <w:tcW w:w="1100" w:type="dxa"/>
            <w:vAlign w:val="bottom"/>
          </w:tcPr>
          <w:p>
            <w:pPr>
              <w:jc w:val="right"/>
              <w:ind w:right="31"/>
              <w:spacing w:after="0"/>
              <w:rPr>
                <w:sz w:val="20"/>
                <w:szCs w:val="20"/>
                <w:color w:val="auto"/>
              </w:rPr>
            </w:pPr>
            <w:r>
              <w:rPr>
                <w:rFonts w:ascii="Arial" w:cs="Arial" w:eastAsia="Arial" w:hAnsi="Arial"/>
                <w:sz w:val="14"/>
                <w:szCs w:val="14"/>
                <w:color w:val="auto"/>
              </w:rPr>
              <w:t>$ 78</w:t>
            </w:r>
          </w:p>
        </w:tc>
        <w:tc>
          <w:tcPr>
            <w:tcW w:w="1460" w:type="dxa"/>
            <w:vAlign w:val="bottom"/>
            <w:gridSpan w:val="2"/>
          </w:tcPr>
          <w:p>
            <w:pPr>
              <w:jc w:val="right"/>
              <w:ind w:right="31"/>
              <w:spacing w:after="0"/>
              <w:rPr>
                <w:sz w:val="20"/>
                <w:szCs w:val="20"/>
                <w:color w:val="auto"/>
              </w:rPr>
            </w:pPr>
            <w:r>
              <w:rPr>
                <w:rFonts w:ascii="Arial" w:cs="Arial" w:eastAsia="Arial" w:hAnsi="Arial"/>
                <w:sz w:val="14"/>
                <w:szCs w:val="14"/>
                <w:color w:val="auto"/>
              </w:rPr>
              <w:t>$ 78</w:t>
            </w:r>
          </w:p>
        </w:tc>
        <w:tc>
          <w:tcPr>
            <w:tcW w:w="1460" w:type="dxa"/>
            <w:vAlign w:val="bottom"/>
            <w:gridSpan w:val="2"/>
          </w:tcPr>
          <w:p>
            <w:pPr>
              <w:jc w:val="right"/>
              <w:ind w:right="31"/>
              <w:spacing w:after="0"/>
              <w:rPr>
                <w:sz w:val="20"/>
                <w:szCs w:val="20"/>
                <w:color w:val="auto"/>
              </w:rPr>
            </w:pPr>
            <w:r>
              <w:rPr>
                <w:rFonts w:ascii="Arial" w:cs="Arial" w:eastAsia="Arial" w:hAnsi="Arial"/>
                <w:sz w:val="14"/>
                <w:szCs w:val="14"/>
                <w:color w:val="auto"/>
              </w:rPr>
              <w:t>$ 68</w:t>
            </w:r>
          </w:p>
        </w:tc>
        <w:tc>
          <w:tcPr>
            <w:tcW w:w="1440" w:type="dxa"/>
            <w:vAlign w:val="bottom"/>
            <w:gridSpan w:val="2"/>
          </w:tcPr>
          <w:p>
            <w:pPr>
              <w:jc w:val="right"/>
              <w:ind w:right="11"/>
              <w:spacing w:after="0"/>
              <w:rPr>
                <w:sz w:val="20"/>
                <w:szCs w:val="20"/>
                <w:color w:val="auto"/>
              </w:rPr>
            </w:pPr>
            <w:r>
              <w:rPr>
                <w:rFonts w:ascii="Arial" w:cs="Arial" w:eastAsia="Arial" w:hAnsi="Arial"/>
                <w:sz w:val="14"/>
                <w:szCs w:val="14"/>
                <w:color w:val="auto"/>
              </w:rPr>
              <w:t>$ 75</w:t>
            </w:r>
          </w:p>
        </w:tc>
        <w:tc>
          <w:tcPr>
            <w:tcW w:w="1480" w:type="dxa"/>
            <w:vAlign w:val="bottom"/>
            <w:gridSpan w:val="2"/>
          </w:tcPr>
          <w:p>
            <w:pPr>
              <w:jc w:val="right"/>
              <w:ind w:right="31"/>
              <w:spacing w:after="0"/>
              <w:rPr>
                <w:sz w:val="20"/>
                <w:szCs w:val="20"/>
                <w:color w:val="auto"/>
              </w:rPr>
            </w:pPr>
            <w:r>
              <w:rPr>
                <w:rFonts w:ascii="Arial" w:cs="Arial" w:eastAsia="Arial" w:hAnsi="Arial"/>
                <w:sz w:val="14"/>
                <w:szCs w:val="14"/>
                <w:color w:val="auto"/>
              </w:rPr>
              <w:t>$ 72</w:t>
            </w:r>
          </w:p>
        </w:tc>
        <w:tc>
          <w:tcPr>
            <w:tcW w:w="1460" w:type="dxa"/>
            <w:vAlign w:val="bottom"/>
            <w:gridSpan w:val="2"/>
          </w:tcPr>
          <w:p>
            <w:pPr>
              <w:jc w:val="right"/>
              <w:ind w:right="31"/>
              <w:spacing w:after="0"/>
              <w:rPr>
                <w:sz w:val="20"/>
                <w:szCs w:val="20"/>
                <w:color w:val="auto"/>
              </w:rPr>
            </w:pPr>
            <w:r>
              <w:rPr>
                <w:rFonts w:ascii="Arial" w:cs="Arial" w:eastAsia="Arial" w:hAnsi="Arial"/>
                <w:sz w:val="14"/>
                <w:szCs w:val="14"/>
                <w:color w:val="auto"/>
              </w:rPr>
              <w:t>$ 19</w:t>
            </w:r>
          </w:p>
        </w:tc>
      </w:tr>
      <w:tr>
        <w:trPr>
          <w:trHeight w:val="155"/>
        </w:trPr>
        <w:tc>
          <w:tcPr>
            <w:tcW w:w="1100" w:type="dxa"/>
            <w:vAlign w:val="bottom"/>
          </w:tcPr>
          <w:p>
            <w:pPr>
              <w:jc w:val="right"/>
              <w:ind w:right="31"/>
              <w:spacing w:after="0" w:line="155" w:lineRule="exact"/>
              <w:rPr>
                <w:sz w:val="20"/>
                <w:szCs w:val="20"/>
                <w:color w:val="auto"/>
              </w:rPr>
            </w:pPr>
            <w:r>
              <w:rPr>
                <w:rFonts w:ascii="Arial" w:cs="Arial" w:eastAsia="Arial" w:hAnsi="Arial"/>
                <w:sz w:val="14"/>
                <w:szCs w:val="14"/>
                <w:color w:val="auto"/>
              </w:rPr>
              <w:t>4</w:t>
            </w:r>
          </w:p>
        </w:tc>
        <w:tc>
          <w:tcPr>
            <w:tcW w:w="146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3</w:t>
            </w:r>
          </w:p>
        </w:tc>
        <w:tc>
          <w:tcPr>
            <w:tcW w:w="146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2</w:t>
            </w:r>
          </w:p>
        </w:tc>
        <w:tc>
          <w:tcPr>
            <w:tcW w:w="1440" w:type="dxa"/>
            <w:vAlign w:val="bottom"/>
            <w:gridSpan w:val="2"/>
          </w:tcPr>
          <w:p>
            <w:pPr>
              <w:jc w:val="right"/>
              <w:ind w:right="11"/>
              <w:spacing w:after="0" w:line="155" w:lineRule="exact"/>
              <w:rPr>
                <w:sz w:val="20"/>
                <w:szCs w:val="20"/>
                <w:color w:val="auto"/>
              </w:rPr>
            </w:pPr>
            <w:r>
              <w:rPr>
                <w:rFonts w:ascii="Arial" w:cs="Arial" w:eastAsia="Arial" w:hAnsi="Arial"/>
                <w:sz w:val="14"/>
                <w:szCs w:val="14"/>
                <w:color w:val="auto"/>
              </w:rPr>
              <w:t>1</w:t>
            </w:r>
          </w:p>
        </w:tc>
        <w:tc>
          <w:tcPr>
            <w:tcW w:w="148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2</w:t>
            </w:r>
          </w:p>
        </w:tc>
        <w:tc>
          <w:tcPr>
            <w:tcW w:w="146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w:t>
            </w:r>
          </w:p>
        </w:tc>
      </w:tr>
      <w:tr>
        <w:trPr>
          <w:trHeight w:val="156"/>
        </w:trPr>
        <w:tc>
          <w:tcPr>
            <w:tcW w:w="1100" w:type="dxa"/>
            <w:vAlign w:val="bottom"/>
          </w:tcPr>
          <w:p>
            <w:pPr>
              <w:jc w:val="right"/>
              <w:ind w:right="31"/>
              <w:spacing w:after="0" w:line="156" w:lineRule="exact"/>
              <w:rPr>
                <w:sz w:val="20"/>
                <w:szCs w:val="20"/>
                <w:color w:val="auto"/>
              </w:rPr>
            </w:pPr>
            <w:r>
              <w:rPr>
                <w:rFonts w:ascii="Arial" w:cs="Arial" w:eastAsia="Arial" w:hAnsi="Arial"/>
                <w:sz w:val="14"/>
                <w:szCs w:val="14"/>
                <w:color w:val="auto"/>
              </w:rPr>
              <w:t>2</w:t>
            </w:r>
          </w:p>
        </w:tc>
        <w:tc>
          <w:tcPr>
            <w:tcW w:w="146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2</w:t>
            </w:r>
          </w:p>
        </w:tc>
        <w:tc>
          <w:tcPr>
            <w:tcW w:w="146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2</w:t>
            </w:r>
          </w:p>
        </w:tc>
        <w:tc>
          <w:tcPr>
            <w:tcW w:w="1440" w:type="dxa"/>
            <w:vAlign w:val="bottom"/>
            <w:gridSpan w:val="2"/>
          </w:tcPr>
          <w:p>
            <w:pPr>
              <w:jc w:val="right"/>
              <w:ind w:right="11"/>
              <w:spacing w:after="0" w:line="156" w:lineRule="exact"/>
              <w:rPr>
                <w:sz w:val="20"/>
                <w:szCs w:val="20"/>
                <w:color w:val="auto"/>
              </w:rPr>
            </w:pPr>
            <w:r>
              <w:rPr>
                <w:rFonts w:ascii="Arial" w:cs="Arial" w:eastAsia="Arial" w:hAnsi="Arial"/>
                <w:sz w:val="14"/>
                <w:szCs w:val="14"/>
                <w:color w:val="auto"/>
              </w:rPr>
              <w:t>2</w:t>
            </w:r>
          </w:p>
        </w:tc>
        <w:tc>
          <w:tcPr>
            <w:tcW w:w="148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2</w:t>
            </w:r>
          </w:p>
        </w:tc>
        <w:tc>
          <w:tcPr>
            <w:tcW w:w="146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w:t>
            </w:r>
          </w:p>
        </w:tc>
      </w:tr>
      <w:tr>
        <w:trPr>
          <w:trHeight w:val="145"/>
        </w:trPr>
        <w:tc>
          <w:tcPr>
            <w:tcW w:w="1100" w:type="dxa"/>
            <w:vAlign w:val="bottom"/>
            <w:tcBorders>
              <w:top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84</w:t>
            </w:r>
          </w:p>
        </w:tc>
        <w:tc>
          <w:tcPr>
            <w:tcW w:w="360" w:type="dxa"/>
            <w:vAlign w:val="bottom"/>
          </w:tcPr>
          <w:p>
            <w:pPr>
              <w:spacing w:after="0"/>
              <w:rPr>
                <w:sz w:val="12"/>
                <w:szCs w:val="12"/>
                <w:color w:val="auto"/>
              </w:rPr>
            </w:pPr>
          </w:p>
        </w:tc>
        <w:tc>
          <w:tcPr>
            <w:tcW w:w="1100" w:type="dxa"/>
            <w:vAlign w:val="bottom"/>
            <w:tcBorders>
              <w:top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83</w:t>
            </w:r>
          </w:p>
        </w:tc>
        <w:tc>
          <w:tcPr>
            <w:tcW w:w="360" w:type="dxa"/>
            <w:vAlign w:val="bottom"/>
          </w:tcPr>
          <w:p>
            <w:pPr>
              <w:spacing w:after="0"/>
              <w:rPr>
                <w:sz w:val="12"/>
                <w:szCs w:val="12"/>
                <w:color w:val="auto"/>
              </w:rPr>
            </w:pPr>
          </w:p>
        </w:tc>
        <w:tc>
          <w:tcPr>
            <w:tcW w:w="1100" w:type="dxa"/>
            <w:vAlign w:val="bottom"/>
            <w:tcBorders>
              <w:top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72</w:t>
            </w:r>
          </w:p>
        </w:tc>
        <w:tc>
          <w:tcPr>
            <w:tcW w:w="360" w:type="dxa"/>
            <w:vAlign w:val="bottom"/>
          </w:tcPr>
          <w:p>
            <w:pPr>
              <w:spacing w:after="0"/>
              <w:rPr>
                <w:sz w:val="12"/>
                <w:szCs w:val="12"/>
                <w:color w:val="auto"/>
              </w:rPr>
            </w:pPr>
          </w:p>
        </w:tc>
        <w:tc>
          <w:tcPr>
            <w:tcW w:w="1080" w:type="dxa"/>
            <w:vAlign w:val="bottom"/>
            <w:tcBorders>
              <w:top w:val="single" w:sz="8" w:color="auto"/>
            </w:tcBorders>
          </w:tcPr>
          <w:p>
            <w:pPr>
              <w:jc w:val="right"/>
              <w:ind w:right="11"/>
              <w:spacing w:after="0" w:line="145" w:lineRule="exact"/>
              <w:rPr>
                <w:sz w:val="20"/>
                <w:szCs w:val="20"/>
                <w:color w:val="auto"/>
              </w:rPr>
            </w:pPr>
            <w:r>
              <w:rPr>
                <w:rFonts w:ascii="Arial" w:cs="Arial" w:eastAsia="Arial" w:hAnsi="Arial"/>
                <w:sz w:val="14"/>
                <w:szCs w:val="14"/>
                <w:color w:val="auto"/>
              </w:rPr>
              <w:t>78</w:t>
            </w:r>
          </w:p>
        </w:tc>
        <w:tc>
          <w:tcPr>
            <w:tcW w:w="380" w:type="dxa"/>
            <w:vAlign w:val="bottom"/>
          </w:tcPr>
          <w:p>
            <w:pPr>
              <w:spacing w:after="0"/>
              <w:rPr>
                <w:sz w:val="12"/>
                <w:szCs w:val="12"/>
                <w:color w:val="auto"/>
              </w:rPr>
            </w:pPr>
          </w:p>
        </w:tc>
        <w:tc>
          <w:tcPr>
            <w:tcW w:w="1100" w:type="dxa"/>
            <w:vAlign w:val="bottom"/>
            <w:tcBorders>
              <w:top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76</w:t>
            </w:r>
          </w:p>
        </w:tc>
        <w:tc>
          <w:tcPr>
            <w:tcW w:w="360" w:type="dxa"/>
            <w:vAlign w:val="bottom"/>
          </w:tcPr>
          <w:p>
            <w:pPr>
              <w:spacing w:after="0"/>
              <w:rPr>
                <w:sz w:val="12"/>
                <w:szCs w:val="12"/>
                <w:color w:val="auto"/>
              </w:rPr>
            </w:pPr>
          </w:p>
        </w:tc>
        <w:tc>
          <w:tcPr>
            <w:tcW w:w="1100" w:type="dxa"/>
            <w:vAlign w:val="bottom"/>
            <w:tcBorders>
              <w:top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19</w:t>
            </w:r>
          </w:p>
        </w:tc>
      </w:tr>
      <w:tr>
        <w:trPr>
          <w:trHeight w:val="156"/>
        </w:trPr>
        <w:tc>
          <w:tcPr>
            <w:tcW w:w="1100" w:type="dxa"/>
            <w:vAlign w:val="bottom"/>
            <w:tcBorders>
              <w:bottom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6</w:t>
            </w:r>
          </w:p>
        </w:tc>
        <w:tc>
          <w:tcPr>
            <w:tcW w:w="360" w:type="dxa"/>
            <w:vAlign w:val="bottom"/>
          </w:tcPr>
          <w:p>
            <w:pPr>
              <w:spacing w:after="0"/>
              <w:rPr>
                <w:sz w:val="13"/>
                <w:szCs w:val="13"/>
                <w:color w:val="auto"/>
              </w:rPr>
            </w:pPr>
          </w:p>
        </w:tc>
        <w:tc>
          <w:tcPr>
            <w:tcW w:w="1100" w:type="dxa"/>
            <w:vAlign w:val="bottom"/>
            <w:tcBorders>
              <w:bottom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6</w:t>
            </w:r>
          </w:p>
        </w:tc>
        <w:tc>
          <w:tcPr>
            <w:tcW w:w="360" w:type="dxa"/>
            <w:vAlign w:val="bottom"/>
          </w:tcPr>
          <w:p>
            <w:pPr>
              <w:spacing w:after="0"/>
              <w:rPr>
                <w:sz w:val="13"/>
                <w:szCs w:val="13"/>
                <w:color w:val="auto"/>
              </w:rPr>
            </w:pPr>
          </w:p>
        </w:tc>
        <w:tc>
          <w:tcPr>
            <w:tcW w:w="1100" w:type="dxa"/>
            <w:vAlign w:val="bottom"/>
            <w:tcBorders>
              <w:bottom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6</w:t>
            </w:r>
          </w:p>
        </w:tc>
        <w:tc>
          <w:tcPr>
            <w:tcW w:w="360" w:type="dxa"/>
            <w:vAlign w:val="bottom"/>
          </w:tcPr>
          <w:p>
            <w:pPr>
              <w:spacing w:after="0"/>
              <w:rPr>
                <w:sz w:val="13"/>
                <w:szCs w:val="13"/>
                <w:color w:val="auto"/>
              </w:rPr>
            </w:pPr>
          </w:p>
        </w:tc>
        <w:tc>
          <w:tcPr>
            <w:tcW w:w="1080" w:type="dxa"/>
            <w:vAlign w:val="bottom"/>
            <w:tcBorders>
              <w:bottom w:val="single" w:sz="8" w:color="auto"/>
            </w:tcBorders>
          </w:tcPr>
          <w:p>
            <w:pPr>
              <w:jc w:val="right"/>
              <w:ind w:right="11"/>
              <w:spacing w:after="0" w:line="156" w:lineRule="exact"/>
              <w:rPr>
                <w:sz w:val="20"/>
                <w:szCs w:val="20"/>
                <w:color w:val="auto"/>
              </w:rPr>
            </w:pPr>
            <w:r>
              <w:rPr>
                <w:rFonts w:ascii="Arial" w:cs="Arial" w:eastAsia="Arial" w:hAnsi="Arial"/>
                <w:sz w:val="14"/>
                <w:szCs w:val="14"/>
                <w:color w:val="auto"/>
              </w:rPr>
              <w:t>6</w:t>
            </w:r>
          </w:p>
        </w:tc>
        <w:tc>
          <w:tcPr>
            <w:tcW w:w="380" w:type="dxa"/>
            <w:vAlign w:val="bottom"/>
          </w:tcPr>
          <w:p>
            <w:pPr>
              <w:spacing w:after="0"/>
              <w:rPr>
                <w:sz w:val="13"/>
                <w:szCs w:val="13"/>
                <w:color w:val="auto"/>
              </w:rPr>
            </w:pPr>
          </w:p>
        </w:tc>
        <w:tc>
          <w:tcPr>
            <w:tcW w:w="1100" w:type="dxa"/>
            <w:vAlign w:val="bottom"/>
            <w:tcBorders>
              <w:bottom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6</w:t>
            </w:r>
          </w:p>
        </w:tc>
        <w:tc>
          <w:tcPr>
            <w:tcW w:w="360" w:type="dxa"/>
            <w:vAlign w:val="bottom"/>
          </w:tcPr>
          <w:p>
            <w:pPr>
              <w:spacing w:after="0"/>
              <w:rPr>
                <w:sz w:val="13"/>
                <w:szCs w:val="13"/>
                <w:color w:val="auto"/>
              </w:rPr>
            </w:pPr>
          </w:p>
        </w:tc>
        <w:tc>
          <w:tcPr>
            <w:tcW w:w="1100" w:type="dxa"/>
            <w:vAlign w:val="bottom"/>
            <w:tcBorders>
              <w:bottom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1</w:t>
            </w:r>
          </w:p>
        </w:tc>
      </w:tr>
      <w:tr>
        <w:trPr>
          <w:trHeight w:val="269"/>
        </w:trPr>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$ 90</w:t>
            </w:r>
          </w:p>
        </w:tc>
        <w:tc>
          <w:tcPr>
            <w:tcW w:w="360" w:type="dxa"/>
            <w:vAlign w:val="bottom"/>
          </w:tcPr>
          <w:p>
            <w:pPr>
              <w:spacing w:after="0"/>
              <w:rPr>
                <w:sz w:val="23"/>
                <w:szCs w:val="23"/>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$ 89</w:t>
            </w:r>
          </w:p>
        </w:tc>
        <w:tc>
          <w:tcPr>
            <w:tcW w:w="360" w:type="dxa"/>
            <w:vAlign w:val="bottom"/>
          </w:tcPr>
          <w:p>
            <w:pPr>
              <w:spacing w:after="0"/>
              <w:rPr>
                <w:sz w:val="23"/>
                <w:szCs w:val="23"/>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$ 78</w:t>
            </w:r>
          </w:p>
        </w:tc>
        <w:tc>
          <w:tcPr>
            <w:tcW w:w="360" w:type="dxa"/>
            <w:vAlign w:val="bottom"/>
          </w:tcPr>
          <w:p>
            <w:pPr>
              <w:spacing w:after="0"/>
              <w:rPr>
                <w:sz w:val="23"/>
                <w:szCs w:val="23"/>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$ 84</w:t>
            </w:r>
          </w:p>
        </w:tc>
        <w:tc>
          <w:tcPr>
            <w:tcW w:w="380" w:type="dxa"/>
            <w:vAlign w:val="bottom"/>
          </w:tcPr>
          <w:p>
            <w:pPr>
              <w:spacing w:after="0"/>
              <w:rPr>
                <w:sz w:val="23"/>
                <w:szCs w:val="23"/>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$ 82</w:t>
            </w:r>
          </w:p>
        </w:tc>
        <w:tc>
          <w:tcPr>
            <w:tcW w:w="360" w:type="dxa"/>
            <w:vAlign w:val="bottom"/>
          </w:tcPr>
          <w:p>
            <w:pPr>
              <w:spacing w:after="0"/>
              <w:rPr>
                <w:sz w:val="23"/>
                <w:szCs w:val="23"/>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$ 20</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91"/>
        </w:trPr>
        <w:tc>
          <w:tcPr>
            <w:tcW w:w="1100" w:type="dxa"/>
            <w:vAlign w:val="bottom"/>
          </w:tcPr>
          <w:p>
            <w:pPr>
              <w:jc w:val="right"/>
              <w:ind w:right="31"/>
              <w:spacing w:after="0"/>
              <w:rPr>
                <w:sz w:val="20"/>
                <w:szCs w:val="20"/>
                <w:color w:val="auto"/>
              </w:rPr>
            </w:pPr>
            <w:r>
              <w:rPr>
                <w:rFonts w:ascii="Arial" w:cs="Arial" w:eastAsia="Arial" w:hAnsi="Arial"/>
                <w:sz w:val="14"/>
                <w:szCs w:val="14"/>
                <w:color w:val="auto"/>
              </w:rPr>
              <w:t>$ 426</w:t>
            </w:r>
          </w:p>
        </w:tc>
        <w:tc>
          <w:tcPr>
            <w:tcW w:w="1460" w:type="dxa"/>
            <w:vAlign w:val="bottom"/>
            <w:gridSpan w:val="2"/>
          </w:tcPr>
          <w:p>
            <w:pPr>
              <w:jc w:val="right"/>
              <w:ind w:right="31"/>
              <w:spacing w:after="0"/>
              <w:rPr>
                <w:sz w:val="20"/>
                <w:szCs w:val="20"/>
                <w:color w:val="auto"/>
              </w:rPr>
            </w:pPr>
            <w:r>
              <w:rPr>
                <w:rFonts w:ascii="Arial" w:cs="Arial" w:eastAsia="Arial" w:hAnsi="Arial"/>
                <w:sz w:val="14"/>
                <w:szCs w:val="14"/>
                <w:color w:val="auto"/>
              </w:rPr>
              <w:t>$ 408</w:t>
            </w:r>
          </w:p>
        </w:tc>
        <w:tc>
          <w:tcPr>
            <w:tcW w:w="1460" w:type="dxa"/>
            <w:vAlign w:val="bottom"/>
            <w:gridSpan w:val="2"/>
          </w:tcPr>
          <w:p>
            <w:pPr>
              <w:jc w:val="right"/>
              <w:ind w:right="31"/>
              <w:spacing w:after="0"/>
              <w:rPr>
                <w:sz w:val="20"/>
                <w:szCs w:val="20"/>
                <w:color w:val="auto"/>
              </w:rPr>
            </w:pPr>
            <w:r>
              <w:rPr>
                <w:rFonts w:ascii="Arial" w:cs="Arial" w:eastAsia="Arial" w:hAnsi="Arial"/>
                <w:sz w:val="14"/>
                <w:szCs w:val="14"/>
                <w:color w:val="auto"/>
              </w:rPr>
              <w:t>$ 394</w:t>
            </w:r>
          </w:p>
        </w:tc>
        <w:tc>
          <w:tcPr>
            <w:tcW w:w="1440" w:type="dxa"/>
            <w:vAlign w:val="bottom"/>
            <w:gridSpan w:val="2"/>
          </w:tcPr>
          <w:p>
            <w:pPr>
              <w:jc w:val="right"/>
              <w:ind w:right="11"/>
              <w:spacing w:after="0"/>
              <w:rPr>
                <w:sz w:val="20"/>
                <w:szCs w:val="20"/>
                <w:color w:val="auto"/>
              </w:rPr>
            </w:pPr>
            <w:r>
              <w:rPr>
                <w:rFonts w:ascii="Arial" w:cs="Arial" w:eastAsia="Arial" w:hAnsi="Arial"/>
                <w:sz w:val="14"/>
                <w:szCs w:val="14"/>
                <w:color w:val="auto"/>
              </w:rPr>
              <w:t>$ 415</w:t>
            </w:r>
          </w:p>
        </w:tc>
        <w:tc>
          <w:tcPr>
            <w:tcW w:w="1480" w:type="dxa"/>
            <w:vAlign w:val="bottom"/>
            <w:gridSpan w:val="2"/>
          </w:tcPr>
          <w:p>
            <w:pPr>
              <w:jc w:val="right"/>
              <w:ind w:right="31"/>
              <w:spacing w:after="0"/>
              <w:rPr>
                <w:sz w:val="20"/>
                <w:szCs w:val="20"/>
                <w:color w:val="auto"/>
              </w:rPr>
            </w:pPr>
            <w:r>
              <w:rPr>
                <w:rFonts w:ascii="Arial" w:cs="Arial" w:eastAsia="Arial" w:hAnsi="Arial"/>
                <w:sz w:val="14"/>
                <w:szCs w:val="14"/>
                <w:color w:val="auto"/>
              </w:rPr>
              <w:t>$ 465</w:t>
            </w:r>
          </w:p>
        </w:tc>
        <w:tc>
          <w:tcPr>
            <w:tcW w:w="1460" w:type="dxa"/>
            <w:vAlign w:val="bottom"/>
            <w:gridSpan w:val="2"/>
          </w:tcPr>
          <w:p>
            <w:pPr>
              <w:jc w:val="right"/>
              <w:ind w:right="31"/>
              <w:spacing w:after="0"/>
              <w:rPr>
                <w:sz w:val="20"/>
                <w:szCs w:val="20"/>
                <w:color w:val="auto"/>
              </w:rPr>
            </w:pPr>
            <w:r>
              <w:rPr>
                <w:rFonts w:ascii="Arial" w:cs="Arial" w:eastAsia="Arial" w:hAnsi="Arial"/>
                <w:sz w:val="14"/>
                <w:szCs w:val="14"/>
                <w:color w:val="auto"/>
              </w:rPr>
              <w:t>$ 105</w:t>
            </w:r>
          </w:p>
        </w:tc>
      </w:tr>
      <w:tr>
        <w:trPr>
          <w:trHeight w:val="155"/>
        </w:trPr>
        <w:tc>
          <w:tcPr>
            <w:tcW w:w="1100" w:type="dxa"/>
            <w:vAlign w:val="bottom"/>
          </w:tcPr>
          <w:p>
            <w:pPr>
              <w:jc w:val="right"/>
              <w:ind w:right="31"/>
              <w:spacing w:after="0" w:line="155" w:lineRule="exact"/>
              <w:rPr>
                <w:sz w:val="20"/>
                <w:szCs w:val="20"/>
                <w:color w:val="auto"/>
              </w:rPr>
            </w:pPr>
            <w:r>
              <w:rPr>
                <w:rFonts w:ascii="Arial" w:cs="Arial" w:eastAsia="Arial" w:hAnsi="Arial"/>
                <w:sz w:val="14"/>
                <w:szCs w:val="14"/>
                <w:color w:val="auto"/>
              </w:rPr>
              <w:t>84</w:t>
            </w:r>
          </w:p>
        </w:tc>
        <w:tc>
          <w:tcPr>
            <w:tcW w:w="146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83</w:t>
            </w:r>
          </w:p>
        </w:tc>
        <w:tc>
          <w:tcPr>
            <w:tcW w:w="146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72</w:t>
            </w:r>
          </w:p>
        </w:tc>
        <w:tc>
          <w:tcPr>
            <w:tcW w:w="1440" w:type="dxa"/>
            <w:vAlign w:val="bottom"/>
            <w:gridSpan w:val="2"/>
          </w:tcPr>
          <w:p>
            <w:pPr>
              <w:jc w:val="right"/>
              <w:ind w:right="11"/>
              <w:spacing w:after="0" w:line="155" w:lineRule="exact"/>
              <w:rPr>
                <w:sz w:val="20"/>
                <w:szCs w:val="20"/>
                <w:color w:val="auto"/>
              </w:rPr>
            </w:pPr>
            <w:r>
              <w:rPr>
                <w:rFonts w:ascii="Arial" w:cs="Arial" w:eastAsia="Arial" w:hAnsi="Arial"/>
                <w:sz w:val="14"/>
                <w:szCs w:val="14"/>
                <w:color w:val="auto"/>
              </w:rPr>
              <w:t>78</w:t>
            </w:r>
          </w:p>
        </w:tc>
        <w:tc>
          <w:tcPr>
            <w:tcW w:w="148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76</w:t>
            </w:r>
          </w:p>
        </w:tc>
        <w:tc>
          <w:tcPr>
            <w:tcW w:w="146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19</w:t>
            </w:r>
          </w:p>
        </w:tc>
      </w:tr>
      <w:tr>
        <w:trPr>
          <w:trHeight w:val="155"/>
        </w:trPr>
        <w:tc>
          <w:tcPr>
            <w:tcW w:w="110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w:t>
            </w:r>
          </w:p>
        </w:tc>
        <w:tc>
          <w:tcPr>
            <w:tcW w:w="146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1</w:t>
            </w:r>
          </w:p>
        </w:tc>
        <w:tc>
          <w:tcPr>
            <w:tcW w:w="146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1"/>
              <w:spacing w:after="0" w:line="155" w:lineRule="exact"/>
              <w:rPr>
                <w:sz w:val="20"/>
                <w:szCs w:val="20"/>
                <w:color w:val="auto"/>
              </w:rPr>
            </w:pPr>
            <w:r>
              <w:rPr>
                <w:rFonts w:ascii="Arial" w:cs="Arial" w:eastAsia="Arial" w:hAnsi="Arial"/>
                <w:sz w:val="14"/>
                <w:szCs w:val="14"/>
                <w:color w:val="auto"/>
              </w:rPr>
              <w:t>1</w:t>
            </w:r>
          </w:p>
        </w:tc>
        <w:tc>
          <w:tcPr>
            <w:tcW w:w="148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1</w:t>
            </w:r>
          </w:p>
        </w:tc>
        <w:tc>
          <w:tcPr>
            <w:tcW w:w="146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w:t>
            </w:r>
          </w:p>
        </w:tc>
      </w:tr>
      <w:tr>
        <w:trPr>
          <w:trHeight w:val="156"/>
        </w:trPr>
        <w:tc>
          <w:tcPr>
            <w:tcW w:w="1100" w:type="dxa"/>
            <w:vAlign w:val="bottom"/>
          </w:tcPr>
          <w:p>
            <w:pPr>
              <w:jc w:val="right"/>
              <w:ind w:right="31"/>
              <w:spacing w:after="0" w:line="156" w:lineRule="exact"/>
              <w:rPr>
                <w:sz w:val="20"/>
                <w:szCs w:val="20"/>
                <w:color w:val="auto"/>
              </w:rPr>
            </w:pPr>
            <w:r>
              <w:rPr>
                <w:rFonts w:ascii="Arial" w:cs="Arial" w:eastAsia="Arial" w:hAnsi="Arial"/>
                <w:sz w:val="14"/>
                <w:szCs w:val="14"/>
                <w:color w:val="auto"/>
              </w:rPr>
              <w:t>1</w:t>
            </w:r>
          </w:p>
        </w:tc>
        <w:tc>
          <w:tcPr>
            <w:tcW w:w="146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1</w:t>
            </w:r>
          </w:p>
        </w:tc>
        <w:tc>
          <w:tcPr>
            <w:tcW w:w="146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1</w:t>
            </w:r>
          </w:p>
        </w:tc>
        <w:tc>
          <w:tcPr>
            <w:tcW w:w="1440" w:type="dxa"/>
            <w:vAlign w:val="bottom"/>
            <w:gridSpan w:val="2"/>
          </w:tcPr>
          <w:p>
            <w:pPr>
              <w:jc w:val="right"/>
              <w:ind w:right="11"/>
              <w:spacing w:after="0" w:line="156" w:lineRule="exact"/>
              <w:rPr>
                <w:sz w:val="20"/>
                <w:szCs w:val="20"/>
                <w:color w:val="auto"/>
              </w:rPr>
            </w:pPr>
            <w:r>
              <w:rPr>
                <w:rFonts w:ascii="Arial" w:cs="Arial" w:eastAsia="Arial" w:hAnsi="Arial"/>
                <w:sz w:val="14"/>
                <w:szCs w:val="14"/>
                <w:color w:val="auto"/>
              </w:rPr>
              <w:t>2</w:t>
            </w:r>
          </w:p>
        </w:tc>
        <w:tc>
          <w:tcPr>
            <w:tcW w:w="148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1</w:t>
            </w:r>
          </w:p>
        </w:tc>
        <w:tc>
          <w:tcPr>
            <w:tcW w:w="146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w:t>
            </w:r>
          </w:p>
        </w:tc>
      </w:tr>
      <w:tr>
        <w:trPr>
          <w:trHeight w:val="145"/>
        </w:trPr>
        <w:tc>
          <w:tcPr>
            <w:tcW w:w="1100" w:type="dxa"/>
            <w:vAlign w:val="bottom"/>
            <w:tcBorders>
              <w:top w:val="single" w:sz="8" w:color="auto"/>
              <w:bottom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$ 508</w:t>
            </w:r>
          </w:p>
        </w:tc>
        <w:tc>
          <w:tcPr>
            <w:tcW w:w="3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$ 489</w:t>
            </w:r>
          </w:p>
        </w:tc>
        <w:tc>
          <w:tcPr>
            <w:tcW w:w="3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$ 465</w:t>
            </w:r>
          </w:p>
        </w:tc>
        <w:tc>
          <w:tcPr>
            <w:tcW w:w="36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11"/>
              <w:spacing w:after="0" w:line="145" w:lineRule="exact"/>
              <w:rPr>
                <w:sz w:val="20"/>
                <w:szCs w:val="20"/>
                <w:color w:val="auto"/>
              </w:rPr>
            </w:pPr>
            <w:r>
              <w:rPr>
                <w:rFonts w:ascii="Arial" w:cs="Arial" w:eastAsia="Arial" w:hAnsi="Arial"/>
                <w:sz w:val="14"/>
                <w:szCs w:val="14"/>
                <w:color w:val="auto"/>
              </w:rPr>
              <w:t>$ 490</w:t>
            </w:r>
          </w:p>
        </w:tc>
        <w:tc>
          <w:tcPr>
            <w:tcW w:w="38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$ 539</w:t>
            </w:r>
          </w:p>
        </w:tc>
        <w:tc>
          <w:tcPr>
            <w:tcW w:w="3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$ 124</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0"/>
        </w:trPr>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5.64</w:t>
            </w:r>
          </w:p>
        </w:tc>
        <w:tc>
          <w:tcPr>
            <w:tcW w:w="360" w:type="dxa"/>
            <w:vAlign w:val="bottom"/>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5.49</w:t>
            </w:r>
          </w:p>
        </w:tc>
        <w:tc>
          <w:tcPr>
            <w:tcW w:w="360" w:type="dxa"/>
            <w:vAlign w:val="bottom"/>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5.96</w:t>
            </w:r>
          </w:p>
        </w:tc>
        <w:tc>
          <w:tcPr>
            <w:tcW w:w="360" w:type="dxa"/>
            <w:vAlign w:val="bottom"/>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5.83</w:t>
            </w:r>
          </w:p>
        </w:tc>
        <w:tc>
          <w:tcPr>
            <w:tcW w:w="380" w:type="dxa"/>
            <w:vAlign w:val="bottom"/>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6.57</w:t>
            </w:r>
          </w:p>
        </w:tc>
        <w:tc>
          <w:tcPr>
            <w:tcW w:w="360" w:type="dxa"/>
            <w:vAlign w:val="bottom"/>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6.20</w:t>
            </w:r>
          </w:p>
        </w:tc>
      </w:tr>
      <w:tr>
        <w:trPr>
          <w:trHeight w:val="20"/>
        </w:trPr>
        <w:tc>
          <w:tcPr>
            <w:tcW w:w="11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126"/>
        </w:trPr>
        <w:tc>
          <w:tcPr>
            <w:tcW w:w="1100" w:type="dxa"/>
            <w:vAlign w:val="bottom"/>
            <w:tcBorders>
              <w:top w:val="single" w:sz="8" w:color="auto"/>
              <w:bottom w:val="single" w:sz="8" w:color="auto"/>
            </w:tcBorders>
          </w:tcPr>
          <w:p>
            <w:pPr>
              <w:jc w:val="right"/>
              <w:ind w:right="31"/>
              <w:spacing w:after="0" w:line="126" w:lineRule="exact"/>
              <w:rPr>
                <w:sz w:val="20"/>
                <w:szCs w:val="20"/>
                <w:color w:val="auto"/>
              </w:rPr>
            </w:pPr>
            <w:r>
              <w:rPr>
                <w:rFonts w:ascii="Arial" w:cs="Arial" w:eastAsia="Arial" w:hAnsi="Arial"/>
                <w:sz w:val="14"/>
                <w:szCs w:val="14"/>
                <w:color w:val="auto"/>
              </w:rPr>
              <w:t>6.05</w:t>
            </w:r>
          </w:p>
        </w:tc>
        <w:tc>
          <w:tcPr>
            <w:tcW w:w="360" w:type="dxa"/>
            <w:vAlign w:val="bottom"/>
          </w:tcPr>
          <w:p>
            <w:pPr>
              <w:spacing w:after="0"/>
              <w:rPr>
                <w:sz w:val="10"/>
                <w:szCs w:val="10"/>
                <w:color w:val="auto"/>
              </w:rPr>
            </w:pPr>
          </w:p>
        </w:tc>
        <w:tc>
          <w:tcPr>
            <w:tcW w:w="1100" w:type="dxa"/>
            <w:vAlign w:val="bottom"/>
            <w:tcBorders>
              <w:top w:val="single" w:sz="8" w:color="auto"/>
              <w:bottom w:val="single" w:sz="8" w:color="auto"/>
            </w:tcBorders>
          </w:tcPr>
          <w:p>
            <w:pPr>
              <w:jc w:val="right"/>
              <w:ind w:right="31"/>
              <w:spacing w:after="0" w:line="126" w:lineRule="exact"/>
              <w:rPr>
                <w:sz w:val="20"/>
                <w:szCs w:val="20"/>
                <w:color w:val="auto"/>
              </w:rPr>
            </w:pPr>
            <w:r>
              <w:rPr>
                <w:rFonts w:ascii="Arial" w:cs="Arial" w:eastAsia="Arial" w:hAnsi="Arial"/>
                <w:sz w:val="14"/>
                <w:szCs w:val="14"/>
                <w:color w:val="auto"/>
              </w:rPr>
              <w:t>5.89</w:t>
            </w:r>
          </w:p>
        </w:tc>
        <w:tc>
          <w:tcPr>
            <w:tcW w:w="360" w:type="dxa"/>
            <w:vAlign w:val="bottom"/>
          </w:tcPr>
          <w:p>
            <w:pPr>
              <w:spacing w:after="0"/>
              <w:rPr>
                <w:sz w:val="10"/>
                <w:szCs w:val="10"/>
                <w:color w:val="auto"/>
              </w:rPr>
            </w:pPr>
          </w:p>
        </w:tc>
        <w:tc>
          <w:tcPr>
            <w:tcW w:w="1100" w:type="dxa"/>
            <w:vAlign w:val="bottom"/>
            <w:tcBorders>
              <w:top w:val="single" w:sz="8" w:color="auto"/>
              <w:bottom w:val="single" w:sz="8" w:color="auto"/>
            </w:tcBorders>
          </w:tcPr>
          <w:p>
            <w:pPr>
              <w:jc w:val="right"/>
              <w:ind w:right="31"/>
              <w:spacing w:after="0" w:line="126" w:lineRule="exact"/>
              <w:rPr>
                <w:sz w:val="20"/>
                <w:szCs w:val="20"/>
                <w:color w:val="auto"/>
              </w:rPr>
            </w:pPr>
            <w:r>
              <w:rPr>
                <w:rFonts w:ascii="Arial" w:cs="Arial" w:eastAsia="Arial" w:hAnsi="Arial"/>
                <w:sz w:val="14"/>
                <w:szCs w:val="14"/>
                <w:color w:val="auto"/>
              </w:rPr>
              <w:t>6.46</w:t>
            </w:r>
          </w:p>
        </w:tc>
        <w:tc>
          <w:tcPr>
            <w:tcW w:w="360" w:type="dxa"/>
            <w:vAlign w:val="bottom"/>
          </w:tcPr>
          <w:p>
            <w:pPr>
              <w:spacing w:after="0"/>
              <w:rPr>
                <w:sz w:val="10"/>
                <w:szCs w:val="10"/>
                <w:color w:val="auto"/>
              </w:rPr>
            </w:pPr>
          </w:p>
        </w:tc>
        <w:tc>
          <w:tcPr>
            <w:tcW w:w="1080" w:type="dxa"/>
            <w:vAlign w:val="bottom"/>
            <w:tcBorders>
              <w:top w:val="single" w:sz="8" w:color="auto"/>
              <w:bottom w:val="single" w:sz="8" w:color="auto"/>
            </w:tcBorders>
          </w:tcPr>
          <w:p>
            <w:pPr>
              <w:jc w:val="right"/>
              <w:ind w:right="11"/>
              <w:spacing w:after="0" w:line="126" w:lineRule="exact"/>
              <w:rPr>
                <w:sz w:val="20"/>
                <w:szCs w:val="20"/>
                <w:color w:val="auto"/>
              </w:rPr>
            </w:pPr>
            <w:r>
              <w:rPr>
                <w:rFonts w:ascii="Arial" w:cs="Arial" w:eastAsia="Arial" w:hAnsi="Arial"/>
                <w:sz w:val="14"/>
                <w:szCs w:val="14"/>
                <w:color w:val="auto"/>
              </w:rPr>
              <w:t>6.28</w:t>
            </w:r>
          </w:p>
        </w:tc>
        <w:tc>
          <w:tcPr>
            <w:tcW w:w="380" w:type="dxa"/>
            <w:vAlign w:val="bottom"/>
          </w:tcPr>
          <w:p>
            <w:pPr>
              <w:spacing w:after="0"/>
              <w:rPr>
                <w:sz w:val="10"/>
                <w:szCs w:val="10"/>
                <w:color w:val="auto"/>
              </w:rPr>
            </w:pPr>
          </w:p>
        </w:tc>
        <w:tc>
          <w:tcPr>
            <w:tcW w:w="1100" w:type="dxa"/>
            <w:vAlign w:val="bottom"/>
            <w:tcBorders>
              <w:top w:val="single" w:sz="8" w:color="auto"/>
              <w:bottom w:val="single" w:sz="8" w:color="auto"/>
            </w:tcBorders>
          </w:tcPr>
          <w:p>
            <w:pPr>
              <w:jc w:val="right"/>
              <w:ind w:right="31"/>
              <w:spacing w:after="0" w:line="126" w:lineRule="exact"/>
              <w:rPr>
                <w:sz w:val="20"/>
                <w:szCs w:val="20"/>
                <w:color w:val="auto"/>
              </w:rPr>
            </w:pPr>
            <w:r>
              <w:rPr>
                <w:rFonts w:ascii="Arial" w:cs="Arial" w:eastAsia="Arial" w:hAnsi="Arial"/>
                <w:sz w:val="14"/>
                <w:szCs w:val="14"/>
                <w:color w:val="auto"/>
              </w:rPr>
              <w:t>7.09</w:t>
            </w:r>
          </w:p>
        </w:tc>
        <w:tc>
          <w:tcPr>
            <w:tcW w:w="360" w:type="dxa"/>
            <w:vAlign w:val="bottom"/>
          </w:tcPr>
          <w:p>
            <w:pPr>
              <w:spacing w:after="0"/>
              <w:rPr>
                <w:sz w:val="10"/>
                <w:szCs w:val="10"/>
                <w:color w:val="auto"/>
              </w:rPr>
            </w:pPr>
          </w:p>
        </w:tc>
        <w:tc>
          <w:tcPr>
            <w:tcW w:w="1100" w:type="dxa"/>
            <w:vAlign w:val="bottom"/>
            <w:tcBorders>
              <w:top w:val="single" w:sz="8" w:color="auto"/>
              <w:bottom w:val="single" w:sz="8" w:color="auto"/>
            </w:tcBorders>
          </w:tcPr>
          <w:p>
            <w:pPr>
              <w:jc w:val="right"/>
              <w:ind w:right="31"/>
              <w:spacing w:after="0" w:line="126" w:lineRule="exact"/>
              <w:rPr>
                <w:sz w:val="20"/>
                <w:szCs w:val="20"/>
                <w:color w:val="auto"/>
              </w:rPr>
            </w:pPr>
            <w:r>
              <w:rPr>
                <w:rFonts w:ascii="Arial" w:cs="Arial" w:eastAsia="Arial" w:hAnsi="Arial"/>
                <w:sz w:val="14"/>
                <w:szCs w:val="14"/>
                <w:color w:val="auto"/>
              </w:rPr>
              <w:t>6.53</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2">
            <w:col w:w="2720" w:space="240"/>
            <w:col w:w="8400"/>
          </w:cols>
          <w:pgMar w:left="320" w:top="1074" w:right="219" w:bottom="1440" w:gutter="0" w:footer="0" w:header="0"/>
        </w:sectPr>
      </w:pPr>
    </w:p>
    <w:p>
      <w:pPr>
        <w:ind w:left="660" w:right="280" w:hanging="511"/>
        <w:spacing w:after="0" w:line="238" w:lineRule="auto"/>
        <w:tabs>
          <w:tab w:leader="none" w:pos="660" w:val="left"/>
        </w:tabs>
        <w:numPr>
          <w:ilvl w:val="0"/>
          <w:numId w:val="253"/>
        </w:numPr>
        <w:rPr>
          <w:rFonts w:ascii="Arial" w:cs="Arial" w:eastAsia="Arial" w:hAnsi="Arial"/>
          <w:sz w:val="14"/>
          <w:szCs w:val="14"/>
          <w:color w:val="auto"/>
        </w:rPr>
      </w:pPr>
      <w:r>
        <w:rPr>
          <w:rFonts w:ascii="Arial" w:cs="Arial" w:eastAsia="Arial" w:hAnsi="Arial"/>
          <w:sz w:val="14"/>
          <w:szCs w:val="14"/>
          <w:color w:val="auto"/>
        </w:rPr>
        <w:t>In computing this ratio, “Preferred dividends of subsidiary” and "Preferred stock dividends" represent the before-tax earnings necessary to pay such dividends, computed at the effective tax rates for the applicable periods.</w:t>
      </w:r>
    </w:p>
    <w:p>
      <w:pPr>
        <w:sectPr>
          <w:pgSz w:w="11900" w:h="16838" w:orient="portrait"/>
          <w:cols w:equalWidth="0" w:num="1">
            <w:col w:w="11360"/>
          </w:cols>
          <w:pgMar w:left="320" w:top="1074" w:right="219" w:bottom="1440" w:gutter="0" w:footer="0" w:header="0"/>
          <w:type w:val="continuous"/>
        </w:sectPr>
      </w:pPr>
    </w:p>
    <w:bookmarkStart w:id="169" w:name="page170"/>
    <w:bookmarkEnd w:id="1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Fixed Charges:</w:t>
      </w:r>
    </w:p>
    <w:p>
      <w:pPr>
        <w:spacing w:after="0"/>
        <w:rPr>
          <w:sz w:val="20"/>
          <w:szCs w:val="20"/>
          <w:color w:val="auto"/>
        </w:rPr>
      </w:pPr>
      <w:r>
        <w:rPr>
          <w:rFonts w:ascii="Arial" w:cs="Arial" w:eastAsia="Arial" w:hAnsi="Arial"/>
          <w:sz w:val="14"/>
          <w:szCs w:val="14"/>
          <w:color w:val="auto"/>
        </w:rPr>
        <w:t>Interest</w:t>
      </w:r>
    </w:p>
    <w:p>
      <w:pPr>
        <w:spacing w:after="0" w:line="4" w:lineRule="exact"/>
        <w:rPr>
          <w:sz w:val="20"/>
          <w:szCs w:val="20"/>
          <w:color w:val="auto"/>
        </w:rPr>
      </w:pPr>
    </w:p>
    <w:p>
      <w:pPr>
        <w:ind w:right="740"/>
        <w:spacing w:after="0" w:line="238" w:lineRule="auto"/>
        <w:rPr>
          <w:sz w:val="20"/>
          <w:szCs w:val="20"/>
          <w:color w:val="auto"/>
        </w:rPr>
      </w:pPr>
      <w:r>
        <w:rPr>
          <w:rFonts w:ascii="Arial" w:cs="Arial" w:eastAsia="Arial" w:hAnsi="Arial"/>
          <w:sz w:val="14"/>
          <w:szCs w:val="14"/>
          <w:color w:val="auto"/>
        </w:rPr>
        <w:t>Interest portion of annual rentals Total fixed charges</w:t>
      </w:r>
    </w:p>
    <w:p>
      <w:pPr>
        <w:spacing w:after="0" w:line="232" w:lineRule="auto"/>
        <w:rPr>
          <w:sz w:val="20"/>
          <w:szCs w:val="20"/>
          <w:color w:val="auto"/>
        </w:rPr>
      </w:pPr>
      <w:r>
        <w:rPr>
          <w:rFonts w:ascii="Arial" w:cs="Arial" w:eastAsia="Arial" w:hAnsi="Arial"/>
          <w:sz w:val="14"/>
          <w:szCs w:val="14"/>
          <w:color w:val="auto"/>
        </w:rPr>
        <w:t>Preferred stock dividends (1)</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Combined fixed charges and preferred stock dividends for purpose of ratio</w:t>
      </w:r>
    </w:p>
    <w:p>
      <w:pPr>
        <w:spacing w:after="0" w:line="232" w:lineRule="auto"/>
        <w:rPr>
          <w:sz w:val="20"/>
          <w:szCs w:val="20"/>
          <w:color w:val="auto"/>
        </w:rPr>
      </w:pPr>
      <w:r>
        <w:rPr>
          <w:rFonts w:ascii="Arial" w:cs="Arial" w:eastAsia="Arial" w:hAnsi="Arial"/>
          <w:sz w:val="14"/>
          <w:szCs w:val="14"/>
          <w:color w:val="auto"/>
        </w:rPr>
        <w:t>Earnings:</w:t>
      </w:r>
    </w:p>
    <w:p>
      <w:pPr>
        <w:spacing w:after="0" w:line="231" w:lineRule="auto"/>
        <w:rPr>
          <w:sz w:val="20"/>
          <w:szCs w:val="20"/>
          <w:color w:val="auto"/>
        </w:rPr>
      </w:pPr>
      <w:r>
        <w:rPr>
          <w:rFonts w:ascii="Arial" w:cs="Arial" w:eastAsia="Arial" w:hAnsi="Arial"/>
          <w:sz w:val="14"/>
          <w:szCs w:val="14"/>
          <w:color w:val="auto"/>
        </w:rPr>
        <w:t>Pretax income from continuing operations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Add: Total fixed charges (from above)</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Less: Interest capitalized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Total earnings for purpose of ratio</w:t>
      </w:r>
    </w:p>
    <w:p>
      <w:pPr>
        <w:ind w:right="40"/>
        <w:spacing w:after="0" w:line="238" w:lineRule="auto"/>
        <w:rPr>
          <w:sz w:val="20"/>
          <w:szCs w:val="20"/>
          <w:color w:val="auto"/>
        </w:rPr>
      </w:pPr>
      <w:r>
        <w:rPr>
          <w:rFonts w:ascii="Arial" w:cs="Arial" w:eastAsia="Arial" w:hAnsi="Arial"/>
          <w:sz w:val="14"/>
          <w:szCs w:val="14"/>
          <w:color w:val="auto"/>
        </w:rPr>
        <w:t>Ratio of earnings to combined fixed charges and preferred stock dividends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Ratio of earnings to fixed charges</w:t>
      </w:r>
    </w:p>
    <w:p>
      <w:pPr>
        <w:spacing w:after="0" w:line="20" w:lineRule="exact"/>
        <w:rPr>
          <w:sz w:val="20"/>
          <w:szCs w:val="20"/>
          <w:color w:val="auto"/>
        </w:rPr>
      </w:pPr>
      <w:r>
        <w:rPr>
          <w:sz w:val="20"/>
          <w:szCs w:val="20"/>
          <w:color w:val="auto"/>
        </w:rPr>
        <w:br w:type="column"/>
      </w:r>
    </w:p>
    <w:p>
      <w:pPr>
        <w:jc w:val="center"/>
        <w:ind w:right="3060"/>
        <w:spacing w:after="0"/>
        <w:rPr>
          <w:sz w:val="20"/>
          <w:szCs w:val="20"/>
          <w:color w:val="auto"/>
        </w:rPr>
      </w:pPr>
      <w:r>
        <w:rPr>
          <w:rFonts w:ascii="Arial" w:cs="Arial" w:eastAsia="Arial" w:hAnsi="Arial"/>
          <w:sz w:val="14"/>
          <w:szCs w:val="14"/>
          <w:b w:val="1"/>
          <w:bCs w:val="1"/>
          <w:color w:val="auto"/>
        </w:rPr>
        <w:t>EXHIBIT 12.4</w:t>
      </w:r>
    </w:p>
    <w:p>
      <w:pPr>
        <w:spacing w:after="0" w:line="4" w:lineRule="exact"/>
        <w:rPr>
          <w:sz w:val="20"/>
          <w:szCs w:val="20"/>
          <w:color w:val="auto"/>
        </w:rPr>
      </w:pPr>
    </w:p>
    <w:p>
      <w:pPr>
        <w:jc w:val="center"/>
        <w:ind w:right="3060"/>
        <w:spacing w:after="0"/>
        <w:rPr>
          <w:sz w:val="20"/>
          <w:szCs w:val="20"/>
          <w:color w:val="auto"/>
        </w:rPr>
      </w:pPr>
      <w:r>
        <w:rPr>
          <w:rFonts w:ascii="Arial" w:cs="Arial" w:eastAsia="Arial" w:hAnsi="Arial"/>
          <w:sz w:val="14"/>
          <w:szCs w:val="14"/>
          <w:b w:val="1"/>
          <w:bCs w:val="1"/>
          <w:color w:val="auto"/>
        </w:rPr>
        <w:t>SOUTHERN CALIFORNIA GAS COMPANY</w:t>
      </w:r>
    </w:p>
    <w:p>
      <w:pPr>
        <w:jc w:val="center"/>
        <w:ind w:right="3060"/>
        <w:spacing w:after="0" w:line="231" w:lineRule="auto"/>
        <w:rPr>
          <w:sz w:val="20"/>
          <w:szCs w:val="20"/>
          <w:color w:val="auto"/>
        </w:rPr>
      </w:pPr>
      <w:r>
        <w:rPr>
          <w:rFonts w:ascii="Arial" w:cs="Arial" w:eastAsia="Arial" w:hAnsi="Arial"/>
          <w:sz w:val="14"/>
          <w:szCs w:val="14"/>
          <w:b w:val="1"/>
          <w:bCs w:val="1"/>
          <w:color w:val="auto"/>
        </w:rPr>
        <w:t>COMPUTATION OF RATIO OF EARNINGS TO COMBINED FIXED CHARGES</w:t>
      </w:r>
    </w:p>
    <w:p>
      <w:pPr>
        <w:jc w:val="center"/>
        <w:ind w:right="3060"/>
        <w:spacing w:after="0" w:line="231" w:lineRule="auto"/>
        <w:rPr>
          <w:sz w:val="20"/>
          <w:szCs w:val="20"/>
          <w:color w:val="auto"/>
        </w:rPr>
      </w:pPr>
      <w:r>
        <w:rPr>
          <w:rFonts w:ascii="Arial" w:cs="Arial" w:eastAsia="Arial" w:hAnsi="Arial"/>
          <w:sz w:val="14"/>
          <w:szCs w:val="14"/>
          <w:b w:val="1"/>
          <w:bCs w:val="1"/>
          <w:color w:val="auto"/>
        </w:rPr>
        <w:t>AND PREFERRED STOCK DIVIDENDS</w:t>
      </w:r>
    </w:p>
    <w:p>
      <w:pPr>
        <w:jc w:val="center"/>
        <w:ind w:right="3060"/>
        <w:spacing w:after="0"/>
        <w:rPr>
          <w:sz w:val="20"/>
          <w:szCs w:val="20"/>
          <w:color w:val="auto"/>
        </w:rPr>
      </w:pPr>
      <w:r>
        <w:rPr>
          <w:rFonts w:ascii="Arial" w:cs="Arial" w:eastAsia="Arial" w:hAnsi="Arial"/>
          <w:sz w:val="14"/>
          <w:szCs w:val="14"/>
          <w:b w:val="1"/>
          <w:bCs w:val="1"/>
          <w:color w:val="auto"/>
        </w:rPr>
        <w:t>(Dollars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171"/>
              <w:spacing w:after="0"/>
              <w:rPr>
                <w:sz w:val="20"/>
                <w:szCs w:val="20"/>
                <w:color w:val="auto"/>
              </w:rPr>
            </w:pPr>
            <w:r>
              <w:rPr>
                <w:rFonts w:ascii="Arial" w:cs="Arial" w:eastAsia="Arial" w:hAnsi="Arial"/>
                <w:sz w:val="14"/>
                <w:szCs w:val="14"/>
                <w:color w:val="auto"/>
              </w:rPr>
              <w:t>March 31,</w:t>
            </w:r>
          </w:p>
        </w:tc>
      </w:tr>
      <w:tr>
        <w:trPr>
          <w:trHeight w:val="156"/>
        </w:trPr>
        <w:tc>
          <w:tcPr>
            <w:tcW w:w="1100" w:type="dxa"/>
            <w:vAlign w:val="bottom"/>
            <w:tcBorders>
              <w:bottom w:val="single" w:sz="8" w:color="auto"/>
            </w:tcBorders>
          </w:tcPr>
          <w:p>
            <w:pPr>
              <w:jc w:val="right"/>
              <w:ind w:right="351"/>
              <w:spacing w:after="0" w:line="156" w:lineRule="exact"/>
              <w:rPr>
                <w:sz w:val="20"/>
                <w:szCs w:val="20"/>
                <w:color w:val="auto"/>
              </w:rPr>
            </w:pPr>
            <w:r>
              <w:rPr>
                <w:rFonts w:ascii="Arial" w:cs="Arial" w:eastAsia="Arial" w:hAnsi="Arial"/>
                <w:sz w:val="14"/>
                <w:szCs w:val="14"/>
                <w:color w:val="auto"/>
              </w:rPr>
              <w:t>2006</w:t>
            </w:r>
          </w:p>
        </w:tc>
        <w:tc>
          <w:tcPr>
            <w:tcW w:w="360" w:type="dxa"/>
            <w:vAlign w:val="bottom"/>
          </w:tcPr>
          <w:p>
            <w:pPr>
              <w:spacing w:after="0"/>
              <w:rPr>
                <w:sz w:val="13"/>
                <w:szCs w:val="13"/>
                <w:color w:val="auto"/>
              </w:rPr>
            </w:pPr>
          </w:p>
        </w:tc>
        <w:tc>
          <w:tcPr>
            <w:tcW w:w="1100" w:type="dxa"/>
            <w:vAlign w:val="bottom"/>
            <w:tcBorders>
              <w:bottom w:val="single" w:sz="8" w:color="auto"/>
            </w:tcBorders>
          </w:tcPr>
          <w:p>
            <w:pPr>
              <w:jc w:val="right"/>
              <w:ind w:right="351"/>
              <w:spacing w:after="0" w:line="156" w:lineRule="exact"/>
              <w:rPr>
                <w:sz w:val="20"/>
                <w:szCs w:val="20"/>
                <w:color w:val="auto"/>
              </w:rPr>
            </w:pPr>
            <w:r>
              <w:rPr>
                <w:rFonts w:ascii="Arial" w:cs="Arial" w:eastAsia="Arial" w:hAnsi="Arial"/>
                <w:sz w:val="14"/>
                <w:szCs w:val="14"/>
                <w:color w:val="auto"/>
              </w:rPr>
              <w:t>2007</w:t>
            </w:r>
          </w:p>
        </w:tc>
        <w:tc>
          <w:tcPr>
            <w:tcW w:w="360" w:type="dxa"/>
            <w:vAlign w:val="bottom"/>
          </w:tcPr>
          <w:p>
            <w:pPr>
              <w:spacing w:after="0"/>
              <w:rPr>
                <w:sz w:val="13"/>
                <w:szCs w:val="13"/>
                <w:color w:val="auto"/>
              </w:rPr>
            </w:pPr>
          </w:p>
        </w:tc>
        <w:tc>
          <w:tcPr>
            <w:tcW w:w="1100" w:type="dxa"/>
            <w:vAlign w:val="bottom"/>
            <w:tcBorders>
              <w:bottom w:val="single" w:sz="8" w:color="auto"/>
            </w:tcBorders>
          </w:tcPr>
          <w:p>
            <w:pPr>
              <w:jc w:val="right"/>
              <w:ind w:right="351"/>
              <w:spacing w:after="0" w:line="156" w:lineRule="exact"/>
              <w:rPr>
                <w:sz w:val="20"/>
                <w:szCs w:val="20"/>
                <w:color w:val="auto"/>
              </w:rPr>
            </w:pPr>
            <w:r>
              <w:rPr>
                <w:rFonts w:ascii="Arial" w:cs="Arial" w:eastAsia="Arial" w:hAnsi="Arial"/>
                <w:sz w:val="14"/>
                <w:szCs w:val="14"/>
                <w:color w:val="auto"/>
              </w:rPr>
              <w:t>2008</w:t>
            </w:r>
          </w:p>
        </w:tc>
        <w:tc>
          <w:tcPr>
            <w:tcW w:w="360" w:type="dxa"/>
            <w:vAlign w:val="bottom"/>
          </w:tcPr>
          <w:p>
            <w:pPr>
              <w:spacing w:after="0"/>
              <w:rPr>
                <w:sz w:val="13"/>
                <w:szCs w:val="13"/>
                <w:color w:val="auto"/>
              </w:rPr>
            </w:pPr>
          </w:p>
        </w:tc>
        <w:tc>
          <w:tcPr>
            <w:tcW w:w="1080" w:type="dxa"/>
            <w:vAlign w:val="bottom"/>
            <w:tcBorders>
              <w:bottom w:val="single" w:sz="8" w:color="auto"/>
            </w:tcBorders>
          </w:tcPr>
          <w:p>
            <w:pPr>
              <w:jc w:val="right"/>
              <w:ind w:right="331"/>
              <w:spacing w:after="0" w:line="156" w:lineRule="exact"/>
              <w:rPr>
                <w:sz w:val="20"/>
                <w:szCs w:val="20"/>
                <w:color w:val="auto"/>
              </w:rPr>
            </w:pPr>
            <w:r>
              <w:rPr>
                <w:rFonts w:ascii="Arial" w:cs="Arial" w:eastAsia="Arial" w:hAnsi="Arial"/>
                <w:sz w:val="14"/>
                <w:szCs w:val="14"/>
                <w:color w:val="auto"/>
              </w:rPr>
              <w:t>2009</w:t>
            </w:r>
          </w:p>
        </w:tc>
        <w:tc>
          <w:tcPr>
            <w:tcW w:w="380" w:type="dxa"/>
            <w:vAlign w:val="bottom"/>
          </w:tcPr>
          <w:p>
            <w:pPr>
              <w:spacing w:after="0"/>
              <w:rPr>
                <w:sz w:val="13"/>
                <w:szCs w:val="13"/>
                <w:color w:val="auto"/>
              </w:rPr>
            </w:pPr>
          </w:p>
        </w:tc>
        <w:tc>
          <w:tcPr>
            <w:tcW w:w="1100" w:type="dxa"/>
            <w:vAlign w:val="bottom"/>
            <w:tcBorders>
              <w:bottom w:val="single" w:sz="8" w:color="auto"/>
            </w:tcBorders>
          </w:tcPr>
          <w:p>
            <w:pPr>
              <w:jc w:val="right"/>
              <w:ind w:right="351"/>
              <w:spacing w:after="0" w:line="156" w:lineRule="exact"/>
              <w:rPr>
                <w:sz w:val="20"/>
                <w:szCs w:val="20"/>
                <w:color w:val="auto"/>
              </w:rPr>
            </w:pPr>
            <w:r>
              <w:rPr>
                <w:rFonts w:ascii="Arial" w:cs="Arial" w:eastAsia="Arial" w:hAnsi="Arial"/>
                <w:sz w:val="14"/>
                <w:szCs w:val="14"/>
                <w:color w:val="auto"/>
              </w:rPr>
              <w:t>2010</w:t>
            </w:r>
          </w:p>
        </w:tc>
        <w:tc>
          <w:tcPr>
            <w:tcW w:w="360" w:type="dxa"/>
            <w:vAlign w:val="bottom"/>
          </w:tcPr>
          <w:p>
            <w:pPr>
              <w:spacing w:after="0"/>
              <w:rPr>
                <w:sz w:val="13"/>
                <w:szCs w:val="13"/>
                <w:color w:val="auto"/>
              </w:rPr>
            </w:pPr>
          </w:p>
        </w:tc>
        <w:tc>
          <w:tcPr>
            <w:tcW w:w="1100" w:type="dxa"/>
            <w:vAlign w:val="bottom"/>
            <w:tcBorders>
              <w:bottom w:val="single" w:sz="8" w:color="auto"/>
            </w:tcBorders>
          </w:tcPr>
          <w:p>
            <w:pPr>
              <w:jc w:val="right"/>
              <w:ind w:right="351"/>
              <w:spacing w:after="0" w:line="156" w:lineRule="exact"/>
              <w:rPr>
                <w:sz w:val="20"/>
                <w:szCs w:val="20"/>
                <w:color w:val="auto"/>
              </w:rPr>
            </w:pPr>
            <w:r>
              <w:rPr>
                <w:rFonts w:ascii="Arial" w:cs="Arial" w:eastAsia="Arial" w:hAnsi="Arial"/>
                <w:sz w:val="14"/>
                <w:szCs w:val="14"/>
                <w:color w:val="auto"/>
              </w:rPr>
              <w:t>2011</w:t>
            </w:r>
          </w:p>
        </w:tc>
      </w:tr>
      <w:tr>
        <w:trPr>
          <w:trHeight w:val="300"/>
        </w:trPr>
        <w:tc>
          <w:tcPr>
            <w:tcW w:w="1100" w:type="dxa"/>
            <w:vAlign w:val="bottom"/>
          </w:tcPr>
          <w:p>
            <w:pPr>
              <w:jc w:val="right"/>
              <w:ind w:right="31"/>
              <w:spacing w:after="0"/>
              <w:rPr>
                <w:sz w:val="20"/>
                <w:szCs w:val="20"/>
                <w:color w:val="auto"/>
              </w:rPr>
            </w:pPr>
            <w:r>
              <w:rPr>
                <w:rFonts w:ascii="Arial" w:cs="Arial" w:eastAsia="Arial" w:hAnsi="Arial"/>
                <w:sz w:val="14"/>
                <w:szCs w:val="14"/>
                <w:color w:val="auto"/>
              </w:rPr>
              <w:t>$ 72</w:t>
            </w:r>
          </w:p>
        </w:tc>
        <w:tc>
          <w:tcPr>
            <w:tcW w:w="1460" w:type="dxa"/>
            <w:vAlign w:val="bottom"/>
            <w:gridSpan w:val="2"/>
          </w:tcPr>
          <w:p>
            <w:pPr>
              <w:jc w:val="right"/>
              <w:ind w:right="31"/>
              <w:spacing w:after="0"/>
              <w:rPr>
                <w:sz w:val="20"/>
                <w:szCs w:val="20"/>
                <w:color w:val="auto"/>
              </w:rPr>
            </w:pPr>
            <w:r>
              <w:rPr>
                <w:rFonts w:ascii="Arial" w:cs="Arial" w:eastAsia="Arial" w:hAnsi="Arial"/>
                <w:sz w:val="14"/>
                <w:szCs w:val="14"/>
                <w:color w:val="auto"/>
              </w:rPr>
              <w:t>$ 72</w:t>
            </w:r>
          </w:p>
        </w:tc>
        <w:tc>
          <w:tcPr>
            <w:tcW w:w="1460" w:type="dxa"/>
            <w:vAlign w:val="bottom"/>
            <w:gridSpan w:val="2"/>
          </w:tcPr>
          <w:p>
            <w:pPr>
              <w:jc w:val="right"/>
              <w:ind w:right="31"/>
              <w:spacing w:after="0"/>
              <w:rPr>
                <w:sz w:val="20"/>
                <w:szCs w:val="20"/>
                <w:color w:val="auto"/>
              </w:rPr>
            </w:pPr>
            <w:r>
              <w:rPr>
                <w:rFonts w:ascii="Arial" w:cs="Arial" w:eastAsia="Arial" w:hAnsi="Arial"/>
                <w:sz w:val="14"/>
                <w:szCs w:val="14"/>
                <w:color w:val="auto"/>
              </w:rPr>
              <w:t>$ 65</w:t>
            </w:r>
          </w:p>
        </w:tc>
        <w:tc>
          <w:tcPr>
            <w:tcW w:w="1440" w:type="dxa"/>
            <w:vAlign w:val="bottom"/>
            <w:gridSpan w:val="2"/>
          </w:tcPr>
          <w:p>
            <w:pPr>
              <w:jc w:val="right"/>
              <w:ind w:right="11"/>
              <w:spacing w:after="0"/>
              <w:rPr>
                <w:sz w:val="20"/>
                <w:szCs w:val="20"/>
                <w:color w:val="auto"/>
              </w:rPr>
            </w:pPr>
            <w:r>
              <w:rPr>
                <w:rFonts w:ascii="Arial" w:cs="Arial" w:eastAsia="Arial" w:hAnsi="Arial"/>
                <w:sz w:val="14"/>
                <w:szCs w:val="14"/>
                <w:color w:val="auto"/>
              </w:rPr>
              <w:t>$ 74</w:t>
            </w:r>
          </w:p>
        </w:tc>
        <w:tc>
          <w:tcPr>
            <w:tcW w:w="1480" w:type="dxa"/>
            <w:vAlign w:val="bottom"/>
            <w:gridSpan w:val="2"/>
          </w:tcPr>
          <w:p>
            <w:pPr>
              <w:jc w:val="right"/>
              <w:ind w:right="31"/>
              <w:spacing w:after="0"/>
              <w:rPr>
                <w:sz w:val="20"/>
                <w:szCs w:val="20"/>
                <w:color w:val="auto"/>
              </w:rPr>
            </w:pPr>
            <w:r>
              <w:rPr>
                <w:rFonts w:ascii="Arial" w:cs="Arial" w:eastAsia="Arial" w:hAnsi="Arial"/>
                <w:sz w:val="14"/>
                <w:szCs w:val="14"/>
                <w:color w:val="auto"/>
              </w:rPr>
              <w:t>$ 72</w:t>
            </w:r>
          </w:p>
        </w:tc>
        <w:tc>
          <w:tcPr>
            <w:tcW w:w="1460" w:type="dxa"/>
            <w:vAlign w:val="bottom"/>
            <w:gridSpan w:val="2"/>
          </w:tcPr>
          <w:p>
            <w:pPr>
              <w:jc w:val="right"/>
              <w:ind w:right="31"/>
              <w:spacing w:after="0"/>
              <w:rPr>
                <w:sz w:val="20"/>
                <w:szCs w:val="20"/>
                <w:color w:val="auto"/>
              </w:rPr>
            </w:pPr>
            <w:r>
              <w:rPr>
                <w:rFonts w:ascii="Arial" w:cs="Arial" w:eastAsia="Arial" w:hAnsi="Arial"/>
                <w:sz w:val="14"/>
                <w:szCs w:val="14"/>
                <w:color w:val="auto"/>
              </w:rPr>
              <w:t>$ 19</w:t>
            </w:r>
          </w:p>
        </w:tc>
      </w:tr>
      <w:tr>
        <w:trPr>
          <w:trHeight w:val="156"/>
        </w:trPr>
        <w:tc>
          <w:tcPr>
            <w:tcW w:w="1100" w:type="dxa"/>
            <w:vAlign w:val="bottom"/>
          </w:tcPr>
          <w:p>
            <w:pPr>
              <w:jc w:val="right"/>
              <w:ind w:right="31"/>
              <w:spacing w:after="0" w:line="156" w:lineRule="exact"/>
              <w:rPr>
                <w:sz w:val="20"/>
                <w:szCs w:val="20"/>
                <w:color w:val="auto"/>
              </w:rPr>
            </w:pPr>
            <w:r>
              <w:rPr>
                <w:rFonts w:ascii="Arial" w:cs="Arial" w:eastAsia="Arial" w:hAnsi="Arial"/>
                <w:sz w:val="14"/>
                <w:szCs w:val="14"/>
                <w:color w:val="auto"/>
              </w:rPr>
              <w:t>4</w:t>
            </w:r>
          </w:p>
        </w:tc>
        <w:tc>
          <w:tcPr>
            <w:tcW w:w="146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3</w:t>
            </w:r>
          </w:p>
        </w:tc>
        <w:tc>
          <w:tcPr>
            <w:tcW w:w="146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2</w:t>
            </w:r>
          </w:p>
        </w:tc>
        <w:tc>
          <w:tcPr>
            <w:tcW w:w="1440" w:type="dxa"/>
            <w:vAlign w:val="bottom"/>
            <w:gridSpan w:val="2"/>
          </w:tcPr>
          <w:p>
            <w:pPr>
              <w:jc w:val="right"/>
              <w:ind w:right="11"/>
              <w:spacing w:after="0" w:line="156" w:lineRule="exact"/>
              <w:rPr>
                <w:sz w:val="20"/>
                <w:szCs w:val="20"/>
                <w:color w:val="auto"/>
              </w:rPr>
            </w:pPr>
            <w:r>
              <w:rPr>
                <w:rFonts w:ascii="Arial" w:cs="Arial" w:eastAsia="Arial" w:hAnsi="Arial"/>
                <w:sz w:val="14"/>
                <w:szCs w:val="14"/>
                <w:color w:val="auto"/>
              </w:rPr>
              <w:t>1</w:t>
            </w:r>
          </w:p>
        </w:tc>
        <w:tc>
          <w:tcPr>
            <w:tcW w:w="148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2</w:t>
            </w:r>
          </w:p>
        </w:tc>
        <w:tc>
          <w:tcPr>
            <w:tcW w:w="146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w:t>
            </w:r>
          </w:p>
        </w:tc>
      </w:tr>
      <w:tr>
        <w:trPr>
          <w:trHeight w:val="145"/>
        </w:trPr>
        <w:tc>
          <w:tcPr>
            <w:tcW w:w="1100" w:type="dxa"/>
            <w:vAlign w:val="bottom"/>
            <w:tcBorders>
              <w:top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76</w:t>
            </w:r>
          </w:p>
        </w:tc>
        <w:tc>
          <w:tcPr>
            <w:tcW w:w="360" w:type="dxa"/>
            <w:vAlign w:val="bottom"/>
          </w:tcPr>
          <w:p>
            <w:pPr>
              <w:spacing w:after="0"/>
              <w:rPr>
                <w:sz w:val="12"/>
                <w:szCs w:val="12"/>
                <w:color w:val="auto"/>
              </w:rPr>
            </w:pPr>
          </w:p>
        </w:tc>
        <w:tc>
          <w:tcPr>
            <w:tcW w:w="1100" w:type="dxa"/>
            <w:vAlign w:val="bottom"/>
            <w:tcBorders>
              <w:top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75</w:t>
            </w:r>
          </w:p>
        </w:tc>
        <w:tc>
          <w:tcPr>
            <w:tcW w:w="360" w:type="dxa"/>
            <w:vAlign w:val="bottom"/>
          </w:tcPr>
          <w:p>
            <w:pPr>
              <w:spacing w:after="0"/>
              <w:rPr>
                <w:sz w:val="12"/>
                <w:szCs w:val="12"/>
                <w:color w:val="auto"/>
              </w:rPr>
            </w:pPr>
          </w:p>
        </w:tc>
        <w:tc>
          <w:tcPr>
            <w:tcW w:w="1100" w:type="dxa"/>
            <w:vAlign w:val="bottom"/>
            <w:tcBorders>
              <w:top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67</w:t>
            </w:r>
          </w:p>
        </w:tc>
        <w:tc>
          <w:tcPr>
            <w:tcW w:w="360" w:type="dxa"/>
            <w:vAlign w:val="bottom"/>
          </w:tcPr>
          <w:p>
            <w:pPr>
              <w:spacing w:after="0"/>
              <w:rPr>
                <w:sz w:val="12"/>
                <w:szCs w:val="12"/>
                <w:color w:val="auto"/>
              </w:rPr>
            </w:pPr>
          </w:p>
        </w:tc>
        <w:tc>
          <w:tcPr>
            <w:tcW w:w="1080" w:type="dxa"/>
            <w:vAlign w:val="bottom"/>
            <w:tcBorders>
              <w:top w:val="single" w:sz="8" w:color="auto"/>
            </w:tcBorders>
          </w:tcPr>
          <w:p>
            <w:pPr>
              <w:jc w:val="right"/>
              <w:ind w:right="11"/>
              <w:spacing w:after="0" w:line="145" w:lineRule="exact"/>
              <w:rPr>
                <w:sz w:val="20"/>
                <w:szCs w:val="20"/>
                <w:color w:val="auto"/>
              </w:rPr>
            </w:pPr>
            <w:r>
              <w:rPr>
                <w:rFonts w:ascii="Arial" w:cs="Arial" w:eastAsia="Arial" w:hAnsi="Arial"/>
                <w:sz w:val="14"/>
                <w:szCs w:val="14"/>
                <w:color w:val="auto"/>
              </w:rPr>
              <w:t>75</w:t>
            </w:r>
          </w:p>
        </w:tc>
        <w:tc>
          <w:tcPr>
            <w:tcW w:w="380" w:type="dxa"/>
            <w:vAlign w:val="bottom"/>
          </w:tcPr>
          <w:p>
            <w:pPr>
              <w:spacing w:after="0"/>
              <w:rPr>
                <w:sz w:val="12"/>
                <w:szCs w:val="12"/>
                <w:color w:val="auto"/>
              </w:rPr>
            </w:pPr>
          </w:p>
        </w:tc>
        <w:tc>
          <w:tcPr>
            <w:tcW w:w="1100" w:type="dxa"/>
            <w:vAlign w:val="bottom"/>
            <w:tcBorders>
              <w:top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74</w:t>
            </w:r>
          </w:p>
        </w:tc>
        <w:tc>
          <w:tcPr>
            <w:tcW w:w="360" w:type="dxa"/>
            <w:vAlign w:val="bottom"/>
          </w:tcPr>
          <w:p>
            <w:pPr>
              <w:spacing w:after="0"/>
              <w:rPr>
                <w:sz w:val="12"/>
                <w:szCs w:val="12"/>
                <w:color w:val="auto"/>
              </w:rPr>
            </w:pPr>
          </w:p>
        </w:tc>
        <w:tc>
          <w:tcPr>
            <w:tcW w:w="1100" w:type="dxa"/>
            <w:vAlign w:val="bottom"/>
            <w:tcBorders>
              <w:top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19</w:t>
            </w:r>
          </w:p>
        </w:tc>
      </w:tr>
      <w:tr>
        <w:trPr>
          <w:trHeight w:val="156"/>
        </w:trPr>
        <w:tc>
          <w:tcPr>
            <w:tcW w:w="1100" w:type="dxa"/>
            <w:vAlign w:val="bottom"/>
            <w:tcBorders>
              <w:bottom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2</w:t>
            </w:r>
          </w:p>
        </w:tc>
        <w:tc>
          <w:tcPr>
            <w:tcW w:w="360" w:type="dxa"/>
            <w:vAlign w:val="bottom"/>
          </w:tcPr>
          <w:p>
            <w:pPr>
              <w:spacing w:after="0"/>
              <w:rPr>
                <w:sz w:val="13"/>
                <w:szCs w:val="13"/>
                <w:color w:val="auto"/>
              </w:rPr>
            </w:pPr>
          </w:p>
        </w:tc>
        <w:tc>
          <w:tcPr>
            <w:tcW w:w="1100" w:type="dxa"/>
            <w:vAlign w:val="bottom"/>
            <w:tcBorders>
              <w:bottom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2</w:t>
            </w:r>
          </w:p>
        </w:tc>
        <w:tc>
          <w:tcPr>
            <w:tcW w:w="360" w:type="dxa"/>
            <w:vAlign w:val="bottom"/>
          </w:tcPr>
          <w:p>
            <w:pPr>
              <w:spacing w:after="0"/>
              <w:rPr>
                <w:sz w:val="13"/>
                <w:szCs w:val="13"/>
                <w:color w:val="auto"/>
              </w:rPr>
            </w:pPr>
          </w:p>
        </w:tc>
        <w:tc>
          <w:tcPr>
            <w:tcW w:w="1100" w:type="dxa"/>
            <w:vAlign w:val="bottom"/>
            <w:tcBorders>
              <w:bottom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2</w:t>
            </w:r>
          </w:p>
        </w:tc>
        <w:tc>
          <w:tcPr>
            <w:tcW w:w="360" w:type="dxa"/>
            <w:vAlign w:val="bottom"/>
          </w:tcPr>
          <w:p>
            <w:pPr>
              <w:spacing w:after="0"/>
              <w:rPr>
                <w:sz w:val="13"/>
                <w:szCs w:val="13"/>
                <w:color w:val="auto"/>
              </w:rPr>
            </w:pPr>
          </w:p>
        </w:tc>
        <w:tc>
          <w:tcPr>
            <w:tcW w:w="1080" w:type="dxa"/>
            <w:vAlign w:val="bottom"/>
            <w:tcBorders>
              <w:bottom w:val="single" w:sz="8" w:color="auto"/>
            </w:tcBorders>
          </w:tcPr>
          <w:p>
            <w:pPr>
              <w:jc w:val="right"/>
              <w:ind w:right="11"/>
              <w:spacing w:after="0" w:line="156" w:lineRule="exact"/>
              <w:rPr>
                <w:sz w:val="20"/>
                <w:szCs w:val="20"/>
                <w:color w:val="auto"/>
              </w:rPr>
            </w:pPr>
            <w:r>
              <w:rPr>
                <w:rFonts w:ascii="Arial" w:cs="Arial" w:eastAsia="Arial" w:hAnsi="Arial"/>
                <w:sz w:val="14"/>
                <w:szCs w:val="14"/>
                <w:color w:val="auto"/>
              </w:rPr>
              <w:t>2</w:t>
            </w:r>
          </w:p>
        </w:tc>
        <w:tc>
          <w:tcPr>
            <w:tcW w:w="380" w:type="dxa"/>
            <w:vAlign w:val="bottom"/>
          </w:tcPr>
          <w:p>
            <w:pPr>
              <w:spacing w:after="0"/>
              <w:rPr>
                <w:sz w:val="13"/>
                <w:szCs w:val="13"/>
                <w:color w:val="auto"/>
              </w:rPr>
            </w:pPr>
          </w:p>
        </w:tc>
        <w:tc>
          <w:tcPr>
            <w:tcW w:w="1100" w:type="dxa"/>
            <w:vAlign w:val="bottom"/>
            <w:tcBorders>
              <w:bottom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2</w:t>
            </w:r>
          </w:p>
        </w:tc>
        <w:tc>
          <w:tcPr>
            <w:tcW w:w="360" w:type="dxa"/>
            <w:vAlign w:val="bottom"/>
          </w:tcPr>
          <w:p>
            <w:pPr>
              <w:spacing w:after="0"/>
              <w:rPr>
                <w:sz w:val="13"/>
                <w:szCs w:val="13"/>
                <w:color w:val="auto"/>
              </w:rPr>
            </w:pPr>
          </w:p>
        </w:tc>
        <w:tc>
          <w:tcPr>
            <w:tcW w:w="1100" w:type="dxa"/>
            <w:vAlign w:val="bottom"/>
            <w:tcBorders>
              <w:bottom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rPr>
              <w:t>-</w:t>
            </w:r>
          </w:p>
        </w:tc>
      </w:tr>
      <w:tr>
        <w:trPr>
          <w:trHeight w:val="269"/>
        </w:trPr>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$ 78</w:t>
            </w:r>
          </w:p>
        </w:tc>
        <w:tc>
          <w:tcPr>
            <w:tcW w:w="360" w:type="dxa"/>
            <w:vAlign w:val="bottom"/>
          </w:tcPr>
          <w:p>
            <w:pPr>
              <w:spacing w:after="0"/>
              <w:rPr>
                <w:sz w:val="23"/>
                <w:szCs w:val="23"/>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$ 77</w:t>
            </w:r>
          </w:p>
        </w:tc>
        <w:tc>
          <w:tcPr>
            <w:tcW w:w="360" w:type="dxa"/>
            <w:vAlign w:val="bottom"/>
          </w:tcPr>
          <w:p>
            <w:pPr>
              <w:spacing w:after="0"/>
              <w:rPr>
                <w:sz w:val="23"/>
                <w:szCs w:val="23"/>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$ 69</w:t>
            </w:r>
          </w:p>
        </w:tc>
        <w:tc>
          <w:tcPr>
            <w:tcW w:w="360" w:type="dxa"/>
            <w:vAlign w:val="bottom"/>
          </w:tcPr>
          <w:p>
            <w:pPr>
              <w:spacing w:after="0"/>
              <w:rPr>
                <w:sz w:val="23"/>
                <w:szCs w:val="23"/>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$ 77</w:t>
            </w:r>
          </w:p>
        </w:tc>
        <w:tc>
          <w:tcPr>
            <w:tcW w:w="380" w:type="dxa"/>
            <w:vAlign w:val="bottom"/>
          </w:tcPr>
          <w:p>
            <w:pPr>
              <w:spacing w:after="0"/>
              <w:rPr>
                <w:sz w:val="23"/>
                <w:szCs w:val="23"/>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$ 76</w:t>
            </w:r>
          </w:p>
        </w:tc>
        <w:tc>
          <w:tcPr>
            <w:tcW w:w="360" w:type="dxa"/>
            <w:vAlign w:val="bottom"/>
          </w:tcPr>
          <w:p>
            <w:pPr>
              <w:spacing w:after="0"/>
              <w:rPr>
                <w:sz w:val="23"/>
                <w:szCs w:val="23"/>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$ 19</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91"/>
        </w:trPr>
        <w:tc>
          <w:tcPr>
            <w:tcW w:w="1100" w:type="dxa"/>
            <w:vAlign w:val="bottom"/>
          </w:tcPr>
          <w:p>
            <w:pPr>
              <w:jc w:val="right"/>
              <w:ind w:right="31"/>
              <w:spacing w:after="0"/>
              <w:rPr>
                <w:sz w:val="20"/>
                <w:szCs w:val="20"/>
                <w:color w:val="auto"/>
              </w:rPr>
            </w:pPr>
            <w:r>
              <w:rPr>
                <w:rFonts w:ascii="Arial" w:cs="Arial" w:eastAsia="Arial" w:hAnsi="Arial"/>
                <w:sz w:val="14"/>
                <w:szCs w:val="14"/>
                <w:color w:val="auto"/>
              </w:rPr>
              <w:t>$ 397</w:t>
            </w:r>
          </w:p>
        </w:tc>
        <w:tc>
          <w:tcPr>
            <w:tcW w:w="1460" w:type="dxa"/>
            <w:vAlign w:val="bottom"/>
            <w:gridSpan w:val="2"/>
          </w:tcPr>
          <w:p>
            <w:pPr>
              <w:jc w:val="right"/>
              <w:ind w:right="31"/>
              <w:spacing w:after="0"/>
              <w:rPr>
                <w:sz w:val="20"/>
                <w:szCs w:val="20"/>
                <w:color w:val="auto"/>
              </w:rPr>
            </w:pPr>
            <w:r>
              <w:rPr>
                <w:rFonts w:ascii="Arial" w:cs="Arial" w:eastAsia="Arial" w:hAnsi="Arial"/>
                <w:sz w:val="14"/>
                <w:szCs w:val="14"/>
                <w:color w:val="auto"/>
              </w:rPr>
              <w:t>$ 391</w:t>
            </w:r>
          </w:p>
        </w:tc>
        <w:tc>
          <w:tcPr>
            <w:tcW w:w="1460" w:type="dxa"/>
            <w:vAlign w:val="bottom"/>
            <w:gridSpan w:val="2"/>
          </w:tcPr>
          <w:p>
            <w:pPr>
              <w:jc w:val="right"/>
              <w:ind w:right="31"/>
              <w:spacing w:after="0"/>
              <w:rPr>
                <w:sz w:val="20"/>
                <w:szCs w:val="20"/>
                <w:color w:val="auto"/>
              </w:rPr>
            </w:pPr>
            <w:r>
              <w:rPr>
                <w:rFonts w:ascii="Arial" w:cs="Arial" w:eastAsia="Arial" w:hAnsi="Arial"/>
                <w:sz w:val="14"/>
                <w:szCs w:val="14"/>
                <w:color w:val="auto"/>
              </w:rPr>
              <w:t>$ 385</w:t>
            </w:r>
          </w:p>
        </w:tc>
        <w:tc>
          <w:tcPr>
            <w:tcW w:w="1440" w:type="dxa"/>
            <w:vAlign w:val="bottom"/>
            <w:gridSpan w:val="2"/>
          </w:tcPr>
          <w:p>
            <w:pPr>
              <w:jc w:val="right"/>
              <w:ind w:right="11"/>
              <w:spacing w:after="0"/>
              <w:rPr>
                <w:sz w:val="20"/>
                <w:szCs w:val="20"/>
                <w:color w:val="auto"/>
              </w:rPr>
            </w:pPr>
            <w:r>
              <w:rPr>
                <w:rFonts w:ascii="Arial" w:cs="Arial" w:eastAsia="Arial" w:hAnsi="Arial"/>
                <w:sz w:val="14"/>
                <w:szCs w:val="14"/>
                <w:color w:val="auto"/>
              </w:rPr>
              <w:t>$ 418</w:t>
            </w:r>
          </w:p>
        </w:tc>
        <w:tc>
          <w:tcPr>
            <w:tcW w:w="1480" w:type="dxa"/>
            <w:vAlign w:val="bottom"/>
            <w:gridSpan w:val="2"/>
          </w:tcPr>
          <w:p>
            <w:pPr>
              <w:jc w:val="right"/>
              <w:ind w:right="31"/>
              <w:spacing w:after="0"/>
              <w:rPr>
                <w:sz w:val="20"/>
                <w:szCs w:val="20"/>
                <w:color w:val="auto"/>
              </w:rPr>
            </w:pPr>
            <w:r>
              <w:rPr>
                <w:rFonts w:ascii="Arial" w:cs="Arial" w:eastAsia="Arial" w:hAnsi="Arial"/>
                <w:sz w:val="14"/>
                <w:szCs w:val="14"/>
                <w:color w:val="auto"/>
              </w:rPr>
              <w:t>$ 463</w:t>
            </w:r>
          </w:p>
        </w:tc>
        <w:tc>
          <w:tcPr>
            <w:tcW w:w="1460" w:type="dxa"/>
            <w:vAlign w:val="bottom"/>
            <w:gridSpan w:val="2"/>
          </w:tcPr>
          <w:p>
            <w:pPr>
              <w:jc w:val="right"/>
              <w:ind w:right="31"/>
              <w:spacing w:after="0"/>
              <w:rPr>
                <w:sz w:val="20"/>
                <w:szCs w:val="20"/>
                <w:color w:val="auto"/>
              </w:rPr>
            </w:pPr>
            <w:r>
              <w:rPr>
                <w:rFonts w:ascii="Arial" w:cs="Arial" w:eastAsia="Arial" w:hAnsi="Arial"/>
                <w:sz w:val="14"/>
                <w:szCs w:val="14"/>
                <w:color w:val="auto"/>
              </w:rPr>
              <w:t>$ 105</w:t>
            </w:r>
          </w:p>
        </w:tc>
      </w:tr>
      <w:tr>
        <w:trPr>
          <w:trHeight w:val="155"/>
        </w:trPr>
        <w:tc>
          <w:tcPr>
            <w:tcW w:w="1100" w:type="dxa"/>
            <w:vAlign w:val="bottom"/>
          </w:tcPr>
          <w:p>
            <w:pPr>
              <w:jc w:val="right"/>
              <w:ind w:right="31"/>
              <w:spacing w:after="0" w:line="155" w:lineRule="exact"/>
              <w:rPr>
                <w:sz w:val="20"/>
                <w:szCs w:val="20"/>
                <w:color w:val="auto"/>
              </w:rPr>
            </w:pPr>
            <w:r>
              <w:rPr>
                <w:rFonts w:ascii="Arial" w:cs="Arial" w:eastAsia="Arial" w:hAnsi="Arial"/>
                <w:sz w:val="14"/>
                <w:szCs w:val="14"/>
                <w:color w:val="auto"/>
              </w:rPr>
              <w:t>76</w:t>
            </w:r>
          </w:p>
        </w:tc>
        <w:tc>
          <w:tcPr>
            <w:tcW w:w="146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75</w:t>
            </w:r>
          </w:p>
        </w:tc>
        <w:tc>
          <w:tcPr>
            <w:tcW w:w="146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67</w:t>
            </w:r>
          </w:p>
        </w:tc>
        <w:tc>
          <w:tcPr>
            <w:tcW w:w="1440" w:type="dxa"/>
            <w:vAlign w:val="bottom"/>
            <w:gridSpan w:val="2"/>
          </w:tcPr>
          <w:p>
            <w:pPr>
              <w:jc w:val="right"/>
              <w:ind w:right="11"/>
              <w:spacing w:after="0" w:line="155" w:lineRule="exact"/>
              <w:rPr>
                <w:sz w:val="20"/>
                <w:szCs w:val="20"/>
                <w:color w:val="auto"/>
              </w:rPr>
            </w:pPr>
            <w:r>
              <w:rPr>
                <w:rFonts w:ascii="Arial" w:cs="Arial" w:eastAsia="Arial" w:hAnsi="Arial"/>
                <w:sz w:val="14"/>
                <w:szCs w:val="14"/>
                <w:color w:val="auto"/>
              </w:rPr>
              <w:t>75</w:t>
            </w:r>
          </w:p>
        </w:tc>
        <w:tc>
          <w:tcPr>
            <w:tcW w:w="148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74</w:t>
            </w:r>
          </w:p>
        </w:tc>
        <w:tc>
          <w:tcPr>
            <w:tcW w:w="1460" w:type="dxa"/>
            <w:vAlign w:val="bottom"/>
            <w:gridSpan w:val="2"/>
          </w:tcPr>
          <w:p>
            <w:pPr>
              <w:jc w:val="right"/>
              <w:ind w:right="31"/>
              <w:spacing w:after="0" w:line="155" w:lineRule="exact"/>
              <w:rPr>
                <w:sz w:val="20"/>
                <w:szCs w:val="20"/>
                <w:color w:val="auto"/>
              </w:rPr>
            </w:pPr>
            <w:r>
              <w:rPr>
                <w:rFonts w:ascii="Arial" w:cs="Arial" w:eastAsia="Arial" w:hAnsi="Arial"/>
                <w:sz w:val="14"/>
                <w:szCs w:val="14"/>
                <w:color w:val="auto"/>
              </w:rPr>
              <w:t>19</w:t>
            </w:r>
          </w:p>
        </w:tc>
      </w:tr>
      <w:tr>
        <w:trPr>
          <w:trHeight w:val="156"/>
        </w:trPr>
        <w:tc>
          <w:tcPr>
            <w:tcW w:w="1100" w:type="dxa"/>
            <w:vAlign w:val="bottom"/>
          </w:tcPr>
          <w:p>
            <w:pPr>
              <w:jc w:val="right"/>
              <w:ind w:right="31"/>
              <w:spacing w:after="0" w:line="156" w:lineRule="exact"/>
              <w:rPr>
                <w:sz w:val="20"/>
                <w:szCs w:val="20"/>
                <w:color w:val="auto"/>
              </w:rPr>
            </w:pPr>
            <w:r>
              <w:rPr>
                <w:rFonts w:ascii="Arial" w:cs="Arial" w:eastAsia="Arial" w:hAnsi="Arial"/>
                <w:sz w:val="14"/>
                <w:szCs w:val="14"/>
                <w:color w:val="auto"/>
              </w:rPr>
              <w:t>1</w:t>
            </w:r>
          </w:p>
        </w:tc>
        <w:tc>
          <w:tcPr>
            <w:tcW w:w="146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1</w:t>
            </w:r>
          </w:p>
        </w:tc>
        <w:tc>
          <w:tcPr>
            <w:tcW w:w="146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1"/>
              <w:spacing w:after="0" w:line="156" w:lineRule="exact"/>
              <w:rPr>
                <w:sz w:val="20"/>
                <w:szCs w:val="20"/>
                <w:color w:val="auto"/>
              </w:rPr>
            </w:pPr>
            <w:r>
              <w:rPr>
                <w:rFonts w:ascii="Arial" w:cs="Arial" w:eastAsia="Arial" w:hAnsi="Arial"/>
                <w:sz w:val="14"/>
                <w:szCs w:val="14"/>
                <w:color w:val="auto"/>
              </w:rPr>
              <w:t>1</w:t>
            </w:r>
          </w:p>
        </w:tc>
        <w:tc>
          <w:tcPr>
            <w:tcW w:w="148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1</w:t>
            </w:r>
          </w:p>
        </w:tc>
        <w:tc>
          <w:tcPr>
            <w:tcW w:w="1460" w:type="dxa"/>
            <w:vAlign w:val="bottom"/>
            <w:gridSpan w:val="2"/>
          </w:tcPr>
          <w:p>
            <w:pPr>
              <w:jc w:val="right"/>
              <w:ind w:right="31"/>
              <w:spacing w:after="0" w:line="156" w:lineRule="exact"/>
              <w:rPr>
                <w:sz w:val="20"/>
                <w:szCs w:val="20"/>
                <w:color w:val="auto"/>
              </w:rPr>
            </w:pPr>
            <w:r>
              <w:rPr>
                <w:rFonts w:ascii="Arial" w:cs="Arial" w:eastAsia="Arial" w:hAnsi="Arial"/>
                <w:sz w:val="14"/>
                <w:szCs w:val="14"/>
                <w:color w:val="auto"/>
              </w:rPr>
              <w:t>-</w:t>
            </w:r>
          </w:p>
        </w:tc>
      </w:tr>
      <w:tr>
        <w:trPr>
          <w:trHeight w:val="145"/>
        </w:trPr>
        <w:tc>
          <w:tcPr>
            <w:tcW w:w="1100" w:type="dxa"/>
            <w:vAlign w:val="bottom"/>
            <w:tcBorders>
              <w:top w:val="single" w:sz="8" w:color="auto"/>
              <w:bottom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$ 472</w:t>
            </w:r>
          </w:p>
        </w:tc>
        <w:tc>
          <w:tcPr>
            <w:tcW w:w="3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$ 465</w:t>
            </w:r>
          </w:p>
        </w:tc>
        <w:tc>
          <w:tcPr>
            <w:tcW w:w="3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$ 452</w:t>
            </w:r>
          </w:p>
        </w:tc>
        <w:tc>
          <w:tcPr>
            <w:tcW w:w="36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11"/>
              <w:spacing w:after="0" w:line="145" w:lineRule="exact"/>
              <w:rPr>
                <w:sz w:val="20"/>
                <w:szCs w:val="20"/>
                <w:color w:val="auto"/>
              </w:rPr>
            </w:pPr>
            <w:r>
              <w:rPr>
                <w:rFonts w:ascii="Arial" w:cs="Arial" w:eastAsia="Arial" w:hAnsi="Arial"/>
                <w:sz w:val="14"/>
                <w:szCs w:val="14"/>
                <w:color w:val="auto"/>
              </w:rPr>
              <w:t>$ 492</w:t>
            </w:r>
          </w:p>
        </w:tc>
        <w:tc>
          <w:tcPr>
            <w:tcW w:w="38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$ 536</w:t>
            </w:r>
          </w:p>
        </w:tc>
        <w:tc>
          <w:tcPr>
            <w:tcW w:w="3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31"/>
              <w:spacing w:after="0" w:line="145" w:lineRule="exact"/>
              <w:rPr>
                <w:sz w:val="20"/>
                <w:szCs w:val="20"/>
                <w:color w:val="auto"/>
              </w:rPr>
            </w:pPr>
            <w:r>
              <w:rPr>
                <w:rFonts w:ascii="Arial" w:cs="Arial" w:eastAsia="Arial" w:hAnsi="Arial"/>
                <w:sz w:val="14"/>
                <w:szCs w:val="14"/>
                <w:color w:val="auto"/>
              </w:rPr>
              <w:t>$ 124</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0"/>
        </w:trPr>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6.05</w:t>
            </w:r>
          </w:p>
        </w:tc>
        <w:tc>
          <w:tcPr>
            <w:tcW w:w="360" w:type="dxa"/>
            <w:vAlign w:val="bottom"/>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6.04</w:t>
            </w:r>
          </w:p>
        </w:tc>
        <w:tc>
          <w:tcPr>
            <w:tcW w:w="360" w:type="dxa"/>
            <w:vAlign w:val="bottom"/>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6.55</w:t>
            </w:r>
          </w:p>
        </w:tc>
        <w:tc>
          <w:tcPr>
            <w:tcW w:w="360" w:type="dxa"/>
            <w:vAlign w:val="bottom"/>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6.39</w:t>
            </w:r>
          </w:p>
        </w:tc>
        <w:tc>
          <w:tcPr>
            <w:tcW w:w="380" w:type="dxa"/>
            <w:vAlign w:val="bottom"/>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7.05</w:t>
            </w:r>
          </w:p>
        </w:tc>
        <w:tc>
          <w:tcPr>
            <w:tcW w:w="360" w:type="dxa"/>
            <w:vAlign w:val="bottom"/>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6.53</w:t>
            </w:r>
          </w:p>
        </w:tc>
      </w:tr>
      <w:tr>
        <w:trPr>
          <w:trHeight w:val="20"/>
        </w:trPr>
        <w:tc>
          <w:tcPr>
            <w:tcW w:w="11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126"/>
        </w:trPr>
        <w:tc>
          <w:tcPr>
            <w:tcW w:w="1100" w:type="dxa"/>
            <w:vAlign w:val="bottom"/>
            <w:tcBorders>
              <w:top w:val="single" w:sz="8" w:color="auto"/>
              <w:bottom w:val="single" w:sz="8" w:color="auto"/>
            </w:tcBorders>
          </w:tcPr>
          <w:p>
            <w:pPr>
              <w:jc w:val="right"/>
              <w:ind w:right="31"/>
              <w:spacing w:after="0" w:line="126" w:lineRule="exact"/>
              <w:rPr>
                <w:sz w:val="20"/>
                <w:szCs w:val="20"/>
                <w:color w:val="auto"/>
              </w:rPr>
            </w:pPr>
            <w:r>
              <w:rPr>
                <w:rFonts w:ascii="Arial" w:cs="Arial" w:eastAsia="Arial" w:hAnsi="Arial"/>
                <w:sz w:val="14"/>
                <w:szCs w:val="14"/>
                <w:color w:val="auto"/>
              </w:rPr>
              <w:t>6.21</w:t>
            </w:r>
          </w:p>
        </w:tc>
        <w:tc>
          <w:tcPr>
            <w:tcW w:w="360" w:type="dxa"/>
            <w:vAlign w:val="bottom"/>
          </w:tcPr>
          <w:p>
            <w:pPr>
              <w:spacing w:after="0"/>
              <w:rPr>
                <w:sz w:val="10"/>
                <w:szCs w:val="10"/>
                <w:color w:val="auto"/>
              </w:rPr>
            </w:pPr>
          </w:p>
        </w:tc>
        <w:tc>
          <w:tcPr>
            <w:tcW w:w="1100" w:type="dxa"/>
            <w:vAlign w:val="bottom"/>
            <w:tcBorders>
              <w:top w:val="single" w:sz="8" w:color="auto"/>
              <w:bottom w:val="single" w:sz="8" w:color="auto"/>
            </w:tcBorders>
          </w:tcPr>
          <w:p>
            <w:pPr>
              <w:jc w:val="right"/>
              <w:ind w:right="31"/>
              <w:spacing w:after="0" w:line="126" w:lineRule="exact"/>
              <w:rPr>
                <w:sz w:val="20"/>
                <w:szCs w:val="20"/>
                <w:color w:val="auto"/>
              </w:rPr>
            </w:pPr>
            <w:r>
              <w:rPr>
                <w:rFonts w:ascii="Arial" w:cs="Arial" w:eastAsia="Arial" w:hAnsi="Arial"/>
                <w:sz w:val="14"/>
                <w:szCs w:val="14"/>
                <w:color w:val="auto"/>
              </w:rPr>
              <w:t>6.20</w:t>
            </w:r>
          </w:p>
        </w:tc>
        <w:tc>
          <w:tcPr>
            <w:tcW w:w="360" w:type="dxa"/>
            <w:vAlign w:val="bottom"/>
          </w:tcPr>
          <w:p>
            <w:pPr>
              <w:spacing w:after="0"/>
              <w:rPr>
                <w:sz w:val="10"/>
                <w:szCs w:val="10"/>
                <w:color w:val="auto"/>
              </w:rPr>
            </w:pPr>
          </w:p>
        </w:tc>
        <w:tc>
          <w:tcPr>
            <w:tcW w:w="1100" w:type="dxa"/>
            <w:vAlign w:val="bottom"/>
            <w:tcBorders>
              <w:top w:val="single" w:sz="8" w:color="auto"/>
              <w:bottom w:val="single" w:sz="8" w:color="auto"/>
            </w:tcBorders>
          </w:tcPr>
          <w:p>
            <w:pPr>
              <w:jc w:val="right"/>
              <w:ind w:right="31"/>
              <w:spacing w:after="0" w:line="126" w:lineRule="exact"/>
              <w:rPr>
                <w:sz w:val="20"/>
                <w:szCs w:val="20"/>
                <w:color w:val="auto"/>
              </w:rPr>
            </w:pPr>
            <w:r>
              <w:rPr>
                <w:rFonts w:ascii="Arial" w:cs="Arial" w:eastAsia="Arial" w:hAnsi="Arial"/>
                <w:sz w:val="14"/>
                <w:szCs w:val="14"/>
                <w:color w:val="auto"/>
              </w:rPr>
              <w:t>6.75</w:t>
            </w:r>
          </w:p>
        </w:tc>
        <w:tc>
          <w:tcPr>
            <w:tcW w:w="360" w:type="dxa"/>
            <w:vAlign w:val="bottom"/>
          </w:tcPr>
          <w:p>
            <w:pPr>
              <w:spacing w:after="0"/>
              <w:rPr>
                <w:sz w:val="10"/>
                <w:szCs w:val="10"/>
                <w:color w:val="auto"/>
              </w:rPr>
            </w:pPr>
          </w:p>
        </w:tc>
        <w:tc>
          <w:tcPr>
            <w:tcW w:w="1080" w:type="dxa"/>
            <w:vAlign w:val="bottom"/>
            <w:tcBorders>
              <w:top w:val="single" w:sz="8" w:color="auto"/>
              <w:bottom w:val="single" w:sz="8" w:color="auto"/>
            </w:tcBorders>
          </w:tcPr>
          <w:p>
            <w:pPr>
              <w:jc w:val="right"/>
              <w:ind w:right="11"/>
              <w:spacing w:after="0" w:line="126" w:lineRule="exact"/>
              <w:rPr>
                <w:sz w:val="20"/>
                <w:szCs w:val="20"/>
                <w:color w:val="auto"/>
              </w:rPr>
            </w:pPr>
            <w:r>
              <w:rPr>
                <w:rFonts w:ascii="Arial" w:cs="Arial" w:eastAsia="Arial" w:hAnsi="Arial"/>
                <w:sz w:val="14"/>
                <w:szCs w:val="14"/>
                <w:color w:val="auto"/>
              </w:rPr>
              <w:t>6.56</w:t>
            </w:r>
          </w:p>
        </w:tc>
        <w:tc>
          <w:tcPr>
            <w:tcW w:w="380" w:type="dxa"/>
            <w:vAlign w:val="bottom"/>
          </w:tcPr>
          <w:p>
            <w:pPr>
              <w:spacing w:after="0"/>
              <w:rPr>
                <w:sz w:val="10"/>
                <w:szCs w:val="10"/>
                <w:color w:val="auto"/>
              </w:rPr>
            </w:pPr>
          </w:p>
        </w:tc>
        <w:tc>
          <w:tcPr>
            <w:tcW w:w="1100" w:type="dxa"/>
            <w:vAlign w:val="bottom"/>
            <w:tcBorders>
              <w:top w:val="single" w:sz="8" w:color="auto"/>
              <w:bottom w:val="single" w:sz="8" w:color="auto"/>
            </w:tcBorders>
          </w:tcPr>
          <w:p>
            <w:pPr>
              <w:jc w:val="right"/>
              <w:ind w:right="31"/>
              <w:spacing w:after="0" w:line="126" w:lineRule="exact"/>
              <w:rPr>
                <w:sz w:val="20"/>
                <w:szCs w:val="20"/>
                <w:color w:val="auto"/>
              </w:rPr>
            </w:pPr>
            <w:r>
              <w:rPr>
                <w:rFonts w:ascii="Arial" w:cs="Arial" w:eastAsia="Arial" w:hAnsi="Arial"/>
                <w:sz w:val="14"/>
                <w:szCs w:val="14"/>
                <w:color w:val="auto"/>
              </w:rPr>
              <w:t>7.24</w:t>
            </w:r>
          </w:p>
        </w:tc>
        <w:tc>
          <w:tcPr>
            <w:tcW w:w="360" w:type="dxa"/>
            <w:vAlign w:val="bottom"/>
          </w:tcPr>
          <w:p>
            <w:pPr>
              <w:spacing w:after="0"/>
              <w:rPr>
                <w:sz w:val="10"/>
                <w:szCs w:val="10"/>
                <w:color w:val="auto"/>
              </w:rPr>
            </w:pPr>
          </w:p>
        </w:tc>
        <w:tc>
          <w:tcPr>
            <w:tcW w:w="1100" w:type="dxa"/>
            <w:vAlign w:val="bottom"/>
            <w:tcBorders>
              <w:top w:val="single" w:sz="8" w:color="auto"/>
              <w:bottom w:val="single" w:sz="8" w:color="auto"/>
            </w:tcBorders>
          </w:tcPr>
          <w:p>
            <w:pPr>
              <w:jc w:val="right"/>
              <w:ind w:right="31"/>
              <w:spacing w:after="0" w:line="126" w:lineRule="exact"/>
              <w:rPr>
                <w:sz w:val="20"/>
                <w:szCs w:val="20"/>
                <w:color w:val="auto"/>
              </w:rPr>
            </w:pPr>
            <w:r>
              <w:rPr>
                <w:rFonts w:ascii="Arial" w:cs="Arial" w:eastAsia="Arial" w:hAnsi="Arial"/>
                <w:sz w:val="14"/>
                <w:szCs w:val="14"/>
                <w:color w:val="auto"/>
              </w:rPr>
              <w:t>6.53</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2">
            <w:col w:w="2720" w:space="240"/>
            <w:col w:w="8400"/>
          </w:cols>
          <w:pgMar w:left="320" w:top="1074" w:right="219" w:bottom="1440" w:gutter="0" w:footer="0" w:header="0"/>
        </w:sectPr>
      </w:pPr>
    </w:p>
    <w:p>
      <w:pPr>
        <w:ind w:left="660" w:right="180" w:hanging="511"/>
        <w:spacing w:after="0" w:line="238" w:lineRule="auto"/>
        <w:tabs>
          <w:tab w:leader="none" w:pos="660" w:val="left"/>
        </w:tabs>
        <w:numPr>
          <w:ilvl w:val="0"/>
          <w:numId w:val="254"/>
        </w:numPr>
        <w:rPr>
          <w:rFonts w:ascii="Arial" w:cs="Arial" w:eastAsia="Arial" w:hAnsi="Arial"/>
          <w:sz w:val="14"/>
          <w:szCs w:val="14"/>
          <w:color w:val="auto"/>
        </w:rPr>
      </w:pPr>
      <w:r>
        <w:rPr>
          <w:rFonts w:ascii="Arial" w:cs="Arial" w:eastAsia="Arial" w:hAnsi="Arial"/>
          <w:sz w:val="14"/>
          <w:szCs w:val="14"/>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360"/>
          </w:cols>
          <w:pgMar w:left="320" w:top="1074" w:right="219" w:bottom="1440" w:gutter="0" w:footer="0" w:header="0"/>
          <w:type w:val="continuous"/>
        </w:sectPr>
      </w:pPr>
    </w:p>
    <w:bookmarkStart w:id="170" w:name="page171"/>
    <w:bookmarkEnd w:id="170"/>
    <w:p>
      <w:pPr>
        <w:jc w:val="right"/>
        <w:spacing w:after="0"/>
        <w:rPr>
          <w:sz w:val="20"/>
          <w:szCs w:val="20"/>
          <w:color w:val="auto"/>
        </w:rPr>
      </w:pPr>
      <w:r>
        <w:rPr>
          <w:rFonts w:ascii="Arial" w:cs="Arial" w:eastAsia="Arial" w:hAnsi="Arial"/>
          <w:sz w:val="17"/>
          <w:szCs w:val="17"/>
          <w:color w:val="auto"/>
        </w:rPr>
        <w:t>EXHIBIT 31.1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I, Donald E. Felsinger, certify that:</w:t>
      </w:r>
    </w:p>
    <w:p>
      <w:pPr>
        <w:spacing w:after="0" w:line="197" w:lineRule="exact"/>
        <w:rPr>
          <w:sz w:val="20"/>
          <w:szCs w:val="20"/>
          <w:color w:val="auto"/>
        </w:rPr>
      </w:pPr>
    </w:p>
    <w:p>
      <w:pPr>
        <w:ind w:left="260" w:hanging="257"/>
        <w:spacing w:after="0"/>
        <w:tabs>
          <w:tab w:leader="none" w:pos="26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I have reviewed this report on Form 10-Q of Sempra Energy;</w:t>
      </w:r>
    </w:p>
    <w:p>
      <w:pPr>
        <w:spacing w:after="0" w:line="197" w:lineRule="exact"/>
        <w:rPr>
          <w:rFonts w:ascii="Arial" w:cs="Arial" w:eastAsia="Arial" w:hAnsi="Arial"/>
          <w:sz w:val="17"/>
          <w:szCs w:val="17"/>
          <w:color w:val="auto"/>
        </w:rPr>
      </w:pPr>
    </w:p>
    <w:p>
      <w:pPr>
        <w:ind w:left="260" w:right="240" w:hanging="257"/>
        <w:spacing w:after="0" w:line="275" w:lineRule="auto"/>
        <w:tabs>
          <w:tab w:leader="none" w:pos="26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6"/>
          <w:szCs w:val="16"/>
          <w:color w:val="auto"/>
        </w:rPr>
      </w:pPr>
    </w:p>
    <w:p>
      <w:pPr>
        <w:ind w:left="260" w:right="220" w:hanging="257"/>
        <w:spacing w:after="0" w:line="245" w:lineRule="auto"/>
        <w:tabs>
          <w:tab w:leader="none" w:pos="26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7"/>
          <w:szCs w:val="17"/>
          <w:color w:val="auto"/>
        </w:rPr>
      </w:pPr>
    </w:p>
    <w:p>
      <w:pPr>
        <w:ind w:left="260" w:right="60" w:hanging="257"/>
        <w:spacing w:after="0" w:line="349" w:lineRule="auto"/>
        <w:tabs>
          <w:tab w:leader="none" w:pos="260" w:val="left"/>
        </w:tabs>
        <w:numPr>
          <w:ilvl w:val="0"/>
          <w:numId w:val="25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4"/>
          <w:szCs w:val="14"/>
          <w:color w:val="auto"/>
        </w:rPr>
      </w:pPr>
    </w:p>
    <w:p>
      <w:pPr>
        <w:ind w:left="740" w:right="80" w:hanging="241"/>
        <w:spacing w:after="0" w:line="237" w:lineRule="auto"/>
        <w:tabs>
          <w:tab w:leader="none" w:pos="740" w:val="left"/>
        </w:tabs>
        <w:numPr>
          <w:ilvl w:val="1"/>
          <w:numId w:val="25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7"/>
          <w:szCs w:val="17"/>
          <w:color w:val="auto"/>
        </w:rPr>
      </w:pPr>
    </w:p>
    <w:p>
      <w:pPr>
        <w:ind w:left="740" w:right="40" w:hanging="241"/>
        <w:spacing w:after="0" w:line="237" w:lineRule="auto"/>
        <w:tabs>
          <w:tab w:leader="none" w:pos="740" w:val="left"/>
        </w:tabs>
        <w:numPr>
          <w:ilvl w:val="1"/>
          <w:numId w:val="25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7"/>
          <w:szCs w:val="17"/>
          <w:color w:val="auto"/>
        </w:rPr>
      </w:pPr>
    </w:p>
    <w:p>
      <w:pPr>
        <w:ind w:left="740" w:right="480" w:hanging="241"/>
        <w:spacing w:after="0" w:line="275" w:lineRule="auto"/>
        <w:tabs>
          <w:tab w:leader="none" w:pos="740" w:val="left"/>
        </w:tabs>
        <w:numPr>
          <w:ilvl w:val="1"/>
          <w:numId w:val="2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6"/>
          <w:szCs w:val="16"/>
          <w:color w:val="auto"/>
        </w:rPr>
      </w:pPr>
    </w:p>
    <w:p>
      <w:pPr>
        <w:ind w:left="740" w:right="140" w:hanging="241"/>
        <w:spacing w:after="0" w:line="237" w:lineRule="auto"/>
        <w:tabs>
          <w:tab w:leader="none" w:pos="740" w:val="left"/>
        </w:tabs>
        <w:numPr>
          <w:ilvl w:val="1"/>
          <w:numId w:val="25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7"/>
          <w:szCs w:val="17"/>
          <w:color w:val="auto"/>
        </w:rPr>
      </w:pPr>
    </w:p>
    <w:p>
      <w:pPr>
        <w:ind w:left="260" w:right="160" w:hanging="257"/>
        <w:spacing w:after="0" w:line="245" w:lineRule="auto"/>
        <w:tabs>
          <w:tab w:leader="none" w:pos="26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9" w:lineRule="exact"/>
        <w:rPr>
          <w:rFonts w:ascii="Arial" w:cs="Arial" w:eastAsia="Arial" w:hAnsi="Arial"/>
          <w:sz w:val="17"/>
          <w:szCs w:val="17"/>
          <w:color w:val="auto"/>
        </w:rPr>
      </w:pPr>
    </w:p>
    <w:p>
      <w:pPr>
        <w:ind w:left="740" w:right="660" w:hanging="241"/>
        <w:spacing w:after="0" w:line="245" w:lineRule="auto"/>
        <w:tabs>
          <w:tab w:leader="none" w:pos="740" w:val="left"/>
        </w:tabs>
        <w:numPr>
          <w:ilvl w:val="1"/>
          <w:numId w:val="2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7"/>
          <w:szCs w:val="17"/>
          <w:color w:val="auto"/>
        </w:rPr>
      </w:pPr>
    </w:p>
    <w:p>
      <w:pPr>
        <w:ind w:left="740" w:right="260" w:hanging="241"/>
        <w:spacing w:after="0" w:line="245" w:lineRule="auto"/>
        <w:tabs>
          <w:tab w:leader="none" w:pos="740" w:val="left"/>
        </w:tabs>
        <w:numPr>
          <w:ilvl w:val="1"/>
          <w:numId w:val="25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May 9, 2011</w:t>
      </w:r>
    </w:p>
    <w:p>
      <w:pPr>
        <w:spacing w:after="0" w:line="203" w:lineRule="exact"/>
        <w:rPr>
          <w:sz w:val="20"/>
          <w:szCs w:val="20"/>
          <w:color w:val="auto"/>
        </w:rPr>
      </w:pPr>
    </w:p>
    <w:p>
      <w:pPr>
        <w:ind w:left="10040"/>
        <w:spacing w:after="0"/>
        <w:rPr>
          <w:sz w:val="20"/>
          <w:szCs w:val="20"/>
          <w:color w:val="auto"/>
        </w:rPr>
      </w:pPr>
      <w:r>
        <w:rPr>
          <w:rFonts w:ascii="Arial" w:cs="Arial" w:eastAsia="Arial" w:hAnsi="Arial"/>
          <w:sz w:val="13"/>
          <w:szCs w:val="13"/>
          <w:color w:val="auto"/>
        </w:rPr>
        <w:t>/S/ Donald E. Felsinger</w:t>
      </w:r>
    </w:p>
    <w:p>
      <w:pPr>
        <w:spacing w:after="0" w:line="26" w:lineRule="exact"/>
        <w:rPr>
          <w:sz w:val="20"/>
          <w:szCs w:val="20"/>
          <w:color w:val="auto"/>
        </w:rPr>
      </w:pPr>
    </w:p>
    <w:p>
      <w:pPr>
        <w:ind w:left="10260"/>
        <w:spacing w:after="0"/>
        <w:rPr>
          <w:sz w:val="20"/>
          <w:szCs w:val="20"/>
          <w:color w:val="auto"/>
        </w:rPr>
      </w:pPr>
      <w:r>
        <w:rPr>
          <w:rFonts w:ascii="Arial" w:cs="Arial" w:eastAsia="Arial" w:hAnsi="Arial"/>
          <w:sz w:val="13"/>
          <w:szCs w:val="13"/>
          <w:color w:val="auto"/>
        </w:rPr>
        <w:t>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5212715</wp:posOffset>
            </wp:positionH>
            <wp:positionV relativeFrom="paragraph">
              <wp:posOffset>-93980</wp:posOffset>
            </wp:positionV>
            <wp:extent cx="206756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067560" cy="6350"/>
                    </a:xfrm>
                    <a:prstGeom prst="rect">
                      <a:avLst/>
                    </a:prstGeom>
                    <a:noFill/>
                  </pic:spPr>
                </pic:pic>
              </a:graphicData>
            </a:graphic>
          </wp:anchor>
        </w:drawing>
      </w:r>
    </w:p>
    <w:p>
      <w:pPr>
        <w:spacing w:after="0" w:line="5" w:lineRule="exact"/>
        <w:rPr>
          <w:sz w:val="20"/>
          <w:szCs w:val="20"/>
          <w:color w:val="auto"/>
        </w:rPr>
      </w:pPr>
    </w:p>
    <w:p>
      <w:pPr>
        <w:ind w:left="10040"/>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460"/>
          </w:cols>
          <w:pgMar w:left="220" w:top="124" w:right="219" w:bottom="1440" w:gutter="0" w:footer="0" w:header="0"/>
        </w:sectPr>
      </w:pPr>
    </w:p>
    <w:bookmarkStart w:id="171" w:name="page172"/>
    <w:bookmarkEnd w:id="171"/>
    <w:p>
      <w:pPr>
        <w:jc w:val="right"/>
        <w:spacing w:after="0"/>
        <w:rPr>
          <w:sz w:val="20"/>
          <w:szCs w:val="20"/>
          <w:color w:val="auto"/>
        </w:rPr>
      </w:pPr>
      <w:r>
        <w:rPr>
          <w:rFonts w:ascii="Arial" w:cs="Arial" w:eastAsia="Arial" w:hAnsi="Arial"/>
          <w:sz w:val="17"/>
          <w:szCs w:val="17"/>
          <w:color w:val="auto"/>
        </w:rPr>
        <w:t>EXHIBIT 31.2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I, Mark A. Snell, certify that:</w:t>
      </w:r>
    </w:p>
    <w:p>
      <w:pPr>
        <w:spacing w:after="0" w:line="197" w:lineRule="exact"/>
        <w:rPr>
          <w:sz w:val="20"/>
          <w:szCs w:val="20"/>
          <w:color w:val="auto"/>
        </w:rPr>
      </w:pPr>
    </w:p>
    <w:p>
      <w:pPr>
        <w:ind w:left="260" w:hanging="257"/>
        <w:spacing w:after="0"/>
        <w:tabs>
          <w:tab w:leader="none" w:pos="26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I have reviewed this report on Form 10-Q of Sempra Energy;</w:t>
      </w:r>
    </w:p>
    <w:p>
      <w:pPr>
        <w:spacing w:after="0" w:line="197" w:lineRule="exact"/>
        <w:rPr>
          <w:rFonts w:ascii="Arial" w:cs="Arial" w:eastAsia="Arial" w:hAnsi="Arial"/>
          <w:sz w:val="17"/>
          <w:szCs w:val="17"/>
          <w:color w:val="auto"/>
        </w:rPr>
      </w:pPr>
    </w:p>
    <w:p>
      <w:pPr>
        <w:ind w:left="260" w:right="240" w:hanging="257"/>
        <w:spacing w:after="0" w:line="275" w:lineRule="auto"/>
        <w:tabs>
          <w:tab w:leader="none" w:pos="26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6"/>
          <w:szCs w:val="16"/>
          <w:color w:val="auto"/>
        </w:rPr>
      </w:pPr>
    </w:p>
    <w:p>
      <w:pPr>
        <w:ind w:left="260" w:right="220" w:hanging="257"/>
        <w:spacing w:after="0" w:line="245" w:lineRule="auto"/>
        <w:tabs>
          <w:tab w:leader="none" w:pos="26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7"/>
          <w:szCs w:val="17"/>
          <w:color w:val="auto"/>
        </w:rPr>
      </w:pPr>
    </w:p>
    <w:p>
      <w:pPr>
        <w:ind w:left="260" w:right="60" w:hanging="257"/>
        <w:spacing w:after="0" w:line="349" w:lineRule="auto"/>
        <w:tabs>
          <w:tab w:leader="none" w:pos="260" w:val="left"/>
        </w:tabs>
        <w:numPr>
          <w:ilvl w:val="0"/>
          <w:numId w:val="25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4"/>
          <w:szCs w:val="14"/>
          <w:color w:val="auto"/>
        </w:rPr>
      </w:pPr>
    </w:p>
    <w:p>
      <w:pPr>
        <w:ind w:left="740" w:right="80" w:hanging="241"/>
        <w:spacing w:after="0" w:line="237" w:lineRule="auto"/>
        <w:tabs>
          <w:tab w:leader="none" w:pos="740" w:val="left"/>
        </w:tabs>
        <w:numPr>
          <w:ilvl w:val="1"/>
          <w:numId w:val="25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7"/>
          <w:szCs w:val="17"/>
          <w:color w:val="auto"/>
        </w:rPr>
      </w:pPr>
    </w:p>
    <w:p>
      <w:pPr>
        <w:ind w:left="740" w:right="40" w:hanging="241"/>
        <w:spacing w:after="0" w:line="237" w:lineRule="auto"/>
        <w:tabs>
          <w:tab w:leader="none" w:pos="740" w:val="left"/>
        </w:tabs>
        <w:numPr>
          <w:ilvl w:val="1"/>
          <w:numId w:val="25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7"/>
          <w:szCs w:val="17"/>
          <w:color w:val="auto"/>
        </w:rPr>
      </w:pPr>
    </w:p>
    <w:p>
      <w:pPr>
        <w:ind w:left="740" w:right="480" w:hanging="241"/>
        <w:spacing w:after="0" w:line="275" w:lineRule="auto"/>
        <w:tabs>
          <w:tab w:leader="none" w:pos="74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6"/>
          <w:szCs w:val="16"/>
          <w:color w:val="auto"/>
        </w:rPr>
      </w:pPr>
    </w:p>
    <w:p>
      <w:pPr>
        <w:ind w:left="740" w:right="140" w:hanging="241"/>
        <w:spacing w:after="0" w:line="237" w:lineRule="auto"/>
        <w:tabs>
          <w:tab w:leader="none" w:pos="740" w:val="left"/>
        </w:tabs>
        <w:numPr>
          <w:ilvl w:val="1"/>
          <w:numId w:val="25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7"/>
          <w:szCs w:val="17"/>
          <w:color w:val="auto"/>
        </w:rPr>
      </w:pPr>
    </w:p>
    <w:p>
      <w:pPr>
        <w:ind w:left="260" w:right="160" w:hanging="257"/>
        <w:spacing w:after="0" w:line="245" w:lineRule="auto"/>
        <w:tabs>
          <w:tab w:leader="none" w:pos="26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9" w:lineRule="exact"/>
        <w:rPr>
          <w:rFonts w:ascii="Arial" w:cs="Arial" w:eastAsia="Arial" w:hAnsi="Arial"/>
          <w:sz w:val="17"/>
          <w:szCs w:val="17"/>
          <w:color w:val="auto"/>
        </w:rPr>
      </w:pPr>
    </w:p>
    <w:p>
      <w:pPr>
        <w:ind w:left="740" w:right="660" w:hanging="241"/>
        <w:spacing w:after="0" w:line="245" w:lineRule="auto"/>
        <w:tabs>
          <w:tab w:leader="none" w:pos="740" w:val="left"/>
        </w:tabs>
        <w:numPr>
          <w:ilvl w:val="1"/>
          <w:numId w:val="2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7"/>
          <w:szCs w:val="17"/>
          <w:color w:val="auto"/>
        </w:rPr>
      </w:pPr>
    </w:p>
    <w:p>
      <w:pPr>
        <w:ind w:left="740" w:right="260" w:hanging="241"/>
        <w:spacing w:after="0" w:line="245" w:lineRule="auto"/>
        <w:tabs>
          <w:tab w:leader="none" w:pos="740" w:val="left"/>
        </w:tabs>
        <w:numPr>
          <w:ilvl w:val="1"/>
          <w:numId w:val="25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May 9, 2011</w:t>
      </w:r>
    </w:p>
    <w:p>
      <w:pPr>
        <w:spacing w:after="0" w:line="203" w:lineRule="exact"/>
        <w:rPr>
          <w:sz w:val="20"/>
          <w:szCs w:val="20"/>
          <w:color w:val="auto"/>
        </w:rPr>
      </w:pPr>
    </w:p>
    <w:p>
      <w:pPr>
        <w:ind w:left="10360"/>
        <w:spacing w:after="0"/>
        <w:rPr>
          <w:sz w:val="20"/>
          <w:szCs w:val="20"/>
          <w:color w:val="auto"/>
        </w:rPr>
      </w:pPr>
      <w:r>
        <w:rPr>
          <w:rFonts w:ascii="Arial" w:cs="Arial" w:eastAsia="Arial" w:hAnsi="Arial"/>
          <w:sz w:val="14"/>
          <w:szCs w:val="14"/>
          <w:color w:val="auto"/>
        </w:rPr>
        <w:t>/S/ Mark A. Snell</w:t>
      </w:r>
    </w:p>
    <w:p>
      <w:pPr>
        <w:spacing w:after="0" w:line="15" w:lineRule="exact"/>
        <w:rPr>
          <w:sz w:val="20"/>
          <w:szCs w:val="20"/>
          <w:color w:val="auto"/>
        </w:rPr>
      </w:pPr>
    </w:p>
    <w:p>
      <w:pPr>
        <w:ind w:left="10580"/>
        <w:spacing w:after="0"/>
        <w:rPr>
          <w:sz w:val="20"/>
          <w:szCs w:val="20"/>
          <w:color w:val="auto"/>
        </w:rPr>
      </w:pPr>
      <w:r>
        <w:rPr>
          <w:rFonts w:ascii="Arial" w:cs="Arial" w:eastAsia="Arial" w:hAnsi="Arial"/>
          <w:sz w:val="14"/>
          <w:szCs w:val="14"/>
          <w:color w:val="auto"/>
        </w:rPr>
        <w:t>Mark A.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-101600</wp:posOffset>
            </wp:positionV>
            <wp:extent cx="202819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028190" cy="6350"/>
                    </a:xfrm>
                    <a:prstGeom prst="rect">
                      <a:avLst/>
                    </a:prstGeom>
                    <a:noFill/>
                  </pic:spPr>
                </pic:pic>
              </a:graphicData>
            </a:graphic>
          </wp:anchor>
        </w:drawing>
      </w:r>
    </w:p>
    <w:p>
      <w:pPr>
        <w:ind w:left="10080"/>
        <w:spacing w:after="0"/>
        <w:rPr>
          <w:sz w:val="20"/>
          <w:szCs w:val="20"/>
          <w:color w:val="auto"/>
        </w:rPr>
      </w:pPr>
      <w:r>
        <w:rPr>
          <w:rFonts w:ascii="Arial" w:cs="Arial" w:eastAsia="Arial" w:hAnsi="Arial"/>
          <w:sz w:val="14"/>
          <w:szCs w:val="14"/>
          <w:color w:val="auto"/>
        </w:rPr>
        <w:t>Chief Financial Officer</w:t>
      </w:r>
    </w:p>
    <w:p>
      <w:pPr>
        <w:sectPr>
          <w:pgSz w:w="11900" w:h="16838" w:orient="portrait"/>
          <w:cols w:equalWidth="0" w:num="1">
            <w:col w:w="11460"/>
          </w:cols>
          <w:pgMar w:left="220" w:top="124" w:right="219" w:bottom="1440" w:gutter="0" w:footer="0" w:header="0"/>
        </w:sectPr>
      </w:pPr>
    </w:p>
    <w:bookmarkStart w:id="172" w:name="page173"/>
    <w:bookmarkEnd w:id="172"/>
    <w:p>
      <w:pPr>
        <w:jc w:val="right"/>
        <w:spacing w:after="0"/>
        <w:rPr>
          <w:sz w:val="20"/>
          <w:szCs w:val="20"/>
          <w:color w:val="auto"/>
        </w:rPr>
      </w:pPr>
      <w:r>
        <w:rPr>
          <w:rFonts w:ascii="Arial" w:cs="Arial" w:eastAsia="Arial" w:hAnsi="Arial"/>
          <w:sz w:val="17"/>
          <w:szCs w:val="17"/>
          <w:color w:val="auto"/>
        </w:rPr>
        <w:t>EXHIBIT 31.3</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I, Jessie J. Knight, Jr., certify that:</w:t>
      </w:r>
    </w:p>
    <w:p>
      <w:pPr>
        <w:spacing w:after="0" w:line="197" w:lineRule="exact"/>
        <w:rPr>
          <w:sz w:val="20"/>
          <w:szCs w:val="20"/>
          <w:color w:val="auto"/>
        </w:rPr>
      </w:pPr>
    </w:p>
    <w:p>
      <w:pPr>
        <w:ind w:left="260" w:hanging="257"/>
        <w:spacing w:after="0"/>
        <w:tabs>
          <w:tab w:leader="none" w:pos="2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I have reviewed this report on Form 10-Q of San Diego Gas &amp; Electric Company;</w:t>
      </w:r>
    </w:p>
    <w:p>
      <w:pPr>
        <w:spacing w:after="0" w:line="197" w:lineRule="exact"/>
        <w:rPr>
          <w:rFonts w:ascii="Arial" w:cs="Arial" w:eastAsia="Arial" w:hAnsi="Arial"/>
          <w:sz w:val="17"/>
          <w:szCs w:val="17"/>
          <w:color w:val="auto"/>
        </w:rPr>
      </w:pPr>
    </w:p>
    <w:p>
      <w:pPr>
        <w:ind w:left="260" w:right="240" w:hanging="257"/>
        <w:spacing w:after="0" w:line="275" w:lineRule="auto"/>
        <w:tabs>
          <w:tab w:leader="none" w:pos="26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6"/>
          <w:szCs w:val="16"/>
          <w:color w:val="auto"/>
        </w:rPr>
      </w:pPr>
    </w:p>
    <w:p>
      <w:pPr>
        <w:ind w:left="260" w:right="220" w:hanging="257"/>
        <w:spacing w:after="0" w:line="245" w:lineRule="auto"/>
        <w:tabs>
          <w:tab w:leader="none" w:pos="2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7"/>
          <w:szCs w:val="17"/>
          <w:color w:val="auto"/>
        </w:rPr>
      </w:pPr>
    </w:p>
    <w:p>
      <w:pPr>
        <w:ind w:left="260" w:right="60" w:hanging="257"/>
        <w:spacing w:after="0" w:line="349" w:lineRule="auto"/>
        <w:tabs>
          <w:tab w:leader="none" w:pos="260" w:val="left"/>
        </w:tabs>
        <w:numPr>
          <w:ilvl w:val="0"/>
          <w:numId w:val="25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4"/>
          <w:szCs w:val="14"/>
          <w:color w:val="auto"/>
        </w:rPr>
      </w:pPr>
    </w:p>
    <w:p>
      <w:pPr>
        <w:ind w:left="740" w:right="80" w:hanging="241"/>
        <w:spacing w:after="0" w:line="237" w:lineRule="auto"/>
        <w:tabs>
          <w:tab w:leader="none" w:pos="740" w:val="left"/>
        </w:tabs>
        <w:numPr>
          <w:ilvl w:val="1"/>
          <w:numId w:val="25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7"/>
          <w:szCs w:val="17"/>
          <w:color w:val="auto"/>
        </w:rPr>
      </w:pPr>
    </w:p>
    <w:p>
      <w:pPr>
        <w:ind w:left="740" w:right="40" w:hanging="241"/>
        <w:spacing w:after="0" w:line="237" w:lineRule="auto"/>
        <w:tabs>
          <w:tab w:leader="none" w:pos="740" w:val="left"/>
        </w:tabs>
        <w:numPr>
          <w:ilvl w:val="1"/>
          <w:numId w:val="25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7"/>
          <w:szCs w:val="17"/>
          <w:color w:val="auto"/>
        </w:rPr>
      </w:pPr>
    </w:p>
    <w:p>
      <w:pPr>
        <w:ind w:left="740" w:right="480" w:hanging="241"/>
        <w:spacing w:after="0" w:line="275" w:lineRule="auto"/>
        <w:tabs>
          <w:tab w:leader="none" w:pos="740" w:val="left"/>
        </w:tabs>
        <w:numPr>
          <w:ilvl w:val="1"/>
          <w:numId w:val="2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6"/>
          <w:szCs w:val="16"/>
          <w:color w:val="auto"/>
        </w:rPr>
      </w:pPr>
    </w:p>
    <w:p>
      <w:pPr>
        <w:ind w:left="740" w:right="140" w:hanging="241"/>
        <w:spacing w:after="0" w:line="237" w:lineRule="auto"/>
        <w:tabs>
          <w:tab w:leader="none" w:pos="740" w:val="left"/>
        </w:tabs>
        <w:numPr>
          <w:ilvl w:val="1"/>
          <w:numId w:val="25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7"/>
          <w:szCs w:val="17"/>
          <w:color w:val="auto"/>
        </w:rPr>
      </w:pPr>
    </w:p>
    <w:p>
      <w:pPr>
        <w:ind w:left="260" w:right="160" w:hanging="257"/>
        <w:spacing w:after="0" w:line="245" w:lineRule="auto"/>
        <w:tabs>
          <w:tab w:leader="none" w:pos="2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9" w:lineRule="exact"/>
        <w:rPr>
          <w:rFonts w:ascii="Arial" w:cs="Arial" w:eastAsia="Arial" w:hAnsi="Arial"/>
          <w:sz w:val="17"/>
          <w:szCs w:val="17"/>
          <w:color w:val="auto"/>
        </w:rPr>
      </w:pPr>
    </w:p>
    <w:p>
      <w:pPr>
        <w:ind w:left="740" w:right="660" w:hanging="241"/>
        <w:spacing w:after="0" w:line="245" w:lineRule="auto"/>
        <w:tabs>
          <w:tab w:leader="none" w:pos="740" w:val="left"/>
        </w:tabs>
        <w:numPr>
          <w:ilvl w:val="1"/>
          <w:numId w:val="2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7"/>
          <w:szCs w:val="17"/>
          <w:color w:val="auto"/>
        </w:rPr>
      </w:pPr>
    </w:p>
    <w:p>
      <w:pPr>
        <w:ind w:left="740" w:right="260" w:hanging="241"/>
        <w:spacing w:after="0" w:line="245" w:lineRule="auto"/>
        <w:tabs>
          <w:tab w:leader="none" w:pos="740" w:val="left"/>
        </w:tabs>
        <w:numPr>
          <w:ilvl w:val="1"/>
          <w:numId w:val="25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May 9, 2011</w:t>
      </w:r>
    </w:p>
    <w:p>
      <w:pPr>
        <w:spacing w:after="0" w:line="203" w:lineRule="exact"/>
        <w:rPr>
          <w:sz w:val="20"/>
          <w:szCs w:val="20"/>
          <w:color w:val="auto"/>
        </w:rPr>
      </w:pPr>
    </w:p>
    <w:p>
      <w:pPr>
        <w:ind w:left="10080"/>
        <w:spacing w:after="0"/>
        <w:rPr>
          <w:sz w:val="20"/>
          <w:szCs w:val="20"/>
          <w:color w:val="auto"/>
        </w:rPr>
      </w:pPr>
      <w:r>
        <w:rPr>
          <w:rFonts w:ascii="Arial" w:cs="Arial" w:eastAsia="Arial" w:hAnsi="Arial"/>
          <w:sz w:val="13"/>
          <w:szCs w:val="13"/>
          <w:color w:val="auto"/>
        </w:rPr>
        <w:t>/S/ Jessie J. Knight, Jr</w:t>
      </w:r>
      <w:r>
        <w:rPr>
          <w:rFonts w:ascii="Arial" w:cs="Arial" w:eastAsia="Arial" w:hAnsi="Arial"/>
          <w:sz w:val="13"/>
          <w:szCs w:val="13"/>
          <w:i w:val="1"/>
          <w:iCs w:val="1"/>
          <w:color w:val="auto"/>
        </w:rPr>
        <w:t>.</w:t>
      </w:r>
    </w:p>
    <w:p>
      <w:pPr>
        <w:spacing w:after="0" w:line="26" w:lineRule="exact"/>
        <w:rPr>
          <w:sz w:val="20"/>
          <w:szCs w:val="20"/>
          <w:color w:val="auto"/>
        </w:rPr>
      </w:pPr>
    </w:p>
    <w:p>
      <w:pPr>
        <w:ind w:left="10320"/>
        <w:spacing w:after="0"/>
        <w:rPr>
          <w:sz w:val="20"/>
          <w:szCs w:val="20"/>
          <w:color w:val="auto"/>
        </w:rPr>
      </w:pPr>
      <w:r>
        <w:rPr>
          <w:rFonts w:ascii="Arial" w:cs="Arial" w:eastAsia="Arial" w:hAnsi="Arial"/>
          <w:sz w:val="13"/>
          <w:szCs w:val="13"/>
          <w:color w:val="auto"/>
        </w:rPr>
        <w:t>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5173345</wp:posOffset>
            </wp:positionH>
            <wp:positionV relativeFrom="paragraph">
              <wp:posOffset>-93980</wp:posOffset>
            </wp:positionV>
            <wp:extent cx="210693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06930" cy="6350"/>
                    </a:xfrm>
                    <a:prstGeom prst="rect">
                      <a:avLst/>
                    </a:prstGeom>
                    <a:noFill/>
                  </pic:spPr>
                </pic:pic>
              </a:graphicData>
            </a:graphic>
          </wp:anchor>
        </w:drawing>
      </w:r>
    </w:p>
    <w:p>
      <w:pPr>
        <w:spacing w:after="0" w:line="5" w:lineRule="exact"/>
        <w:rPr>
          <w:sz w:val="20"/>
          <w:szCs w:val="20"/>
          <w:color w:val="auto"/>
        </w:rPr>
      </w:pPr>
    </w:p>
    <w:p>
      <w:pPr>
        <w:ind w:left="10040"/>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460"/>
          </w:cols>
          <w:pgMar w:left="220" w:top="124" w:right="219" w:bottom="1440" w:gutter="0" w:footer="0" w:header="0"/>
        </w:sectPr>
      </w:pPr>
    </w:p>
    <w:bookmarkStart w:id="173" w:name="page174"/>
    <w:bookmarkEnd w:id="173"/>
    <w:p>
      <w:pPr>
        <w:jc w:val="right"/>
        <w:spacing w:after="0"/>
        <w:rPr>
          <w:sz w:val="20"/>
          <w:szCs w:val="20"/>
          <w:color w:val="auto"/>
        </w:rPr>
      </w:pPr>
      <w:r>
        <w:rPr>
          <w:rFonts w:ascii="Arial" w:cs="Arial" w:eastAsia="Arial" w:hAnsi="Arial"/>
          <w:sz w:val="17"/>
          <w:szCs w:val="17"/>
          <w:color w:val="auto"/>
        </w:rPr>
        <w:t>EXHIBIT 31.4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I, Robert M. Schlax, certify that:</w:t>
      </w:r>
    </w:p>
    <w:p>
      <w:pPr>
        <w:spacing w:after="0" w:line="197" w:lineRule="exact"/>
        <w:rPr>
          <w:sz w:val="20"/>
          <w:szCs w:val="20"/>
          <w:color w:val="auto"/>
        </w:rPr>
      </w:pPr>
    </w:p>
    <w:p>
      <w:pPr>
        <w:ind w:left="260" w:hanging="257"/>
        <w:spacing w:after="0"/>
        <w:tabs>
          <w:tab w:leader="none" w:pos="2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I have reviewed this report on Form 10-Q of San Diego Gas &amp; Electric Company;</w:t>
      </w:r>
    </w:p>
    <w:p>
      <w:pPr>
        <w:spacing w:after="0" w:line="197" w:lineRule="exact"/>
        <w:rPr>
          <w:rFonts w:ascii="Arial" w:cs="Arial" w:eastAsia="Arial" w:hAnsi="Arial"/>
          <w:sz w:val="17"/>
          <w:szCs w:val="17"/>
          <w:color w:val="auto"/>
        </w:rPr>
      </w:pPr>
    </w:p>
    <w:p>
      <w:pPr>
        <w:ind w:left="260" w:right="240" w:hanging="257"/>
        <w:spacing w:after="0" w:line="275" w:lineRule="auto"/>
        <w:tabs>
          <w:tab w:leader="none" w:pos="26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6"/>
          <w:szCs w:val="16"/>
          <w:color w:val="auto"/>
        </w:rPr>
      </w:pPr>
    </w:p>
    <w:p>
      <w:pPr>
        <w:ind w:left="260" w:right="220" w:hanging="257"/>
        <w:spacing w:after="0" w:line="245" w:lineRule="auto"/>
        <w:tabs>
          <w:tab w:leader="none" w:pos="2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7"/>
          <w:szCs w:val="17"/>
          <w:color w:val="auto"/>
        </w:rPr>
      </w:pPr>
    </w:p>
    <w:p>
      <w:pPr>
        <w:ind w:left="260" w:right="60" w:hanging="257"/>
        <w:spacing w:after="0" w:line="349" w:lineRule="auto"/>
        <w:tabs>
          <w:tab w:leader="none" w:pos="260" w:val="left"/>
        </w:tabs>
        <w:numPr>
          <w:ilvl w:val="0"/>
          <w:numId w:val="25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4"/>
          <w:szCs w:val="14"/>
          <w:color w:val="auto"/>
        </w:rPr>
      </w:pPr>
    </w:p>
    <w:p>
      <w:pPr>
        <w:ind w:left="740" w:right="80" w:hanging="241"/>
        <w:spacing w:after="0" w:line="237" w:lineRule="auto"/>
        <w:tabs>
          <w:tab w:leader="none" w:pos="740" w:val="left"/>
        </w:tabs>
        <w:numPr>
          <w:ilvl w:val="1"/>
          <w:numId w:val="25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7"/>
          <w:szCs w:val="17"/>
          <w:color w:val="auto"/>
        </w:rPr>
      </w:pPr>
    </w:p>
    <w:p>
      <w:pPr>
        <w:ind w:left="740" w:right="40" w:hanging="241"/>
        <w:spacing w:after="0" w:line="237" w:lineRule="auto"/>
        <w:tabs>
          <w:tab w:leader="none" w:pos="740" w:val="left"/>
        </w:tabs>
        <w:numPr>
          <w:ilvl w:val="1"/>
          <w:numId w:val="25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7"/>
          <w:szCs w:val="17"/>
          <w:color w:val="auto"/>
        </w:rPr>
      </w:pPr>
    </w:p>
    <w:p>
      <w:pPr>
        <w:ind w:left="740" w:right="480" w:hanging="241"/>
        <w:spacing w:after="0" w:line="275" w:lineRule="auto"/>
        <w:tabs>
          <w:tab w:leader="none" w:pos="740" w:val="left"/>
        </w:tabs>
        <w:numPr>
          <w:ilvl w:val="1"/>
          <w:numId w:val="2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6"/>
          <w:szCs w:val="16"/>
          <w:color w:val="auto"/>
        </w:rPr>
      </w:pPr>
    </w:p>
    <w:p>
      <w:pPr>
        <w:ind w:left="740" w:right="140" w:hanging="241"/>
        <w:spacing w:after="0" w:line="237" w:lineRule="auto"/>
        <w:tabs>
          <w:tab w:leader="none" w:pos="740" w:val="left"/>
        </w:tabs>
        <w:numPr>
          <w:ilvl w:val="1"/>
          <w:numId w:val="25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7"/>
          <w:szCs w:val="17"/>
          <w:color w:val="auto"/>
        </w:rPr>
      </w:pPr>
    </w:p>
    <w:p>
      <w:pPr>
        <w:ind w:left="260" w:right="160" w:hanging="257"/>
        <w:spacing w:after="0" w:line="245" w:lineRule="auto"/>
        <w:tabs>
          <w:tab w:leader="none" w:pos="2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9" w:lineRule="exact"/>
        <w:rPr>
          <w:rFonts w:ascii="Arial" w:cs="Arial" w:eastAsia="Arial" w:hAnsi="Arial"/>
          <w:sz w:val="17"/>
          <w:szCs w:val="17"/>
          <w:color w:val="auto"/>
        </w:rPr>
      </w:pPr>
    </w:p>
    <w:p>
      <w:pPr>
        <w:ind w:left="740" w:right="660" w:hanging="241"/>
        <w:spacing w:after="0" w:line="245" w:lineRule="auto"/>
        <w:tabs>
          <w:tab w:leader="none" w:pos="740" w:val="left"/>
        </w:tabs>
        <w:numPr>
          <w:ilvl w:val="1"/>
          <w:numId w:val="2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7"/>
          <w:szCs w:val="17"/>
          <w:color w:val="auto"/>
        </w:rPr>
      </w:pPr>
    </w:p>
    <w:p>
      <w:pPr>
        <w:ind w:left="740" w:right="260" w:hanging="241"/>
        <w:spacing w:after="0" w:line="245" w:lineRule="auto"/>
        <w:tabs>
          <w:tab w:leader="none" w:pos="740" w:val="left"/>
        </w:tabs>
        <w:numPr>
          <w:ilvl w:val="1"/>
          <w:numId w:val="25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May 9, 2011</w:t>
      </w:r>
    </w:p>
    <w:p>
      <w:pPr>
        <w:spacing w:after="0" w:line="203" w:lineRule="exact"/>
        <w:rPr>
          <w:sz w:val="20"/>
          <w:szCs w:val="20"/>
          <w:color w:val="auto"/>
        </w:rPr>
      </w:pPr>
    </w:p>
    <w:p>
      <w:pPr>
        <w:ind w:left="10160"/>
        <w:spacing w:after="0"/>
        <w:rPr>
          <w:sz w:val="20"/>
          <w:szCs w:val="20"/>
          <w:color w:val="auto"/>
        </w:rPr>
      </w:pPr>
      <w:r>
        <w:rPr>
          <w:rFonts w:ascii="Arial" w:cs="Arial" w:eastAsia="Arial" w:hAnsi="Arial"/>
          <w:sz w:val="14"/>
          <w:szCs w:val="14"/>
          <w:color w:val="auto"/>
        </w:rPr>
        <w:t>/S/ Robert M. Schlax</w:t>
      </w:r>
    </w:p>
    <w:p>
      <w:pPr>
        <w:spacing w:after="0" w:line="15" w:lineRule="exact"/>
        <w:rPr>
          <w:sz w:val="20"/>
          <w:szCs w:val="20"/>
          <w:color w:val="auto"/>
        </w:rPr>
      </w:pPr>
    </w:p>
    <w:p>
      <w:pPr>
        <w:ind w:left="10400"/>
        <w:spacing w:after="0"/>
        <w:rPr>
          <w:sz w:val="20"/>
          <w:szCs w:val="20"/>
          <w:color w:val="auto"/>
        </w:rPr>
      </w:pPr>
      <w:r>
        <w:rPr>
          <w:rFonts w:ascii="Arial" w:cs="Arial" w:eastAsia="Arial" w:hAnsi="Arial"/>
          <w:sz w:val="13"/>
          <w:szCs w:val="13"/>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-93980</wp:posOffset>
            </wp:positionV>
            <wp:extent cx="198882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988820" cy="6350"/>
                    </a:xfrm>
                    <a:prstGeom prst="rect">
                      <a:avLst/>
                    </a:prstGeom>
                    <a:noFill/>
                  </pic:spPr>
                </pic:pic>
              </a:graphicData>
            </a:graphic>
          </wp:anchor>
        </w:drawing>
      </w:r>
    </w:p>
    <w:p>
      <w:pPr>
        <w:spacing w:after="0" w:line="5" w:lineRule="exact"/>
        <w:rPr>
          <w:sz w:val="20"/>
          <w:szCs w:val="20"/>
          <w:color w:val="auto"/>
        </w:rPr>
      </w:pPr>
    </w:p>
    <w:p>
      <w:pPr>
        <w:ind w:left="10080"/>
        <w:spacing w:after="0"/>
        <w:rPr>
          <w:sz w:val="20"/>
          <w:szCs w:val="20"/>
          <w:color w:val="auto"/>
        </w:rPr>
      </w:pPr>
      <w:r>
        <w:rPr>
          <w:rFonts w:ascii="Arial" w:cs="Arial" w:eastAsia="Arial" w:hAnsi="Arial"/>
          <w:sz w:val="14"/>
          <w:szCs w:val="14"/>
          <w:color w:val="auto"/>
        </w:rPr>
        <w:t>Chief Financial Officer</w:t>
      </w:r>
    </w:p>
    <w:p>
      <w:pPr>
        <w:sectPr>
          <w:pgSz w:w="11900" w:h="16838" w:orient="portrait"/>
          <w:cols w:equalWidth="0" w:num="1">
            <w:col w:w="11460"/>
          </w:cols>
          <w:pgMar w:left="220" w:top="124" w:right="219" w:bottom="1440" w:gutter="0" w:footer="0" w:header="0"/>
        </w:sectPr>
      </w:pPr>
    </w:p>
    <w:bookmarkStart w:id="174" w:name="page175"/>
    <w:bookmarkEnd w:id="174"/>
    <w:p>
      <w:pPr>
        <w:jc w:val="right"/>
        <w:spacing w:after="0"/>
        <w:rPr>
          <w:sz w:val="20"/>
          <w:szCs w:val="20"/>
          <w:color w:val="auto"/>
        </w:rPr>
      </w:pPr>
      <w:r>
        <w:rPr>
          <w:rFonts w:ascii="Arial" w:cs="Arial" w:eastAsia="Arial" w:hAnsi="Arial"/>
          <w:sz w:val="17"/>
          <w:szCs w:val="17"/>
          <w:color w:val="auto"/>
        </w:rPr>
        <w:t>EXHIBIT 31.5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I, Michael W. Allman, certify that:</w:t>
      </w:r>
    </w:p>
    <w:p>
      <w:pPr>
        <w:spacing w:after="0" w:line="197" w:lineRule="exact"/>
        <w:rPr>
          <w:sz w:val="20"/>
          <w:szCs w:val="20"/>
          <w:color w:val="auto"/>
        </w:rPr>
      </w:pPr>
    </w:p>
    <w:p>
      <w:pPr>
        <w:ind w:left="260" w:hanging="257"/>
        <w:spacing w:after="0"/>
        <w:tabs>
          <w:tab w:leader="none" w:pos="26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I have reviewed this report on Form 10-Q of Pacific Enterprises;</w:t>
      </w:r>
    </w:p>
    <w:p>
      <w:pPr>
        <w:spacing w:after="0" w:line="197" w:lineRule="exact"/>
        <w:rPr>
          <w:rFonts w:ascii="Arial" w:cs="Arial" w:eastAsia="Arial" w:hAnsi="Arial"/>
          <w:sz w:val="17"/>
          <w:szCs w:val="17"/>
          <w:color w:val="auto"/>
        </w:rPr>
      </w:pPr>
    </w:p>
    <w:p>
      <w:pPr>
        <w:ind w:left="260" w:right="240" w:hanging="257"/>
        <w:spacing w:after="0" w:line="275" w:lineRule="auto"/>
        <w:tabs>
          <w:tab w:leader="none" w:pos="26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6"/>
          <w:szCs w:val="16"/>
          <w:color w:val="auto"/>
        </w:rPr>
      </w:pPr>
    </w:p>
    <w:p>
      <w:pPr>
        <w:ind w:left="260" w:right="220" w:hanging="257"/>
        <w:spacing w:after="0" w:line="245" w:lineRule="auto"/>
        <w:tabs>
          <w:tab w:leader="none" w:pos="26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7"/>
          <w:szCs w:val="17"/>
          <w:color w:val="auto"/>
        </w:rPr>
      </w:pPr>
    </w:p>
    <w:p>
      <w:pPr>
        <w:ind w:left="260" w:right="60" w:hanging="257"/>
        <w:spacing w:after="0" w:line="349" w:lineRule="auto"/>
        <w:tabs>
          <w:tab w:leader="none" w:pos="260" w:val="left"/>
        </w:tabs>
        <w:numPr>
          <w:ilvl w:val="0"/>
          <w:numId w:val="25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4"/>
          <w:szCs w:val="14"/>
          <w:color w:val="auto"/>
        </w:rPr>
      </w:pPr>
    </w:p>
    <w:p>
      <w:pPr>
        <w:ind w:left="740" w:right="80" w:hanging="241"/>
        <w:spacing w:after="0" w:line="237" w:lineRule="auto"/>
        <w:tabs>
          <w:tab w:leader="none" w:pos="740" w:val="left"/>
        </w:tabs>
        <w:numPr>
          <w:ilvl w:val="1"/>
          <w:numId w:val="25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7"/>
          <w:szCs w:val="17"/>
          <w:color w:val="auto"/>
        </w:rPr>
      </w:pPr>
    </w:p>
    <w:p>
      <w:pPr>
        <w:ind w:left="740" w:right="40" w:hanging="241"/>
        <w:spacing w:after="0" w:line="237" w:lineRule="auto"/>
        <w:tabs>
          <w:tab w:leader="none" w:pos="740" w:val="left"/>
        </w:tabs>
        <w:numPr>
          <w:ilvl w:val="1"/>
          <w:numId w:val="25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7"/>
          <w:szCs w:val="17"/>
          <w:color w:val="auto"/>
        </w:rPr>
      </w:pPr>
    </w:p>
    <w:p>
      <w:pPr>
        <w:ind w:left="740" w:right="480" w:hanging="241"/>
        <w:spacing w:after="0" w:line="275" w:lineRule="auto"/>
        <w:tabs>
          <w:tab w:leader="none" w:pos="740" w:val="left"/>
        </w:tabs>
        <w:numPr>
          <w:ilvl w:val="1"/>
          <w:numId w:val="2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6"/>
          <w:szCs w:val="16"/>
          <w:color w:val="auto"/>
        </w:rPr>
      </w:pPr>
    </w:p>
    <w:p>
      <w:pPr>
        <w:ind w:left="740" w:right="140" w:hanging="241"/>
        <w:spacing w:after="0" w:line="237" w:lineRule="auto"/>
        <w:tabs>
          <w:tab w:leader="none" w:pos="740" w:val="left"/>
        </w:tabs>
        <w:numPr>
          <w:ilvl w:val="1"/>
          <w:numId w:val="25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7"/>
          <w:szCs w:val="17"/>
          <w:color w:val="auto"/>
        </w:rPr>
      </w:pPr>
    </w:p>
    <w:p>
      <w:pPr>
        <w:ind w:left="260" w:right="160" w:hanging="257"/>
        <w:spacing w:after="0" w:line="245" w:lineRule="auto"/>
        <w:tabs>
          <w:tab w:leader="none" w:pos="26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9" w:lineRule="exact"/>
        <w:rPr>
          <w:rFonts w:ascii="Arial" w:cs="Arial" w:eastAsia="Arial" w:hAnsi="Arial"/>
          <w:sz w:val="17"/>
          <w:szCs w:val="17"/>
          <w:color w:val="auto"/>
        </w:rPr>
      </w:pPr>
    </w:p>
    <w:p>
      <w:pPr>
        <w:ind w:left="740" w:right="660" w:hanging="241"/>
        <w:spacing w:after="0" w:line="245" w:lineRule="auto"/>
        <w:tabs>
          <w:tab w:leader="none" w:pos="740" w:val="left"/>
        </w:tabs>
        <w:numPr>
          <w:ilvl w:val="1"/>
          <w:numId w:val="25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7"/>
          <w:szCs w:val="17"/>
          <w:color w:val="auto"/>
        </w:rPr>
      </w:pPr>
    </w:p>
    <w:p>
      <w:pPr>
        <w:ind w:left="740" w:right="260" w:hanging="241"/>
        <w:spacing w:after="0" w:line="245" w:lineRule="auto"/>
        <w:tabs>
          <w:tab w:leader="none" w:pos="740" w:val="left"/>
        </w:tabs>
        <w:numPr>
          <w:ilvl w:val="1"/>
          <w:numId w:val="25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May 9, 2011</w:t>
      </w:r>
    </w:p>
    <w:p>
      <w:pPr>
        <w:spacing w:after="0" w:line="203" w:lineRule="exact"/>
        <w:rPr>
          <w:sz w:val="20"/>
          <w:szCs w:val="20"/>
          <w:color w:val="auto"/>
        </w:rPr>
      </w:pPr>
    </w:p>
    <w:p>
      <w:pPr>
        <w:ind w:left="10060"/>
        <w:spacing w:after="0"/>
        <w:rPr>
          <w:sz w:val="20"/>
          <w:szCs w:val="20"/>
          <w:color w:val="auto"/>
        </w:rPr>
      </w:pPr>
      <w:r>
        <w:rPr>
          <w:rFonts w:ascii="Arial" w:cs="Arial" w:eastAsia="Arial" w:hAnsi="Arial"/>
          <w:sz w:val="14"/>
          <w:szCs w:val="14"/>
          <w:color w:val="auto"/>
        </w:rPr>
        <w:t>/S/ Michael W. Allman</w:t>
      </w:r>
    </w:p>
    <w:p>
      <w:pPr>
        <w:spacing w:after="0" w:line="15" w:lineRule="exact"/>
        <w:rPr>
          <w:sz w:val="20"/>
          <w:szCs w:val="20"/>
          <w:color w:val="auto"/>
        </w:rPr>
      </w:pPr>
    </w:p>
    <w:p>
      <w:pPr>
        <w:ind w:left="10280"/>
        <w:spacing w:after="0"/>
        <w:rPr>
          <w:sz w:val="20"/>
          <w:szCs w:val="20"/>
          <w:color w:val="auto"/>
        </w:rPr>
      </w:pPr>
      <w:r>
        <w:rPr>
          <w:rFonts w:ascii="Arial" w:cs="Arial" w:eastAsia="Arial" w:hAnsi="Arial"/>
          <w:sz w:val="14"/>
          <w:szCs w:val="14"/>
          <w:color w:val="auto"/>
        </w:rPr>
        <w:t>Michael W. 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5528310</wp:posOffset>
            </wp:positionH>
            <wp:positionV relativeFrom="paragraph">
              <wp:posOffset>-101600</wp:posOffset>
            </wp:positionV>
            <wp:extent cx="175260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52600" cy="6350"/>
                    </a:xfrm>
                    <a:prstGeom prst="rect">
                      <a:avLst/>
                    </a:prstGeom>
                    <a:noFill/>
                  </pic:spPr>
                </pic:pic>
              </a:graphicData>
            </a:graphic>
          </wp:anchor>
        </w:drawing>
      </w:r>
    </w:p>
    <w:p>
      <w:pPr>
        <w:ind w:left="10040"/>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460"/>
          </w:cols>
          <w:pgMar w:left="220" w:top="124" w:right="219" w:bottom="1440" w:gutter="0" w:footer="0" w:header="0"/>
        </w:sectPr>
      </w:pPr>
    </w:p>
    <w:bookmarkStart w:id="175" w:name="page176"/>
    <w:bookmarkEnd w:id="175"/>
    <w:p>
      <w:pPr>
        <w:jc w:val="right"/>
        <w:spacing w:after="0"/>
        <w:rPr>
          <w:sz w:val="20"/>
          <w:szCs w:val="20"/>
          <w:color w:val="auto"/>
        </w:rPr>
      </w:pPr>
      <w:r>
        <w:rPr>
          <w:rFonts w:ascii="Arial" w:cs="Arial" w:eastAsia="Arial" w:hAnsi="Arial"/>
          <w:sz w:val="17"/>
          <w:szCs w:val="17"/>
          <w:color w:val="auto"/>
        </w:rPr>
        <w:t>EXHIBIT 31.6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I, Robert M. Schlax, certify that:</w:t>
      </w:r>
    </w:p>
    <w:p>
      <w:pPr>
        <w:spacing w:after="0" w:line="197" w:lineRule="exact"/>
        <w:rPr>
          <w:sz w:val="20"/>
          <w:szCs w:val="20"/>
          <w:color w:val="auto"/>
        </w:rPr>
      </w:pPr>
    </w:p>
    <w:p>
      <w:pPr>
        <w:ind w:left="260" w:hanging="257"/>
        <w:spacing w:after="0"/>
        <w:tabs>
          <w:tab w:leader="none" w:pos="26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I have reviewed this report on Form 10-Q of Pacific Enterprises;</w:t>
      </w:r>
    </w:p>
    <w:p>
      <w:pPr>
        <w:spacing w:after="0" w:line="197" w:lineRule="exact"/>
        <w:rPr>
          <w:rFonts w:ascii="Arial" w:cs="Arial" w:eastAsia="Arial" w:hAnsi="Arial"/>
          <w:sz w:val="17"/>
          <w:szCs w:val="17"/>
          <w:color w:val="auto"/>
        </w:rPr>
      </w:pPr>
    </w:p>
    <w:p>
      <w:pPr>
        <w:ind w:left="260" w:right="240" w:hanging="257"/>
        <w:spacing w:after="0" w:line="275" w:lineRule="auto"/>
        <w:tabs>
          <w:tab w:leader="none" w:pos="26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6"/>
          <w:szCs w:val="16"/>
          <w:color w:val="auto"/>
        </w:rPr>
      </w:pPr>
    </w:p>
    <w:p>
      <w:pPr>
        <w:ind w:left="260" w:right="220" w:hanging="257"/>
        <w:spacing w:after="0" w:line="245" w:lineRule="auto"/>
        <w:tabs>
          <w:tab w:leader="none" w:pos="26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7"/>
          <w:szCs w:val="17"/>
          <w:color w:val="auto"/>
        </w:rPr>
      </w:pPr>
    </w:p>
    <w:p>
      <w:pPr>
        <w:ind w:left="260" w:right="60" w:hanging="257"/>
        <w:spacing w:after="0" w:line="349" w:lineRule="auto"/>
        <w:tabs>
          <w:tab w:leader="none" w:pos="260" w:val="left"/>
        </w:tabs>
        <w:numPr>
          <w:ilvl w:val="0"/>
          <w:numId w:val="26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4"/>
          <w:szCs w:val="14"/>
          <w:color w:val="auto"/>
        </w:rPr>
      </w:pPr>
    </w:p>
    <w:p>
      <w:pPr>
        <w:ind w:left="740" w:right="80" w:hanging="241"/>
        <w:spacing w:after="0" w:line="237" w:lineRule="auto"/>
        <w:tabs>
          <w:tab w:leader="none" w:pos="740" w:val="left"/>
        </w:tabs>
        <w:numPr>
          <w:ilvl w:val="1"/>
          <w:numId w:val="26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7"/>
          <w:szCs w:val="17"/>
          <w:color w:val="auto"/>
        </w:rPr>
      </w:pPr>
    </w:p>
    <w:p>
      <w:pPr>
        <w:ind w:left="740" w:right="40" w:hanging="241"/>
        <w:spacing w:after="0" w:line="237" w:lineRule="auto"/>
        <w:tabs>
          <w:tab w:leader="none" w:pos="740" w:val="left"/>
        </w:tabs>
        <w:numPr>
          <w:ilvl w:val="1"/>
          <w:numId w:val="26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7"/>
          <w:szCs w:val="17"/>
          <w:color w:val="auto"/>
        </w:rPr>
      </w:pPr>
    </w:p>
    <w:p>
      <w:pPr>
        <w:ind w:left="740" w:right="480" w:hanging="241"/>
        <w:spacing w:after="0" w:line="275" w:lineRule="auto"/>
        <w:tabs>
          <w:tab w:leader="none" w:pos="740" w:val="left"/>
        </w:tabs>
        <w:numPr>
          <w:ilvl w:val="1"/>
          <w:numId w:val="2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6"/>
          <w:szCs w:val="16"/>
          <w:color w:val="auto"/>
        </w:rPr>
      </w:pPr>
    </w:p>
    <w:p>
      <w:pPr>
        <w:ind w:left="740" w:right="140" w:hanging="241"/>
        <w:spacing w:after="0" w:line="237" w:lineRule="auto"/>
        <w:tabs>
          <w:tab w:leader="none" w:pos="740" w:val="left"/>
        </w:tabs>
        <w:numPr>
          <w:ilvl w:val="1"/>
          <w:numId w:val="26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7"/>
          <w:szCs w:val="17"/>
          <w:color w:val="auto"/>
        </w:rPr>
      </w:pPr>
    </w:p>
    <w:p>
      <w:pPr>
        <w:ind w:left="260" w:right="160" w:hanging="257"/>
        <w:spacing w:after="0" w:line="245" w:lineRule="auto"/>
        <w:tabs>
          <w:tab w:leader="none" w:pos="26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9" w:lineRule="exact"/>
        <w:rPr>
          <w:rFonts w:ascii="Arial" w:cs="Arial" w:eastAsia="Arial" w:hAnsi="Arial"/>
          <w:sz w:val="17"/>
          <w:szCs w:val="17"/>
          <w:color w:val="auto"/>
        </w:rPr>
      </w:pPr>
    </w:p>
    <w:p>
      <w:pPr>
        <w:ind w:left="740" w:right="660" w:hanging="241"/>
        <w:spacing w:after="0" w:line="245" w:lineRule="auto"/>
        <w:tabs>
          <w:tab w:leader="none" w:pos="740" w:val="left"/>
        </w:tabs>
        <w:numPr>
          <w:ilvl w:val="1"/>
          <w:numId w:val="2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7"/>
          <w:szCs w:val="17"/>
          <w:color w:val="auto"/>
        </w:rPr>
      </w:pPr>
    </w:p>
    <w:p>
      <w:pPr>
        <w:ind w:left="740" w:right="260" w:hanging="241"/>
        <w:spacing w:after="0" w:line="245" w:lineRule="auto"/>
        <w:tabs>
          <w:tab w:leader="none" w:pos="740" w:val="left"/>
        </w:tabs>
        <w:numPr>
          <w:ilvl w:val="1"/>
          <w:numId w:val="26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May 9, 2011</w:t>
      </w:r>
    </w:p>
    <w:p>
      <w:pPr>
        <w:spacing w:after="0" w:line="203" w:lineRule="exact"/>
        <w:rPr>
          <w:sz w:val="20"/>
          <w:szCs w:val="20"/>
          <w:color w:val="auto"/>
        </w:rPr>
      </w:pPr>
    </w:p>
    <w:p>
      <w:pPr>
        <w:ind w:left="10160"/>
        <w:spacing w:after="0"/>
        <w:rPr>
          <w:sz w:val="20"/>
          <w:szCs w:val="20"/>
          <w:color w:val="auto"/>
        </w:rPr>
      </w:pPr>
      <w:r>
        <w:rPr>
          <w:rFonts w:ascii="Arial" w:cs="Arial" w:eastAsia="Arial" w:hAnsi="Arial"/>
          <w:sz w:val="14"/>
          <w:szCs w:val="14"/>
          <w:color w:val="auto"/>
        </w:rPr>
        <w:t>/S/ Robert M. Schlax</w:t>
      </w:r>
    </w:p>
    <w:p>
      <w:pPr>
        <w:spacing w:after="0" w:line="15" w:lineRule="exact"/>
        <w:rPr>
          <w:sz w:val="20"/>
          <w:szCs w:val="20"/>
          <w:color w:val="auto"/>
        </w:rPr>
      </w:pPr>
    </w:p>
    <w:p>
      <w:pPr>
        <w:ind w:left="10400"/>
        <w:spacing w:after="0"/>
        <w:rPr>
          <w:sz w:val="20"/>
          <w:szCs w:val="20"/>
          <w:color w:val="auto"/>
        </w:rPr>
      </w:pPr>
      <w:r>
        <w:rPr>
          <w:rFonts w:ascii="Arial" w:cs="Arial" w:eastAsia="Arial" w:hAnsi="Arial"/>
          <w:sz w:val="13"/>
          <w:szCs w:val="13"/>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5685790</wp:posOffset>
            </wp:positionH>
            <wp:positionV relativeFrom="paragraph">
              <wp:posOffset>-93980</wp:posOffset>
            </wp:positionV>
            <wp:extent cx="159512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95120" cy="6350"/>
                    </a:xfrm>
                    <a:prstGeom prst="rect">
                      <a:avLst/>
                    </a:prstGeom>
                    <a:noFill/>
                  </pic:spPr>
                </pic:pic>
              </a:graphicData>
            </a:graphic>
          </wp:anchor>
        </w:drawing>
      </w:r>
    </w:p>
    <w:p>
      <w:pPr>
        <w:spacing w:after="0" w:line="5" w:lineRule="exact"/>
        <w:rPr>
          <w:sz w:val="20"/>
          <w:szCs w:val="20"/>
          <w:color w:val="auto"/>
        </w:rPr>
      </w:pPr>
    </w:p>
    <w:p>
      <w:pPr>
        <w:ind w:left="10080"/>
        <w:spacing w:after="0"/>
        <w:rPr>
          <w:sz w:val="20"/>
          <w:szCs w:val="20"/>
          <w:color w:val="auto"/>
        </w:rPr>
      </w:pPr>
      <w:r>
        <w:rPr>
          <w:rFonts w:ascii="Arial" w:cs="Arial" w:eastAsia="Arial" w:hAnsi="Arial"/>
          <w:sz w:val="14"/>
          <w:szCs w:val="14"/>
          <w:color w:val="auto"/>
        </w:rPr>
        <w:t>Chief Financial Officer</w:t>
      </w:r>
    </w:p>
    <w:p>
      <w:pPr>
        <w:sectPr>
          <w:pgSz w:w="11900" w:h="16838" w:orient="portrait"/>
          <w:cols w:equalWidth="0" w:num="1">
            <w:col w:w="11460"/>
          </w:cols>
          <w:pgMar w:left="220" w:top="124" w:right="219" w:bottom="1440" w:gutter="0" w:footer="0" w:header="0"/>
        </w:sectPr>
      </w:pPr>
    </w:p>
    <w:bookmarkStart w:id="176" w:name="page177"/>
    <w:bookmarkEnd w:id="176"/>
    <w:p>
      <w:pPr>
        <w:jc w:val="right"/>
        <w:spacing w:after="0"/>
        <w:rPr>
          <w:sz w:val="20"/>
          <w:szCs w:val="20"/>
          <w:color w:val="auto"/>
        </w:rPr>
      </w:pPr>
      <w:r>
        <w:rPr>
          <w:rFonts w:ascii="Arial" w:cs="Arial" w:eastAsia="Arial" w:hAnsi="Arial"/>
          <w:sz w:val="17"/>
          <w:szCs w:val="17"/>
          <w:color w:val="auto"/>
        </w:rPr>
        <w:t>EXHIBIT 31.7</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I, Michael W. Allman, certify that:</w:t>
      </w:r>
    </w:p>
    <w:p>
      <w:pPr>
        <w:spacing w:after="0" w:line="197" w:lineRule="exact"/>
        <w:rPr>
          <w:sz w:val="20"/>
          <w:szCs w:val="20"/>
          <w:color w:val="auto"/>
        </w:rPr>
      </w:pPr>
    </w:p>
    <w:p>
      <w:pPr>
        <w:ind w:left="260" w:hanging="257"/>
        <w:spacing w:after="0"/>
        <w:tabs>
          <w:tab w:leader="none" w:pos="2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I have reviewed this report on Form 10-Q of Southern California Gas Company;</w:t>
      </w:r>
    </w:p>
    <w:p>
      <w:pPr>
        <w:spacing w:after="0" w:line="197" w:lineRule="exact"/>
        <w:rPr>
          <w:rFonts w:ascii="Arial" w:cs="Arial" w:eastAsia="Arial" w:hAnsi="Arial"/>
          <w:sz w:val="17"/>
          <w:szCs w:val="17"/>
          <w:color w:val="auto"/>
        </w:rPr>
      </w:pPr>
    </w:p>
    <w:p>
      <w:pPr>
        <w:ind w:left="260" w:right="240" w:hanging="257"/>
        <w:spacing w:after="0" w:line="275" w:lineRule="auto"/>
        <w:tabs>
          <w:tab w:leader="none" w:pos="2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6"/>
          <w:szCs w:val="16"/>
          <w:color w:val="auto"/>
        </w:rPr>
      </w:pPr>
    </w:p>
    <w:p>
      <w:pPr>
        <w:ind w:left="260" w:right="220" w:hanging="257"/>
        <w:spacing w:after="0" w:line="245" w:lineRule="auto"/>
        <w:tabs>
          <w:tab w:leader="none" w:pos="2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7"/>
          <w:szCs w:val="17"/>
          <w:color w:val="auto"/>
        </w:rPr>
      </w:pPr>
    </w:p>
    <w:p>
      <w:pPr>
        <w:ind w:left="260" w:right="60" w:hanging="257"/>
        <w:spacing w:after="0" w:line="349" w:lineRule="auto"/>
        <w:tabs>
          <w:tab w:leader="none" w:pos="260" w:val="left"/>
        </w:tabs>
        <w:numPr>
          <w:ilvl w:val="0"/>
          <w:numId w:val="26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4"/>
          <w:szCs w:val="14"/>
          <w:color w:val="auto"/>
        </w:rPr>
      </w:pPr>
    </w:p>
    <w:p>
      <w:pPr>
        <w:ind w:left="740" w:right="80" w:hanging="241"/>
        <w:spacing w:after="0" w:line="237" w:lineRule="auto"/>
        <w:tabs>
          <w:tab w:leader="none" w:pos="74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7"/>
          <w:szCs w:val="17"/>
          <w:color w:val="auto"/>
        </w:rPr>
      </w:pPr>
    </w:p>
    <w:p>
      <w:pPr>
        <w:ind w:left="740" w:right="40" w:hanging="241"/>
        <w:spacing w:after="0" w:line="237" w:lineRule="auto"/>
        <w:tabs>
          <w:tab w:leader="none" w:pos="74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7"/>
          <w:szCs w:val="17"/>
          <w:color w:val="auto"/>
        </w:rPr>
      </w:pPr>
    </w:p>
    <w:p>
      <w:pPr>
        <w:ind w:left="740" w:right="480" w:hanging="241"/>
        <w:spacing w:after="0" w:line="275" w:lineRule="auto"/>
        <w:tabs>
          <w:tab w:leader="none" w:pos="740" w:val="left"/>
        </w:tabs>
        <w:numPr>
          <w:ilvl w:val="1"/>
          <w:numId w:val="2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6"/>
          <w:szCs w:val="16"/>
          <w:color w:val="auto"/>
        </w:rPr>
      </w:pPr>
    </w:p>
    <w:p>
      <w:pPr>
        <w:ind w:left="740" w:right="140" w:hanging="241"/>
        <w:spacing w:after="0" w:line="237" w:lineRule="auto"/>
        <w:tabs>
          <w:tab w:leader="none" w:pos="74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7"/>
          <w:szCs w:val="17"/>
          <w:color w:val="auto"/>
        </w:rPr>
      </w:pPr>
    </w:p>
    <w:p>
      <w:pPr>
        <w:ind w:left="260" w:right="160" w:hanging="257"/>
        <w:spacing w:after="0" w:line="245" w:lineRule="auto"/>
        <w:tabs>
          <w:tab w:leader="none" w:pos="2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9" w:lineRule="exact"/>
        <w:rPr>
          <w:rFonts w:ascii="Arial" w:cs="Arial" w:eastAsia="Arial" w:hAnsi="Arial"/>
          <w:sz w:val="17"/>
          <w:szCs w:val="17"/>
          <w:color w:val="auto"/>
        </w:rPr>
      </w:pPr>
    </w:p>
    <w:p>
      <w:pPr>
        <w:ind w:left="740" w:right="660" w:hanging="241"/>
        <w:spacing w:after="0" w:line="245" w:lineRule="auto"/>
        <w:tabs>
          <w:tab w:leader="none" w:pos="74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7"/>
          <w:szCs w:val="17"/>
          <w:color w:val="auto"/>
        </w:rPr>
      </w:pPr>
    </w:p>
    <w:p>
      <w:pPr>
        <w:ind w:left="740" w:right="260" w:hanging="241"/>
        <w:spacing w:after="0" w:line="245" w:lineRule="auto"/>
        <w:tabs>
          <w:tab w:leader="none" w:pos="74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May 9, 2011</w:t>
      </w:r>
    </w:p>
    <w:p>
      <w:pPr>
        <w:spacing w:after="0" w:line="203" w:lineRule="exact"/>
        <w:rPr>
          <w:sz w:val="20"/>
          <w:szCs w:val="20"/>
          <w:color w:val="auto"/>
        </w:rPr>
      </w:pPr>
    </w:p>
    <w:p>
      <w:pPr>
        <w:ind w:left="10060"/>
        <w:spacing w:after="0"/>
        <w:rPr>
          <w:sz w:val="20"/>
          <w:szCs w:val="20"/>
          <w:color w:val="auto"/>
        </w:rPr>
      </w:pPr>
      <w:r>
        <w:rPr>
          <w:rFonts w:ascii="Arial" w:cs="Arial" w:eastAsia="Arial" w:hAnsi="Arial"/>
          <w:sz w:val="14"/>
          <w:szCs w:val="14"/>
          <w:color w:val="auto"/>
        </w:rPr>
        <w:t>/S/ Michael W. Allman</w:t>
      </w:r>
    </w:p>
    <w:p>
      <w:pPr>
        <w:spacing w:after="0" w:line="15" w:lineRule="exact"/>
        <w:rPr>
          <w:sz w:val="20"/>
          <w:szCs w:val="20"/>
          <w:color w:val="auto"/>
        </w:rPr>
      </w:pPr>
    </w:p>
    <w:p>
      <w:pPr>
        <w:ind w:left="10280"/>
        <w:spacing w:after="0"/>
        <w:rPr>
          <w:sz w:val="20"/>
          <w:szCs w:val="20"/>
          <w:color w:val="auto"/>
        </w:rPr>
      </w:pPr>
      <w:r>
        <w:rPr>
          <w:rFonts w:ascii="Arial" w:cs="Arial" w:eastAsia="Arial" w:hAnsi="Arial"/>
          <w:sz w:val="14"/>
          <w:szCs w:val="14"/>
          <w:color w:val="auto"/>
        </w:rPr>
        <w:t>Michael W. 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5331460</wp:posOffset>
            </wp:positionH>
            <wp:positionV relativeFrom="paragraph">
              <wp:posOffset>-101600</wp:posOffset>
            </wp:positionV>
            <wp:extent cx="194945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949450" cy="6350"/>
                    </a:xfrm>
                    <a:prstGeom prst="rect">
                      <a:avLst/>
                    </a:prstGeom>
                    <a:noFill/>
                  </pic:spPr>
                </pic:pic>
              </a:graphicData>
            </a:graphic>
          </wp:anchor>
        </w:drawing>
      </w:r>
    </w:p>
    <w:p>
      <w:pPr>
        <w:ind w:left="10040"/>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460"/>
          </w:cols>
          <w:pgMar w:left="220" w:top="124" w:right="219" w:bottom="1440" w:gutter="0" w:footer="0" w:header="0"/>
        </w:sectPr>
      </w:pPr>
    </w:p>
    <w:bookmarkStart w:id="177" w:name="page178"/>
    <w:bookmarkEnd w:id="177"/>
    <w:p>
      <w:pPr>
        <w:jc w:val="right"/>
        <w:spacing w:after="0"/>
        <w:rPr>
          <w:sz w:val="20"/>
          <w:szCs w:val="20"/>
          <w:color w:val="auto"/>
        </w:rPr>
      </w:pPr>
      <w:r>
        <w:rPr>
          <w:rFonts w:ascii="Arial" w:cs="Arial" w:eastAsia="Arial" w:hAnsi="Arial"/>
          <w:sz w:val="17"/>
          <w:szCs w:val="17"/>
          <w:color w:val="auto"/>
        </w:rPr>
        <w:t>EXHIBIT 31.8</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I, Robert M. Schlax, certify that:</w:t>
      </w:r>
    </w:p>
    <w:p>
      <w:pPr>
        <w:spacing w:after="0" w:line="197" w:lineRule="exact"/>
        <w:rPr>
          <w:sz w:val="20"/>
          <w:szCs w:val="20"/>
          <w:color w:val="auto"/>
        </w:rPr>
      </w:pPr>
    </w:p>
    <w:p>
      <w:pPr>
        <w:ind w:left="260" w:hanging="257"/>
        <w:spacing w:after="0"/>
        <w:tabs>
          <w:tab w:leader="none" w:pos="26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I have reviewed this report on Form 10-Q of Southern California Gas Company;</w:t>
      </w:r>
    </w:p>
    <w:p>
      <w:pPr>
        <w:spacing w:after="0" w:line="197" w:lineRule="exact"/>
        <w:rPr>
          <w:rFonts w:ascii="Arial" w:cs="Arial" w:eastAsia="Arial" w:hAnsi="Arial"/>
          <w:sz w:val="17"/>
          <w:szCs w:val="17"/>
          <w:color w:val="auto"/>
        </w:rPr>
      </w:pPr>
    </w:p>
    <w:p>
      <w:pPr>
        <w:ind w:left="260" w:right="240" w:hanging="257"/>
        <w:spacing w:after="0" w:line="275" w:lineRule="auto"/>
        <w:tabs>
          <w:tab w:leader="none" w:pos="26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6"/>
          <w:szCs w:val="16"/>
          <w:color w:val="auto"/>
        </w:rPr>
      </w:pPr>
    </w:p>
    <w:p>
      <w:pPr>
        <w:ind w:left="260" w:right="220" w:hanging="257"/>
        <w:spacing w:after="0" w:line="245" w:lineRule="auto"/>
        <w:tabs>
          <w:tab w:leader="none" w:pos="26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7"/>
          <w:szCs w:val="17"/>
          <w:color w:val="auto"/>
        </w:rPr>
      </w:pPr>
    </w:p>
    <w:p>
      <w:pPr>
        <w:ind w:left="260" w:right="60" w:hanging="257"/>
        <w:spacing w:after="0" w:line="349" w:lineRule="auto"/>
        <w:tabs>
          <w:tab w:leader="none" w:pos="260" w:val="left"/>
        </w:tabs>
        <w:numPr>
          <w:ilvl w:val="0"/>
          <w:numId w:val="26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4"/>
          <w:szCs w:val="14"/>
          <w:color w:val="auto"/>
        </w:rPr>
      </w:pPr>
    </w:p>
    <w:p>
      <w:pPr>
        <w:ind w:left="740" w:right="80" w:hanging="241"/>
        <w:spacing w:after="0" w:line="237" w:lineRule="auto"/>
        <w:tabs>
          <w:tab w:leader="none" w:pos="740" w:val="left"/>
        </w:tabs>
        <w:numPr>
          <w:ilvl w:val="1"/>
          <w:numId w:val="26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7"/>
          <w:szCs w:val="17"/>
          <w:color w:val="auto"/>
        </w:rPr>
      </w:pPr>
    </w:p>
    <w:p>
      <w:pPr>
        <w:ind w:left="740" w:right="40" w:hanging="241"/>
        <w:spacing w:after="0" w:line="237" w:lineRule="auto"/>
        <w:tabs>
          <w:tab w:leader="none" w:pos="740" w:val="left"/>
        </w:tabs>
        <w:numPr>
          <w:ilvl w:val="1"/>
          <w:numId w:val="26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7"/>
          <w:szCs w:val="17"/>
          <w:color w:val="auto"/>
        </w:rPr>
      </w:pPr>
    </w:p>
    <w:p>
      <w:pPr>
        <w:ind w:left="740" w:right="480" w:hanging="241"/>
        <w:spacing w:after="0" w:line="275" w:lineRule="auto"/>
        <w:tabs>
          <w:tab w:leader="none" w:pos="74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6"/>
          <w:szCs w:val="16"/>
          <w:color w:val="auto"/>
        </w:rPr>
      </w:pPr>
    </w:p>
    <w:p>
      <w:pPr>
        <w:ind w:left="740" w:right="140" w:hanging="241"/>
        <w:spacing w:after="0" w:line="237" w:lineRule="auto"/>
        <w:tabs>
          <w:tab w:leader="none" w:pos="740" w:val="left"/>
        </w:tabs>
        <w:numPr>
          <w:ilvl w:val="1"/>
          <w:numId w:val="26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7"/>
          <w:szCs w:val="17"/>
          <w:color w:val="auto"/>
        </w:rPr>
      </w:pPr>
    </w:p>
    <w:p>
      <w:pPr>
        <w:ind w:left="260" w:right="160" w:hanging="257"/>
        <w:spacing w:after="0" w:line="245" w:lineRule="auto"/>
        <w:tabs>
          <w:tab w:leader="none" w:pos="26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9" w:lineRule="exact"/>
        <w:rPr>
          <w:rFonts w:ascii="Arial" w:cs="Arial" w:eastAsia="Arial" w:hAnsi="Arial"/>
          <w:sz w:val="17"/>
          <w:szCs w:val="17"/>
          <w:color w:val="auto"/>
        </w:rPr>
      </w:pPr>
    </w:p>
    <w:p>
      <w:pPr>
        <w:ind w:left="740" w:right="660" w:hanging="241"/>
        <w:spacing w:after="0" w:line="245" w:lineRule="auto"/>
        <w:tabs>
          <w:tab w:leader="none" w:pos="740" w:val="left"/>
        </w:tabs>
        <w:numPr>
          <w:ilvl w:val="1"/>
          <w:numId w:val="2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7"/>
          <w:szCs w:val="17"/>
          <w:color w:val="auto"/>
        </w:rPr>
      </w:pPr>
    </w:p>
    <w:p>
      <w:pPr>
        <w:ind w:left="740" w:right="260" w:hanging="241"/>
        <w:spacing w:after="0" w:line="245" w:lineRule="auto"/>
        <w:tabs>
          <w:tab w:leader="none" w:pos="740" w:val="left"/>
        </w:tabs>
        <w:numPr>
          <w:ilvl w:val="1"/>
          <w:numId w:val="26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May 9, 2011</w:t>
      </w:r>
    </w:p>
    <w:p>
      <w:pPr>
        <w:spacing w:after="0" w:line="203" w:lineRule="exact"/>
        <w:rPr>
          <w:sz w:val="20"/>
          <w:szCs w:val="20"/>
          <w:color w:val="auto"/>
        </w:rPr>
      </w:pPr>
    </w:p>
    <w:p>
      <w:pPr>
        <w:ind w:left="10160"/>
        <w:spacing w:after="0"/>
        <w:rPr>
          <w:sz w:val="20"/>
          <w:szCs w:val="20"/>
          <w:color w:val="auto"/>
        </w:rPr>
      </w:pPr>
      <w:r>
        <w:rPr>
          <w:rFonts w:ascii="Arial" w:cs="Arial" w:eastAsia="Arial" w:hAnsi="Arial"/>
          <w:sz w:val="14"/>
          <w:szCs w:val="14"/>
          <w:color w:val="auto"/>
        </w:rPr>
        <w:t>/S/ Robert M. Schlax</w:t>
      </w:r>
    </w:p>
    <w:p>
      <w:pPr>
        <w:spacing w:after="0" w:line="15" w:lineRule="exact"/>
        <w:rPr>
          <w:sz w:val="20"/>
          <w:szCs w:val="20"/>
          <w:color w:val="auto"/>
        </w:rPr>
      </w:pPr>
    </w:p>
    <w:p>
      <w:pPr>
        <w:ind w:left="10400"/>
        <w:spacing w:after="0"/>
        <w:rPr>
          <w:sz w:val="20"/>
          <w:szCs w:val="20"/>
          <w:color w:val="auto"/>
        </w:rPr>
      </w:pPr>
      <w:r>
        <w:rPr>
          <w:rFonts w:ascii="Arial" w:cs="Arial" w:eastAsia="Arial" w:hAnsi="Arial"/>
          <w:sz w:val="13"/>
          <w:szCs w:val="13"/>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5410200</wp:posOffset>
            </wp:positionH>
            <wp:positionV relativeFrom="paragraph">
              <wp:posOffset>-93980</wp:posOffset>
            </wp:positionV>
            <wp:extent cx="187071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870710" cy="6350"/>
                    </a:xfrm>
                    <a:prstGeom prst="rect">
                      <a:avLst/>
                    </a:prstGeom>
                    <a:noFill/>
                  </pic:spPr>
                </pic:pic>
              </a:graphicData>
            </a:graphic>
          </wp:anchor>
        </w:drawing>
      </w:r>
    </w:p>
    <w:p>
      <w:pPr>
        <w:spacing w:after="0" w:line="5" w:lineRule="exact"/>
        <w:rPr>
          <w:sz w:val="20"/>
          <w:szCs w:val="20"/>
          <w:color w:val="auto"/>
        </w:rPr>
      </w:pPr>
    </w:p>
    <w:p>
      <w:pPr>
        <w:ind w:left="10080"/>
        <w:spacing w:after="0"/>
        <w:rPr>
          <w:sz w:val="20"/>
          <w:szCs w:val="20"/>
          <w:color w:val="auto"/>
        </w:rPr>
      </w:pPr>
      <w:r>
        <w:rPr>
          <w:rFonts w:ascii="Arial" w:cs="Arial" w:eastAsia="Arial" w:hAnsi="Arial"/>
          <w:sz w:val="14"/>
          <w:szCs w:val="14"/>
          <w:color w:val="auto"/>
        </w:rPr>
        <w:t>Chief Financial Officer</w:t>
      </w:r>
    </w:p>
    <w:p>
      <w:pPr>
        <w:sectPr>
          <w:pgSz w:w="11900" w:h="16838" w:orient="portrait"/>
          <w:cols w:equalWidth="0" w:num="1">
            <w:col w:w="11460"/>
          </w:cols>
          <w:pgMar w:left="220" w:top="124" w:right="219" w:bottom="1440" w:gutter="0" w:footer="0" w:header="0"/>
        </w:sectPr>
      </w:pPr>
    </w:p>
    <w:bookmarkStart w:id="178" w:name="page179"/>
    <w:bookmarkEnd w:id="178"/>
    <w:p>
      <w:pPr>
        <w:jc w:val="right"/>
        <w:spacing w:after="0"/>
        <w:rPr>
          <w:sz w:val="20"/>
          <w:szCs w:val="20"/>
          <w:color w:val="auto"/>
        </w:rPr>
      </w:pPr>
      <w:r>
        <w:rPr>
          <w:rFonts w:ascii="Arial" w:cs="Arial" w:eastAsia="Arial" w:hAnsi="Arial"/>
          <w:sz w:val="17"/>
          <w:szCs w:val="17"/>
          <w:color w:val="auto"/>
        </w:rPr>
        <w:t>Exhibit 32.1</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 of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Pursuant to 18 U.S.C. Sec 1350, as created by Section 906 of the Sarbanes-Oxley Act of 2002, the undersigned Chief Executive Officer of Sempra Energy (the "Company")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certifies that:</w:t>
      </w:r>
    </w:p>
    <w:p>
      <w:pPr>
        <w:spacing w:after="0" w:line="183" w:lineRule="exact"/>
        <w:rPr>
          <w:sz w:val="20"/>
          <w:szCs w:val="20"/>
          <w:color w:val="auto"/>
        </w:rPr>
      </w:pPr>
    </w:p>
    <w:p>
      <w:pPr>
        <w:ind w:left="1000" w:right="600" w:hanging="501"/>
        <w:spacing w:after="0" w:line="237" w:lineRule="auto"/>
        <w:tabs>
          <w:tab w:leader="none" w:pos="100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Quarterly Report on Form 10-Q of the Company filed with the Securities and Exchange Commission for the quarter ended March 31, 2011 (the "Quarterly Report") fully complies with the requirements of Section 13(a) or Section 15(d), as applicable, of the Securities Exchange Act of 1934, as amended; and</w:t>
      </w:r>
    </w:p>
    <w:p>
      <w:pPr>
        <w:spacing w:after="0" w:line="185" w:lineRule="exact"/>
        <w:rPr>
          <w:rFonts w:ascii="Arial" w:cs="Arial" w:eastAsia="Arial" w:hAnsi="Arial"/>
          <w:sz w:val="17"/>
          <w:szCs w:val="17"/>
          <w:color w:val="auto"/>
        </w:rPr>
      </w:pPr>
    </w:p>
    <w:p>
      <w:pPr>
        <w:ind w:left="1000" w:hanging="501"/>
        <w:spacing w:after="0"/>
        <w:tabs>
          <w:tab w:leader="none" w:pos="1000" w:val="left"/>
        </w:tabs>
        <w:numPr>
          <w:ilvl w:val="0"/>
          <w:numId w:val="263"/>
        </w:numPr>
        <w:rPr>
          <w:rFonts w:ascii="Arial" w:cs="Arial" w:eastAsia="Arial" w:hAnsi="Arial"/>
          <w:sz w:val="14"/>
          <w:szCs w:val="14"/>
          <w:color w:val="auto"/>
        </w:rPr>
      </w:pPr>
      <w:r>
        <w:rPr>
          <w:rFonts w:ascii="Arial" w:cs="Arial" w:eastAsia="Arial" w:hAnsi="Arial"/>
          <w:sz w:val="14"/>
          <w:szCs w:val="14"/>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May 9, 2011</w:t>
      </w:r>
    </w:p>
    <w:p>
      <w:pPr>
        <w:spacing w:after="0" w:line="276" w:lineRule="exact"/>
        <w:rPr>
          <w:sz w:val="20"/>
          <w:szCs w:val="20"/>
          <w:color w:val="auto"/>
        </w:rPr>
      </w:pPr>
    </w:p>
    <w:p>
      <w:pPr>
        <w:ind w:left="10040"/>
        <w:spacing w:after="0"/>
        <w:rPr>
          <w:sz w:val="20"/>
          <w:szCs w:val="20"/>
          <w:color w:val="auto"/>
        </w:rPr>
      </w:pPr>
      <w:r>
        <w:rPr>
          <w:rFonts w:ascii="Arial" w:cs="Arial" w:eastAsia="Arial" w:hAnsi="Arial"/>
          <w:sz w:val="13"/>
          <w:szCs w:val="13"/>
          <w:color w:val="auto"/>
        </w:rPr>
        <w:t>/S/ Donald E. Felsinger</w:t>
      </w:r>
    </w:p>
    <w:p>
      <w:pPr>
        <w:spacing w:after="0" w:line="26" w:lineRule="exact"/>
        <w:rPr>
          <w:sz w:val="20"/>
          <w:szCs w:val="20"/>
          <w:color w:val="auto"/>
        </w:rPr>
      </w:pPr>
    </w:p>
    <w:p>
      <w:pPr>
        <w:ind w:left="10260"/>
        <w:spacing w:after="0"/>
        <w:rPr>
          <w:sz w:val="20"/>
          <w:szCs w:val="20"/>
          <w:color w:val="auto"/>
        </w:rPr>
      </w:pPr>
      <w:r>
        <w:rPr>
          <w:rFonts w:ascii="Arial" w:cs="Arial" w:eastAsia="Arial" w:hAnsi="Arial"/>
          <w:sz w:val="13"/>
          <w:szCs w:val="13"/>
          <w:color w:val="auto"/>
        </w:rPr>
        <w:t>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5449570</wp:posOffset>
            </wp:positionH>
            <wp:positionV relativeFrom="paragraph">
              <wp:posOffset>-93980</wp:posOffset>
            </wp:positionV>
            <wp:extent cx="183134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31340" cy="6350"/>
                    </a:xfrm>
                    <a:prstGeom prst="rect">
                      <a:avLst/>
                    </a:prstGeom>
                    <a:noFill/>
                  </pic:spPr>
                </pic:pic>
              </a:graphicData>
            </a:graphic>
          </wp:anchor>
        </w:drawing>
      </w:r>
    </w:p>
    <w:p>
      <w:pPr>
        <w:spacing w:after="0" w:line="5" w:lineRule="exact"/>
        <w:rPr>
          <w:sz w:val="20"/>
          <w:szCs w:val="20"/>
          <w:color w:val="auto"/>
        </w:rPr>
      </w:pPr>
    </w:p>
    <w:p>
      <w:pPr>
        <w:ind w:left="10040"/>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460"/>
          </w:cols>
          <w:pgMar w:left="220" w:top="124" w:right="219" w:bottom="1440" w:gutter="0" w:footer="0" w:header="0"/>
        </w:sectPr>
      </w:pPr>
    </w:p>
    <w:bookmarkStart w:id="179" w:name="page180"/>
    <w:bookmarkEnd w:id="179"/>
    <w:p>
      <w:pPr>
        <w:jc w:val="right"/>
        <w:spacing w:after="0"/>
        <w:rPr>
          <w:sz w:val="20"/>
          <w:szCs w:val="20"/>
          <w:color w:val="auto"/>
        </w:rPr>
      </w:pPr>
      <w:r>
        <w:rPr>
          <w:rFonts w:ascii="Arial" w:cs="Arial" w:eastAsia="Arial" w:hAnsi="Arial"/>
          <w:sz w:val="17"/>
          <w:szCs w:val="17"/>
          <w:color w:val="auto"/>
        </w:rPr>
        <w:t>Exhibit 32.2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 of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Pursuant to 18 U.S.C. Sec 1350, as created by Section 906 of the Sarbanes-Oxley Act of 2002, the undersigned Chief Financial Officer of Sempra Energy (the "Company")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certifies that:</w:t>
      </w:r>
    </w:p>
    <w:p>
      <w:pPr>
        <w:spacing w:after="0" w:line="183" w:lineRule="exact"/>
        <w:rPr>
          <w:sz w:val="20"/>
          <w:szCs w:val="20"/>
          <w:color w:val="auto"/>
        </w:rPr>
      </w:pPr>
    </w:p>
    <w:p>
      <w:pPr>
        <w:ind w:left="1000" w:right="600" w:hanging="501"/>
        <w:spacing w:after="0" w:line="237" w:lineRule="auto"/>
        <w:tabs>
          <w:tab w:leader="none" w:pos="100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the Quarterly Report on Form 10-Q of the Company filed with the Securities and Exchange Commission for the quarter ended March 31, 2011 (the "Quarterly Report") fully complies with the requirements of Section 13(a) or Section 15(d), as applicable, of the Securities Exchange Act of 1934, as amended; and</w:t>
      </w:r>
    </w:p>
    <w:p>
      <w:pPr>
        <w:spacing w:after="0" w:line="185" w:lineRule="exact"/>
        <w:rPr>
          <w:rFonts w:ascii="Arial" w:cs="Arial" w:eastAsia="Arial" w:hAnsi="Arial"/>
          <w:sz w:val="17"/>
          <w:szCs w:val="17"/>
          <w:color w:val="auto"/>
        </w:rPr>
      </w:pPr>
    </w:p>
    <w:p>
      <w:pPr>
        <w:ind w:left="1000" w:hanging="501"/>
        <w:spacing w:after="0"/>
        <w:tabs>
          <w:tab w:leader="none" w:pos="1000" w:val="left"/>
        </w:tabs>
        <w:numPr>
          <w:ilvl w:val="0"/>
          <w:numId w:val="264"/>
        </w:numPr>
        <w:rPr>
          <w:rFonts w:ascii="Arial" w:cs="Arial" w:eastAsia="Arial" w:hAnsi="Arial"/>
          <w:sz w:val="14"/>
          <w:szCs w:val="14"/>
          <w:color w:val="auto"/>
        </w:rPr>
      </w:pPr>
      <w:r>
        <w:rPr>
          <w:rFonts w:ascii="Arial" w:cs="Arial" w:eastAsia="Arial" w:hAnsi="Arial"/>
          <w:sz w:val="14"/>
          <w:szCs w:val="14"/>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May 9, 2011</w:t>
      </w:r>
    </w:p>
    <w:p>
      <w:pPr>
        <w:spacing w:after="0" w:line="276" w:lineRule="exact"/>
        <w:rPr>
          <w:sz w:val="20"/>
          <w:szCs w:val="20"/>
          <w:color w:val="auto"/>
        </w:rPr>
      </w:pPr>
    </w:p>
    <w:p>
      <w:pPr>
        <w:ind w:left="10360"/>
        <w:spacing w:after="0"/>
        <w:rPr>
          <w:sz w:val="20"/>
          <w:szCs w:val="20"/>
          <w:color w:val="auto"/>
        </w:rPr>
      </w:pPr>
      <w:r>
        <w:rPr>
          <w:rFonts w:ascii="Arial" w:cs="Arial" w:eastAsia="Arial" w:hAnsi="Arial"/>
          <w:sz w:val="14"/>
          <w:szCs w:val="14"/>
          <w:color w:val="auto"/>
        </w:rPr>
        <w:t>/S/ Mark A. Snell</w:t>
      </w:r>
    </w:p>
    <w:p>
      <w:pPr>
        <w:spacing w:after="0" w:line="15" w:lineRule="exact"/>
        <w:rPr>
          <w:sz w:val="20"/>
          <w:szCs w:val="20"/>
          <w:color w:val="auto"/>
        </w:rPr>
      </w:pPr>
    </w:p>
    <w:p>
      <w:pPr>
        <w:ind w:left="10580"/>
        <w:spacing w:after="0"/>
        <w:rPr>
          <w:sz w:val="20"/>
          <w:szCs w:val="20"/>
          <w:color w:val="auto"/>
        </w:rPr>
      </w:pPr>
      <w:r>
        <w:rPr>
          <w:rFonts w:ascii="Arial" w:cs="Arial" w:eastAsia="Arial" w:hAnsi="Arial"/>
          <w:sz w:val="14"/>
          <w:szCs w:val="14"/>
          <w:color w:val="auto"/>
        </w:rPr>
        <w:t>Mark A.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5370830</wp:posOffset>
            </wp:positionH>
            <wp:positionV relativeFrom="paragraph">
              <wp:posOffset>-101600</wp:posOffset>
            </wp:positionV>
            <wp:extent cx="191008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910080" cy="6350"/>
                    </a:xfrm>
                    <a:prstGeom prst="rect">
                      <a:avLst/>
                    </a:prstGeom>
                    <a:noFill/>
                  </pic:spPr>
                </pic:pic>
              </a:graphicData>
            </a:graphic>
          </wp:anchor>
        </w:drawing>
      </w:r>
    </w:p>
    <w:p>
      <w:pPr>
        <w:ind w:left="10080"/>
        <w:spacing w:after="0"/>
        <w:rPr>
          <w:sz w:val="20"/>
          <w:szCs w:val="20"/>
          <w:color w:val="auto"/>
        </w:rPr>
      </w:pPr>
      <w:r>
        <w:rPr>
          <w:rFonts w:ascii="Arial" w:cs="Arial" w:eastAsia="Arial" w:hAnsi="Arial"/>
          <w:sz w:val="14"/>
          <w:szCs w:val="14"/>
          <w:color w:val="auto"/>
        </w:rPr>
        <w:t>Chief Financial Officer</w:t>
      </w:r>
    </w:p>
    <w:p>
      <w:pPr>
        <w:sectPr>
          <w:pgSz w:w="11900" w:h="16838" w:orient="portrait"/>
          <w:cols w:equalWidth="0" w:num="1">
            <w:col w:w="11460"/>
          </w:cols>
          <w:pgMar w:left="220" w:top="124" w:right="219" w:bottom="1440" w:gutter="0" w:footer="0" w:header="0"/>
        </w:sectPr>
      </w:pPr>
    </w:p>
    <w:bookmarkStart w:id="180" w:name="page181"/>
    <w:bookmarkEnd w:id="180"/>
    <w:p>
      <w:pPr>
        <w:jc w:val="right"/>
        <w:spacing w:after="0"/>
        <w:rPr>
          <w:sz w:val="20"/>
          <w:szCs w:val="20"/>
          <w:color w:val="auto"/>
        </w:rPr>
      </w:pPr>
      <w:r>
        <w:rPr>
          <w:rFonts w:ascii="Arial" w:cs="Arial" w:eastAsia="Arial" w:hAnsi="Arial"/>
          <w:sz w:val="17"/>
          <w:szCs w:val="17"/>
          <w:color w:val="auto"/>
        </w:rPr>
        <w:t>Exhibit 32.3</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 of Chief Executive Officer</w:t>
      </w:r>
    </w:p>
    <w:p>
      <w:pPr>
        <w:spacing w:after="0" w:line="177" w:lineRule="exact"/>
        <w:rPr>
          <w:sz w:val="20"/>
          <w:szCs w:val="20"/>
          <w:color w:val="auto"/>
        </w:rPr>
      </w:pPr>
    </w:p>
    <w:p>
      <w:pPr>
        <w:ind w:right="540"/>
        <w:spacing w:after="0" w:line="245" w:lineRule="auto"/>
        <w:rPr>
          <w:sz w:val="20"/>
          <w:szCs w:val="20"/>
          <w:color w:val="auto"/>
        </w:rPr>
      </w:pPr>
      <w:r>
        <w:rPr>
          <w:rFonts w:ascii="Arial" w:cs="Arial" w:eastAsia="Arial" w:hAnsi="Arial"/>
          <w:sz w:val="17"/>
          <w:szCs w:val="17"/>
          <w:color w:val="auto"/>
        </w:rPr>
        <w:t>Pursuant to 18 U.S.C. Sec 1350, as created by Section 906 of the Sarbanes-Oxley Act of 2002, the undersigned Chief Executive Officer of San Diego Gas &amp; Electric Company (the "Company") certifies that:</w:t>
      </w:r>
    </w:p>
    <w:p>
      <w:pPr>
        <w:spacing w:after="0" w:line="180" w:lineRule="exact"/>
        <w:rPr>
          <w:sz w:val="20"/>
          <w:szCs w:val="20"/>
          <w:color w:val="auto"/>
        </w:rPr>
      </w:pPr>
    </w:p>
    <w:p>
      <w:pPr>
        <w:ind w:left="1000" w:right="600" w:hanging="501"/>
        <w:spacing w:after="0" w:line="237" w:lineRule="auto"/>
        <w:tabs>
          <w:tab w:leader="none" w:pos="100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the Quarterly Report on Form 10-Q of the Company filed with the Securities and Exchange Commission for the quarter ended March 31, 2011 (the "Quarterly Report") fully complies with the requirements of Section 13(a) or Section 15(d), as applicable, of the Securities Exchange Act of 1934, as amended; and</w:t>
      </w:r>
    </w:p>
    <w:p>
      <w:pPr>
        <w:spacing w:after="0" w:line="185" w:lineRule="exact"/>
        <w:rPr>
          <w:rFonts w:ascii="Arial" w:cs="Arial" w:eastAsia="Arial" w:hAnsi="Arial"/>
          <w:sz w:val="17"/>
          <w:szCs w:val="17"/>
          <w:color w:val="auto"/>
        </w:rPr>
      </w:pPr>
    </w:p>
    <w:p>
      <w:pPr>
        <w:ind w:left="1000" w:hanging="501"/>
        <w:spacing w:after="0"/>
        <w:tabs>
          <w:tab w:leader="none" w:pos="1000" w:val="left"/>
        </w:tabs>
        <w:numPr>
          <w:ilvl w:val="0"/>
          <w:numId w:val="265"/>
        </w:numPr>
        <w:rPr>
          <w:rFonts w:ascii="Arial" w:cs="Arial" w:eastAsia="Arial" w:hAnsi="Arial"/>
          <w:sz w:val="14"/>
          <w:szCs w:val="14"/>
          <w:color w:val="auto"/>
        </w:rPr>
      </w:pPr>
      <w:r>
        <w:rPr>
          <w:rFonts w:ascii="Arial" w:cs="Arial" w:eastAsia="Arial" w:hAnsi="Arial"/>
          <w:sz w:val="14"/>
          <w:szCs w:val="14"/>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May 9, 2011</w:t>
      </w:r>
    </w:p>
    <w:p>
      <w:pPr>
        <w:spacing w:after="0" w:line="276" w:lineRule="exact"/>
        <w:rPr>
          <w:sz w:val="20"/>
          <w:szCs w:val="20"/>
          <w:color w:val="auto"/>
        </w:rPr>
      </w:pPr>
    </w:p>
    <w:p>
      <w:pPr>
        <w:ind w:left="10080"/>
        <w:spacing w:after="0"/>
        <w:rPr>
          <w:sz w:val="20"/>
          <w:szCs w:val="20"/>
          <w:color w:val="auto"/>
        </w:rPr>
      </w:pPr>
      <w:r>
        <w:rPr>
          <w:rFonts w:ascii="Arial" w:cs="Arial" w:eastAsia="Arial" w:hAnsi="Arial"/>
          <w:sz w:val="13"/>
          <w:szCs w:val="13"/>
          <w:color w:val="auto"/>
        </w:rPr>
        <w:t>/S/ Jessie J. Knight, Jr.</w:t>
      </w:r>
    </w:p>
    <w:p>
      <w:pPr>
        <w:spacing w:after="0" w:line="26" w:lineRule="exact"/>
        <w:rPr>
          <w:sz w:val="20"/>
          <w:szCs w:val="20"/>
          <w:color w:val="auto"/>
        </w:rPr>
      </w:pPr>
    </w:p>
    <w:p>
      <w:pPr>
        <w:ind w:left="10320"/>
        <w:spacing w:after="0"/>
        <w:rPr>
          <w:sz w:val="20"/>
          <w:szCs w:val="20"/>
          <w:color w:val="auto"/>
        </w:rPr>
      </w:pPr>
      <w:r>
        <w:rPr>
          <w:rFonts w:ascii="Arial" w:cs="Arial" w:eastAsia="Arial" w:hAnsi="Arial"/>
          <w:sz w:val="13"/>
          <w:szCs w:val="13"/>
          <w:color w:val="auto"/>
        </w:rPr>
        <w:t>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5331460</wp:posOffset>
            </wp:positionH>
            <wp:positionV relativeFrom="paragraph">
              <wp:posOffset>-93980</wp:posOffset>
            </wp:positionV>
            <wp:extent cx="194945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949450" cy="6350"/>
                    </a:xfrm>
                    <a:prstGeom prst="rect">
                      <a:avLst/>
                    </a:prstGeom>
                    <a:noFill/>
                  </pic:spPr>
                </pic:pic>
              </a:graphicData>
            </a:graphic>
          </wp:anchor>
        </w:drawing>
      </w:r>
    </w:p>
    <w:p>
      <w:pPr>
        <w:spacing w:after="0" w:line="5" w:lineRule="exact"/>
        <w:rPr>
          <w:sz w:val="20"/>
          <w:szCs w:val="20"/>
          <w:color w:val="auto"/>
        </w:rPr>
      </w:pPr>
    </w:p>
    <w:p>
      <w:pPr>
        <w:ind w:left="10040"/>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460"/>
          </w:cols>
          <w:pgMar w:left="220" w:top="124" w:right="219" w:bottom="1440" w:gutter="0" w:footer="0" w:header="0"/>
        </w:sectPr>
      </w:pPr>
    </w:p>
    <w:bookmarkStart w:id="181" w:name="page182"/>
    <w:bookmarkEnd w:id="181"/>
    <w:p>
      <w:pPr>
        <w:jc w:val="right"/>
        <w:spacing w:after="0"/>
        <w:rPr>
          <w:sz w:val="20"/>
          <w:szCs w:val="20"/>
          <w:color w:val="auto"/>
        </w:rPr>
      </w:pPr>
      <w:r>
        <w:rPr>
          <w:rFonts w:ascii="Arial" w:cs="Arial" w:eastAsia="Arial" w:hAnsi="Arial"/>
          <w:sz w:val="17"/>
          <w:szCs w:val="17"/>
          <w:color w:val="auto"/>
        </w:rPr>
        <w:t>Exhibit 32.4</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 of Chief Financial Officer</w:t>
      </w:r>
    </w:p>
    <w:p>
      <w:pPr>
        <w:spacing w:after="0" w:line="177" w:lineRule="exact"/>
        <w:rPr>
          <w:sz w:val="20"/>
          <w:szCs w:val="20"/>
          <w:color w:val="auto"/>
        </w:rPr>
      </w:pPr>
    </w:p>
    <w:p>
      <w:pPr>
        <w:ind w:right="580"/>
        <w:spacing w:after="0" w:line="245" w:lineRule="auto"/>
        <w:rPr>
          <w:sz w:val="20"/>
          <w:szCs w:val="20"/>
          <w:color w:val="auto"/>
        </w:rPr>
      </w:pPr>
      <w:r>
        <w:rPr>
          <w:rFonts w:ascii="Arial" w:cs="Arial" w:eastAsia="Arial" w:hAnsi="Arial"/>
          <w:sz w:val="17"/>
          <w:szCs w:val="17"/>
          <w:color w:val="auto"/>
        </w:rPr>
        <w:t>Pursuant to 18 U.S.C. Sec 1350, as created by Section 906 of the Sarbanes-Oxley Act of 2002, the undersigned Chief Financial Officer of San Diego Gas &amp; Electric Company (the "Company") certifies that:</w:t>
      </w:r>
    </w:p>
    <w:p>
      <w:pPr>
        <w:spacing w:after="0" w:line="180" w:lineRule="exact"/>
        <w:rPr>
          <w:sz w:val="20"/>
          <w:szCs w:val="20"/>
          <w:color w:val="auto"/>
        </w:rPr>
      </w:pPr>
    </w:p>
    <w:p>
      <w:pPr>
        <w:ind w:left="1000" w:right="600" w:hanging="501"/>
        <w:spacing w:after="0" w:line="237" w:lineRule="auto"/>
        <w:tabs>
          <w:tab w:leader="none" w:pos="100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Quarterly Report on Form 10-Q of the Company filed with the Securities and Exchange Commission for the quarter ended March 31, 2011 (the "Quarterly Report") fully complies with the requirements of Section 13(a) or Section 15(d), as applicable, of the Securities Exchange Act of 1934, as amended; and</w:t>
      </w:r>
    </w:p>
    <w:p>
      <w:pPr>
        <w:spacing w:after="0" w:line="185" w:lineRule="exact"/>
        <w:rPr>
          <w:rFonts w:ascii="Arial" w:cs="Arial" w:eastAsia="Arial" w:hAnsi="Arial"/>
          <w:sz w:val="17"/>
          <w:szCs w:val="17"/>
          <w:color w:val="auto"/>
        </w:rPr>
      </w:pPr>
    </w:p>
    <w:p>
      <w:pPr>
        <w:ind w:left="1000" w:hanging="501"/>
        <w:spacing w:after="0"/>
        <w:tabs>
          <w:tab w:leader="none" w:pos="1000" w:val="left"/>
        </w:tabs>
        <w:numPr>
          <w:ilvl w:val="0"/>
          <w:numId w:val="266"/>
        </w:numPr>
        <w:rPr>
          <w:rFonts w:ascii="Arial" w:cs="Arial" w:eastAsia="Arial" w:hAnsi="Arial"/>
          <w:sz w:val="14"/>
          <w:szCs w:val="14"/>
          <w:color w:val="auto"/>
        </w:rPr>
      </w:pPr>
      <w:r>
        <w:rPr>
          <w:rFonts w:ascii="Arial" w:cs="Arial" w:eastAsia="Arial" w:hAnsi="Arial"/>
          <w:sz w:val="14"/>
          <w:szCs w:val="14"/>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May 9, 2011</w:t>
      </w:r>
    </w:p>
    <w:p>
      <w:pPr>
        <w:spacing w:after="0" w:line="276" w:lineRule="exact"/>
        <w:rPr>
          <w:sz w:val="20"/>
          <w:szCs w:val="20"/>
          <w:color w:val="auto"/>
        </w:rPr>
      </w:pPr>
    </w:p>
    <w:p>
      <w:pPr>
        <w:ind w:left="10160"/>
        <w:spacing w:after="0"/>
        <w:rPr>
          <w:sz w:val="20"/>
          <w:szCs w:val="20"/>
          <w:color w:val="auto"/>
        </w:rPr>
      </w:pPr>
      <w:r>
        <w:rPr>
          <w:rFonts w:ascii="Arial" w:cs="Arial" w:eastAsia="Arial" w:hAnsi="Arial"/>
          <w:sz w:val="14"/>
          <w:szCs w:val="14"/>
          <w:color w:val="auto"/>
        </w:rPr>
        <w:t>/S/ Robert M. Schlax</w:t>
      </w:r>
    </w:p>
    <w:p>
      <w:pPr>
        <w:spacing w:after="0" w:line="15" w:lineRule="exact"/>
        <w:rPr>
          <w:sz w:val="20"/>
          <w:szCs w:val="20"/>
          <w:color w:val="auto"/>
        </w:rPr>
      </w:pPr>
    </w:p>
    <w:p>
      <w:pPr>
        <w:ind w:left="10400"/>
        <w:spacing w:after="0"/>
        <w:rPr>
          <w:sz w:val="20"/>
          <w:szCs w:val="20"/>
          <w:color w:val="auto"/>
        </w:rPr>
      </w:pPr>
      <w:r>
        <w:rPr>
          <w:rFonts w:ascii="Arial" w:cs="Arial" w:eastAsia="Arial" w:hAnsi="Arial"/>
          <w:sz w:val="13"/>
          <w:szCs w:val="13"/>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5370830</wp:posOffset>
            </wp:positionH>
            <wp:positionV relativeFrom="paragraph">
              <wp:posOffset>-93980</wp:posOffset>
            </wp:positionV>
            <wp:extent cx="191008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10080" cy="6350"/>
                    </a:xfrm>
                    <a:prstGeom prst="rect">
                      <a:avLst/>
                    </a:prstGeom>
                    <a:noFill/>
                  </pic:spPr>
                </pic:pic>
              </a:graphicData>
            </a:graphic>
          </wp:anchor>
        </w:drawing>
      </w:r>
    </w:p>
    <w:p>
      <w:pPr>
        <w:spacing w:after="0" w:line="5" w:lineRule="exact"/>
        <w:rPr>
          <w:sz w:val="20"/>
          <w:szCs w:val="20"/>
          <w:color w:val="auto"/>
        </w:rPr>
      </w:pPr>
    </w:p>
    <w:p>
      <w:pPr>
        <w:ind w:left="10080"/>
        <w:spacing w:after="0"/>
        <w:rPr>
          <w:sz w:val="20"/>
          <w:szCs w:val="20"/>
          <w:color w:val="auto"/>
        </w:rPr>
      </w:pPr>
      <w:r>
        <w:rPr>
          <w:rFonts w:ascii="Arial" w:cs="Arial" w:eastAsia="Arial" w:hAnsi="Arial"/>
          <w:sz w:val="14"/>
          <w:szCs w:val="14"/>
          <w:color w:val="auto"/>
        </w:rPr>
        <w:t>Chief Financial Officer</w:t>
      </w:r>
    </w:p>
    <w:p>
      <w:pPr>
        <w:sectPr>
          <w:pgSz w:w="11900" w:h="16838" w:orient="portrait"/>
          <w:cols w:equalWidth="0" w:num="1">
            <w:col w:w="11460"/>
          </w:cols>
          <w:pgMar w:left="220" w:top="124" w:right="219" w:bottom="1440" w:gutter="0" w:footer="0" w:header="0"/>
        </w:sectPr>
      </w:pPr>
    </w:p>
    <w:bookmarkStart w:id="182" w:name="page183"/>
    <w:bookmarkEnd w:id="182"/>
    <w:p>
      <w:pPr>
        <w:jc w:val="right"/>
        <w:spacing w:after="0"/>
        <w:rPr>
          <w:sz w:val="20"/>
          <w:szCs w:val="20"/>
          <w:color w:val="auto"/>
        </w:rPr>
      </w:pPr>
      <w:r>
        <w:rPr>
          <w:rFonts w:ascii="Arial" w:cs="Arial" w:eastAsia="Arial" w:hAnsi="Arial"/>
          <w:sz w:val="17"/>
          <w:szCs w:val="17"/>
          <w:color w:val="auto"/>
        </w:rPr>
        <w:t>Exhibit 32.5</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 of Chief Executive Officer</w:t>
      </w:r>
    </w:p>
    <w:p>
      <w:pPr>
        <w:spacing w:after="0" w:line="177" w:lineRule="exact"/>
        <w:rPr>
          <w:sz w:val="20"/>
          <w:szCs w:val="20"/>
          <w:color w:val="auto"/>
        </w:rPr>
      </w:pPr>
    </w:p>
    <w:p>
      <w:pPr>
        <w:ind w:right="720"/>
        <w:spacing w:after="0" w:line="245" w:lineRule="auto"/>
        <w:rPr>
          <w:sz w:val="20"/>
          <w:szCs w:val="20"/>
          <w:color w:val="auto"/>
        </w:rPr>
      </w:pPr>
      <w:r>
        <w:rPr>
          <w:rFonts w:ascii="Arial" w:cs="Arial" w:eastAsia="Arial" w:hAnsi="Arial"/>
          <w:sz w:val="17"/>
          <w:szCs w:val="17"/>
          <w:color w:val="auto"/>
        </w:rPr>
        <w:t>Pursuant to 18 U.S.C. Sec 1350, as created by Section 906 of the Sarbanes-Oxley Act of 2002, the undersigned Chief Executive Officer of Pacific Enterprises (the "Company") certifies that:</w:t>
      </w:r>
    </w:p>
    <w:p>
      <w:pPr>
        <w:spacing w:after="0" w:line="180" w:lineRule="exact"/>
        <w:rPr>
          <w:sz w:val="20"/>
          <w:szCs w:val="20"/>
          <w:color w:val="auto"/>
        </w:rPr>
      </w:pPr>
    </w:p>
    <w:p>
      <w:pPr>
        <w:ind w:left="1000" w:right="600" w:hanging="501"/>
        <w:spacing w:after="0" w:line="237" w:lineRule="auto"/>
        <w:tabs>
          <w:tab w:leader="none" w:pos="100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Quarterly Report on Form 10-Q of the Company filed with the Securities and Exchange Commission for the quarter ended March 31, 2011 (the "Quarterly Report") fully complies with the requirements of Section 13(a) or Section 15(d), as applicable, of the Securities Exchange Act of 1934, as amended; and</w:t>
      </w:r>
    </w:p>
    <w:p>
      <w:pPr>
        <w:spacing w:after="0" w:line="185" w:lineRule="exact"/>
        <w:rPr>
          <w:rFonts w:ascii="Arial" w:cs="Arial" w:eastAsia="Arial" w:hAnsi="Arial"/>
          <w:sz w:val="17"/>
          <w:szCs w:val="17"/>
          <w:color w:val="auto"/>
        </w:rPr>
      </w:pPr>
    </w:p>
    <w:p>
      <w:pPr>
        <w:ind w:left="1000" w:hanging="501"/>
        <w:spacing w:after="0"/>
        <w:tabs>
          <w:tab w:leader="none" w:pos="1000" w:val="left"/>
        </w:tabs>
        <w:numPr>
          <w:ilvl w:val="0"/>
          <w:numId w:val="267"/>
        </w:numPr>
        <w:rPr>
          <w:rFonts w:ascii="Arial" w:cs="Arial" w:eastAsia="Arial" w:hAnsi="Arial"/>
          <w:sz w:val="14"/>
          <w:szCs w:val="14"/>
          <w:color w:val="auto"/>
        </w:rPr>
      </w:pPr>
      <w:r>
        <w:rPr>
          <w:rFonts w:ascii="Arial" w:cs="Arial" w:eastAsia="Arial" w:hAnsi="Arial"/>
          <w:sz w:val="14"/>
          <w:szCs w:val="14"/>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May 9, 2011</w:t>
      </w:r>
    </w:p>
    <w:p>
      <w:pPr>
        <w:spacing w:after="0" w:line="276"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/S/ Michael W. Allman</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Michael W. 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-101600</wp:posOffset>
            </wp:positionV>
            <wp:extent cx="163449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34490" cy="6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4"/>
          <w:szCs w:val="14"/>
          <w:color w:val="auto"/>
        </w:rPr>
        <w:t>Chief Executive Officer</w:t>
      </w:r>
    </w:p>
    <w:p>
      <w:pPr>
        <w:sectPr>
          <w:pgSz w:w="11900" w:h="16838" w:orient="portrait"/>
          <w:cols w:equalWidth="0" w:num="1">
            <w:col w:w="11460"/>
          </w:cols>
          <w:pgMar w:left="220" w:top="124" w:right="219" w:bottom="1440" w:gutter="0" w:footer="0" w:header="0"/>
        </w:sectPr>
      </w:pPr>
    </w:p>
    <w:bookmarkStart w:id="183" w:name="page184"/>
    <w:bookmarkEnd w:id="183"/>
    <w:p>
      <w:pPr>
        <w:jc w:val="right"/>
        <w:spacing w:after="0"/>
        <w:rPr>
          <w:sz w:val="20"/>
          <w:szCs w:val="20"/>
          <w:color w:val="auto"/>
        </w:rPr>
      </w:pPr>
      <w:r>
        <w:rPr>
          <w:rFonts w:ascii="Arial" w:cs="Arial" w:eastAsia="Arial" w:hAnsi="Arial"/>
          <w:sz w:val="17"/>
          <w:szCs w:val="17"/>
          <w:color w:val="auto"/>
        </w:rPr>
        <w:t>Exhibit 32.6</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 of Chief Financial Officer</w:t>
      </w:r>
    </w:p>
    <w:p>
      <w:pPr>
        <w:spacing w:after="0" w:line="177" w:lineRule="exact"/>
        <w:rPr>
          <w:sz w:val="20"/>
          <w:szCs w:val="20"/>
          <w:color w:val="auto"/>
        </w:rPr>
      </w:pPr>
    </w:p>
    <w:p>
      <w:pPr>
        <w:ind w:right="760"/>
        <w:spacing w:after="0" w:line="245" w:lineRule="auto"/>
        <w:rPr>
          <w:sz w:val="20"/>
          <w:szCs w:val="20"/>
          <w:color w:val="auto"/>
        </w:rPr>
      </w:pPr>
      <w:r>
        <w:rPr>
          <w:rFonts w:ascii="Arial" w:cs="Arial" w:eastAsia="Arial" w:hAnsi="Arial"/>
          <w:sz w:val="17"/>
          <w:szCs w:val="17"/>
          <w:color w:val="auto"/>
        </w:rPr>
        <w:t>Pursuant to 18 U.S.C. Sec 1350, as created by Section 906 of the Sarbanes-Oxley Act of 2002, the undersigned Chief Financial Officer of Pacific Enterprises (the "Company") certifies that:</w:t>
      </w:r>
    </w:p>
    <w:p>
      <w:pPr>
        <w:spacing w:after="0" w:line="180" w:lineRule="exact"/>
        <w:rPr>
          <w:sz w:val="20"/>
          <w:szCs w:val="20"/>
          <w:color w:val="auto"/>
        </w:rPr>
      </w:pPr>
    </w:p>
    <w:p>
      <w:pPr>
        <w:ind w:left="1000" w:right="600" w:hanging="501"/>
        <w:spacing w:after="0" w:line="237" w:lineRule="auto"/>
        <w:tabs>
          <w:tab w:leader="none" w:pos="100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the Quarterly Report on Form 10-Q of the Company filed with the Securities and Exchange Commission for the quarter ended March 31, 2011 (the "Quarterly Report") fully complies with the requirements of Section 13(a) or Section 15(d), as applicable, of the Securities Exchange Act of 1934, as amended; and</w:t>
      </w:r>
    </w:p>
    <w:p>
      <w:pPr>
        <w:spacing w:after="0" w:line="185" w:lineRule="exact"/>
        <w:rPr>
          <w:rFonts w:ascii="Arial" w:cs="Arial" w:eastAsia="Arial" w:hAnsi="Arial"/>
          <w:sz w:val="17"/>
          <w:szCs w:val="17"/>
          <w:color w:val="auto"/>
        </w:rPr>
      </w:pPr>
    </w:p>
    <w:p>
      <w:pPr>
        <w:ind w:left="1000" w:hanging="501"/>
        <w:spacing w:after="0"/>
        <w:tabs>
          <w:tab w:leader="none" w:pos="1000" w:val="left"/>
        </w:tabs>
        <w:numPr>
          <w:ilvl w:val="0"/>
          <w:numId w:val="268"/>
        </w:numPr>
        <w:rPr>
          <w:rFonts w:ascii="Arial" w:cs="Arial" w:eastAsia="Arial" w:hAnsi="Arial"/>
          <w:sz w:val="14"/>
          <w:szCs w:val="14"/>
          <w:color w:val="auto"/>
        </w:rPr>
      </w:pPr>
      <w:r>
        <w:rPr>
          <w:rFonts w:ascii="Arial" w:cs="Arial" w:eastAsia="Arial" w:hAnsi="Arial"/>
          <w:sz w:val="14"/>
          <w:szCs w:val="14"/>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May 9, 2011</w:t>
      </w:r>
    </w:p>
    <w:p>
      <w:pPr>
        <w:spacing w:after="0" w:line="276" w:lineRule="exact"/>
        <w:rPr>
          <w:sz w:val="20"/>
          <w:szCs w:val="20"/>
          <w:color w:val="auto"/>
        </w:rPr>
      </w:pPr>
    </w:p>
    <w:p>
      <w:pPr>
        <w:ind w:left="10160"/>
        <w:spacing w:after="0"/>
        <w:rPr>
          <w:sz w:val="20"/>
          <w:szCs w:val="20"/>
          <w:color w:val="auto"/>
        </w:rPr>
      </w:pPr>
      <w:r>
        <w:rPr>
          <w:rFonts w:ascii="Arial" w:cs="Arial" w:eastAsia="Arial" w:hAnsi="Arial"/>
          <w:sz w:val="14"/>
          <w:szCs w:val="14"/>
          <w:color w:val="auto"/>
        </w:rPr>
        <w:t>/S/ Robert M. Schlax</w:t>
      </w:r>
    </w:p>
    <w:p>
      <w:pPr>
        <w:spacing w:after="0" w:line="15" w:lineRule="exact"/>
        <w:rPr>
          <w:sz w:val="20"/>
          <w:szCs w:val="20"/>
          <w:color w:val="auto"/>
        </w:rPr>
      </w:pPr>
    </w:p>
    <w:p>
      <w:pPr>
        <w:ind w:left="10400"/>
        <w:spacing w:after="0"/>
        <w:rPr>
          <w:sz w:val="20"/>
          <w:szCs w:val="20"/>
          <w:color w:val="auto"/>
        </w:rPr>
      </w:pPr>
      <w:r>
        <w:rPr>
          <w:rFonts w:ascii="Arial" w:cs="Arial" w:eastAsia="Arial" w:hAnsi="Arial"/>
          <w:sz w:val="13"/>
          <w:szCs w:val="13"/>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5685790</wp:posOffset>
            </wp:positionH>
            <wp:positionV relativeFrom="paragraph">
              <wp:posOffset>-93980</wp:posOffset>
            </wp:positionV>
            <wp:extent cx="159512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95120" cy="6350"/>
                    </a:xfrm>
                    <a:prstGeom prst="rect">
                      <a:avLst/>
                    </a:prstGeom>
                    <a:noFill/>
                  </pic:spPr>
                </pic:pic>
              </a:graphicData>
            </a:graphic>
          </wp:anchor>
        </w:drawing>
      </w:r>
    </w:p>
    <w:p>
      <w:pPr>
        <w:spacing w:after="0" w:line="5" w:lineRule="exact"/>
        <w:rPr>
          <w:sz w:val="20"/>
          <w:szCs w:val="20"/>
          <w:color w:val="auto"/>
        </w:rPr>
      </w:pPr>
    </w:p>
    <w:p>
      <w:pPr>
        <w:ind w:left="10080"/>
        <w:spacing w:after="0"/>
        <w:rPr>
          <w:sz w:val="20"/>
          <w:szCs w:val="20"/>
          <w:color w:val="auto"/>
        </w:rPr>
      </w:pPr>
      <w:r>
        <w:rPr>
          <w:rFonts w:ascii="Arial" w:cs="Arial" w:eastAsia="Arial" w:hAnsi="Arial"/>
          <w:sz w:val="14"/>
          <w:szCs w:val="14"/>
          <w:color w:val="auto"/>
        </w:rPr>
        <w:t>Chief Financial Officer</w:t>
      </w:r>
    </w:p>
    <w:p>
      <w:pPr>
        <w:sectPr>
          <w:pgSz w:w="11900" w:h="16838" w:orient="portrait"/>
          <w:cols w:equalWidth="0" w:num="1">
            <w:col w:w="11460"/>
          </w:cols>
          <w:pgMar w:left="220" w:top="124" w:right="219" w:bottom="1440" w:gutter="0" w:footer="0" w:header="0"/>
        </w:sectPr>
      </w:pPr>
    </w:p>
    <w:bookmarkStart w:id="184" w:name="page185"/>
    <w:bookmarkEnd w:id="184"/>
    <w:p>
      <w:pPr>
        <w:jc w:val="right"/>
        <w:spacing w:after="0"/>
        <w:rPr>
          <w:sz w:val="20"/>
          <w:szCs w:val="20"/>
          <w:color w:val="auto"/>
        </w:rPr>
      </w:pPr>
      <w:r>
        <w:rPr>
          <w:rFonts w:ascii="Arial" w:cs="Arial" w:eastAsia="Arial" w:hAnsi="Arial"/>
          <w:sz w:val="17"/>
          <w:szCs w:val="17"/>
          <w:color w:val="auto"/>
        </w:rPr>
        <w:t>Exhibit 32.7</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 of Chief Executive Officer</w:t>
      </w:r>
    </w:p>
    <w:p>
      <w:pPr>
        <w:spacing w:after="0" w:line="177" w:lineRule="exact"/>
        <w:rPr>
          <w:sz w:val="20"/>
          <w:szCs w:val="20"/>
          <w:color w:val="auto"/>
        </w:rPr>
      </w:pPr>
    </w:p>
    <w:p>
      <w:pPr>
        <w:ind w:right="640"/>
        <w:spacing w:after="0" w:line="245" w:lineRule="auto"/>
        <w:rPr>
          <w:sz w:val="20"/>
          <w:szCs w:val="20"/>
          <w:color w:val="auto"/>
        </w:rPr>
      </w:pPr>
      <w:r>
        <w:rPr>
          <w:rFonts w:ascii="Arial" w:cs="Arial" w:eastAsia="Arial" w:hAnsi="Arial"/>
          <w:sz w:val="17"/>
          <w:szCs w:val="17"/>
          <w:color w:val="auto"/>
        </w:rPr>
        <w:t>Pursuant to 18 U.S.C. Sec 1350, as created by Section 906 of the Sarbanes-Oxley Act of 2002, the undersigned Chief Executive Officer of Southern California Gas Company (the "Company") certifies that:</w:t>
      </w:r>
    </w:p>
    <w:p>
      <w:pPr>
        <w:spacing w:after="0" w:line="180" w:lineRule="exact"/>
        <w:rPr>
          <w:sz w:val="20"/>
          <w:szCs w:val="20"/>
          <w:color w:val="auto"/>
        </w:rPr>
      </w:pPr>
    </w:p>
    <w:p>
      <w:pPr>
        <w:ind w:left="1000" w:right="600" w:hanging="501"/>
        <w:spacing w:after="0" w:line="237" w:lineRule="auto"/>
        <w:tabs>
          <w:tab w:leader="none" w:pos="100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Quarterly Report on Form 10-Q of the Company filed with the Securities and Exchange Commission for the quarter ended March 31, 2011 (the "Quarterly Report") fully complies with the requirements of Section 13(a) or Section 15(d), as applicable, of the Securities Exchange Act of 1934, as amended; and</w:t>
      </w:r>
    </w:p>
    <w:p>
      <w:pPr>
        <w:spacing w:after="0" w:line="185" w:lineRule="exact"/>
        <w:rPr>
          <w:rFonts w:ascii="Arial" w:cs="Arial" w:eastAsia="Arial" w:hAnsi="Arial"/>
          <w:sz w:val="17"/>
          <w:szCs w:val="17"/>
          <w:color w:val="auto"/>
        </w:rPr>
      </w:pPr>
    </w:p>
    <w:p>
      <w:pPr>
        <w:ind w:left="1000" w:hanging="501"/>
        <w:spacing w:after="0"/>
        <w:tabs>
          <w:tab w:leader="none" w:pos="1000" w:val="left"/>
        </w:tabs>
        <w:numPr>
          <w:ilvl w:val="0"/>
          <w:numId w:val="269"/>
        </w:numPr>
        <w:rPr>
          <w:rFonts w:ascii="Arial" w:cs="Arial" w:eastAsia="Arial" w:hAnsi="Arial"/>
          <w:sz w:val="14"/>
          <w:szCs w:val="14"/>
          <w:color w:val="auto"/>
        </w:rPr>
      </w:pPr>
      <w:r>
        <w:rPr>
          <w:rFonts w:ascii="Arial" w:cs="Arial" w:eastAsia="Arial" w:hAnsi="Arial"/>
          <w:sz w:val="14"/>
          <w:szCs w:val="14"/>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May 9, 2011</w:t>
      </w:r>
    </w:p>
    <w:p>
      <w:pPr>
        <w:spacing w:after="0" w:line="276" w:lineRule="exact"/>
        <w:rPr>
          <w:sz w:val="20"/>
          <w:szCs w:val="20"/>
          <w:color w:val="auto"/>
        </w:rPr>
      </w:pPr>
    </w:p>
    <w:p>
      <w:pPr>
        <w:ind w:left="10060"/>
        <w:spacing w:after="0"/>
        <w:rPr>
          <w:sz w:val="20"/>
          <w:szCs w:val="20"/>
          <w:color w:val="auto"/>
        </w:rPr>
      </w:pPr>
      <w:r>
        <w:rPr>
          <w:rFonts w:ascii="Arial" w:cs="Arial" w:eastAsia="Arial" w:hAnsi="Arial"/>
          <w:sz w:val="14"/>
          <w:szCs w:val="14"/>
          <w:color w:val="auto"/>
        </w:rPr>
        <w:t>/S/ Michael W. Allman</w:t>
      </w:r>
    </w:p>
    <w:p>
      <w:pPr>
        <w:spacing w:after="0" w:line="15" w:lineRule="exact"/>
        <w:rPr>
          <w:sz w:val="20"/>
          <w:szCs w:val="20"/>
          <w:color w:val="auto"/>
        </w:rPr>
      </w:pPr>
    </w:p>
    <w:p>
      <w:pPr>
        <w:ind w:left="10280"/>
        <w:spacing w:after="0"/>
        <w:rPr>
          <w:sz w:val="20"/>
          <w:szCs w:val="20"/>
          <w:color w:val="auto"/>
        </w:rPr>
      </w:pPr>
      <w:r>
        <w:rPr>
          <w:rFonts w:ascii="Arial" w:cs="Arial" w:eastAsia="Arial" w:hAnsi="Arial"/>
          <w:sz w:val="14"/>
          <w:szCs w:val="14"/>
          <w:color w:val="auto"/>
        </w:rPr>
        <w:t>Michael W. 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5410200</wp:posOffset>
            </wp:positionH>
            <wp:positionV relativeFrom="paragraph">
              <wp:posOffset>-101600</wp:posOffset>
            </wp:positionV>
            <wp:extent cx="187071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870710" cy="6350"/>
                    </a:xfrm>
                    <a:prstGeom prst="rect">
                      <a:avLst/>
                    </a:prstGeom>
                    <a:noFill/>
                  </pic:spPr>
                </pic:pic>
              </a:graphicData>
            </a:graphic>
          </wp:anchor>
        </w:drawing>
      </w:r>
    </w:p>
    <w:p>
      <w:pPr>
        <w:ind w:left="10040"/>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460"/>
          </w:cols>
          <w:pgMar w:left="220" w:top="124" w:right="219" w:bottom="1440" w:gutter="0" w:footer="0" w:header="0"/>
        </w:sectPr>
      </w:pPr>
    </w:p>
    <w:bookmarkStart w:id="185" w:name="page186"/>
    <w:bookmarkEnd w:id="185"/>
    <w:p>
      <w:pPr>
        <w:jc w:val="right"/>
        <w:spacing w:after="0"/>
        <w:rPr>
          <w:sz w:val="20"/>
          <w:szCs w:val="20"/>
          <w:color w:val="auto"/>
        </w:rPr>
      </w:pPr>
      <w:r>
        <w:rPr>
          <w:rFonts w:ascii="Arial" w:cs="Arial" w:eastAsia="Arial" w:hAnsi="Arial"/>
          <w:sz w:val="17"/>
          <w:szCs w:val="17"/>
          <w:color w:val="auto"/>
        </w:rPr>
        <w:t>Exhibit 32.8</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 of Chief Financial Officer</w:t>
      </w:r>
    </w:p>
    <w:p>
      <w:pPr>
        <w:spacing w:after="0" w:line="177"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Pursuant to 18 U.S.C. Sec 1350, as created by Section 906 of the Sarbanes-Oxley Act of 2002, the undersigned Chief Financial Officer of Southern California Gas Company (the "Company") certifies that:</w:t>
      </w:r>
    </w:p>
    <w:p>
      <w:pPr>
        <w:spacing w:after="0" w:line="180" w:lineRule="exact"/>
        <w:rPr>
          <w:sz w:val="20"/>
          <w:szCs w:val="20"/>
          <w:color w:val="auto"/>
        </w:rPr>
      </w:pPr>
    </w:p>
    <w:p>
      <w:pPr>
        <w:ind w:left="1000" w:right="600" w:hanging="501"/>
        <w:spacing w:after="0" w:line="237" w:lineRule="auto"/>
        <w:tabs>
          <w:tab w:leader="none" w:pos="100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Quarterly Report on Form 10-Q of the Company filed with the Securities and Exchange Commission for the quarter ended March 31, 2011 (the "Quarterly Report") fully complies with the requirements of Section 13(a) or Section 15(d), as applicable, of the Securities Exchange Act of 1934, as amended; and</w:t>
      </w:r>
    </w:p>
    <w:p>
      <w:pPr>
        <w:spacing w:after="0" w:line="185" w:lineRule="exact"/>
        <w:rPr>
          <w:rFonts w:ascii="Arial" w:cs="Arial" w:eastAsia="Arial" w:hAnsi="Arial"/>
          <w:sz w:val="17"/>
          <w:szCs w:val="17"/>
          <w:color w:val="auto"/>
        </w:rPr>
      </w:pPr>
    </w:p>
    <w:p>
      <w:pPr>
        <w:ind w:left="1000" w:hanging="501"/>
        <w:spacing w:after="0"/>
        <w:tabs>
          <w:tab w:leader="none" w:pos="1000" w:val="left"/>
        </w:tabs>
        <w:numPr>
          <w:ilvl w:val="0"/>
          <w:numId w:val="270"/>
        </w:numPr>
        <w:rPr>
          <w:rFonts w:ascii="Arial" w:cs="Arial" w:eastAsia="Arial" w:hAnsi="Arial"/>
          <w:sz w:val="14"/>
          <w:szCs w:val="14"/>
          <w:color w:val="auto"/>
        </w:rPr>
      </w:pPr>
      <w:r>
        <w:rPr>
          <w:rFonts w:ascii="Arial" w:cs="Arial" w:eastAsia="Arial" w:hAnsi="Arial"/>
          <w:sz w:val="14"/>
          <w:szCs w:val="14"/>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May 9, 2011</w:t>
      </w:r>
    </w:p>
    <w:p>
      <w:pPr>
        <w:spacing w:after="0" w:line="200" w:lineRule="exact"/>
        <w:rPr>
          <w:sz w:val="20"/>
          <w:szCs w:val="20"/>
          <w:color w:val="auto"/>
        </w:rPr>
      </w:pPr>
    </w:p>
    <w:p>
      <w:pPr>
        <w:spacing w:after="0" w:line="324" w:lineRule="exact"/>
        <w:rPr>
          <w:sz w:val="20"/>
          <w:szCs w:val="20"/>
          <w:color w:val="auto"/>
        </w:rPr>
      </w:pPr>
    </w:p>
    <w:p>
      <w:pPr>
        <w:ind w:left="10160"/>
        <w:spacing w:after="0"/>
        <w:rPr>
          <w:sz w:val="20"/>
          <w:szCs w:val="20"/>
          <w:color w:val="auto"/>
        </w:rPr>
      </w:pPr>
      <w:r>
        <w:rPr>
          <w:rFonts w:ascii="Arial" w:cs="Arial" w:eastAsia="Arial" w:hAnsi="Arial"/>
          <w:sz w:val="14"/>
          <w:szCs w:val="14"/>
          <w:color w:val="auto"/>
        </w:rPr>
        <w:t>/S/ Robert M. Schlax</w:t>
      </w:r>
    </w:p>
    <w:p>
      <w:pPr>
        <w:spacing w:after="0" w:line="15" w:lineRule="exact"/>
        <w:rPr>
          <w:sz w:val="20"/>
          <w:szCs w:val="20"/>
          <w:color w:val="auto"/>
        </w:rPr>
      </w:pPr>
    </w:p>
    <w:p>
      <w:pPr>
        <w:ind w:left="10400"/>
        <w:spacing w:after="0"/>
        <w:rPr>
          <w:sz w:val="20"/>
          <w:szCs w:val="20"/>
          <w:color w:val="auto"/>
        </w:rPr>
      </w:pPr>
      <w:r>
        <w:rPr>
          <w:rFonts w:ascii="Arial" w:cs="Arial" w:eastAsia="Arial" w:hAnsi="Arial"/>
          <w:sz w:val="13"/>
          <w:szCs w:val="13"/>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5410200</wp:posOffset>
            </wp:positionH>
            <wp:positionV relativeFrom="paragraph">
              <wp:posOffset>-93980</wp:posOffset>
            </wp:positionV>
            <wp:extent cx="187071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70710" cy="6350"/>
                    </a:xfrm>
                    <a:prstGeom prst="rect">
                      <a:avLst/>
                    </a:prstGeom>
                    <a:noFill/>
                  </pic:spPr>
                </pic:pic>
              </a:graphicData>
            </a:graphic>
          </wp:anchor>
        </w:drawing>
      </w:r>
    </w:p>
    <w:p>
      <w:pPr>
        <w:spacing w:after="0" w:line="5" w:lineRule="exact"/>
        <w:rPr>
          <w:sz w:val="20"/>
          <w:szCs w:val="20"/>
          <w:color w:val="auto"/>
        </w:rPr>
      </w:pPr>
    </w:p>
    <w:p>
      <w:pPr>
        <w:ind w:left="10080"/>
        <w:spacing w:after="0"/>
        <w:rPr>
          <w:sz w:val="20"/>
          <w:szCs w:val="20"/>
          <w:color w:val="auto"/>
        </w:rPr>
      </w:pPr>
      <w:r>
        <w:rPr>
          <w:rFonts w:ascii="Arial" w:cs="Arial" w:eastAsia="Arial" w:hAnsi="Arial"/>
          <w:sz w:val="14"/>
          <w:szCs w:val="14"/>
          <w:color w:val="auto"/>
        </w:rPr>
        <w:t>Chief Financial Officer</w:t>
      </w:r>
    </w:p>
    <w:sectPr>
      <w:pgSz w:w="11900" w:h="16838" w:orient="portrait"/>
      <w:cols w:equalWidth="0" w:num="1">
        <w:col w:w="11460"/>
      </w:cols>
      <w:pgMar w:left="220" w:top="12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E3E47A8"/>
    <w:multiLevelType w:val="hybridMultilevel"/>
    <w:lvl w:ilvl="0">
      <w:lvlJc w:val="left"/>
      <w:lvlText w:val="[%1]"/>
      <w:numFmt w:val="upperLetter"/>
      <w:start w:val="24"/>
    </w:lvl>
  </w:abstractNum>
  <w:abstractNum w:abstractNumId="1">
    <w:nsid w:val="2E48F044"/>
    <w:multiLevelType w:val="hybridMultilevel"/>
    <w:lvl w:ilvl="0">
      <w:lvlJc w:val="left"/>
      <w:lvlText w:val="["/>
      <w:numFmt w:val="bullet"/>
      <w:start w:val="1"/>
    </w:lvl>
  </w:abstractNum>
  <w:abstractNum w:abstractNumId="2">
    <w:nsid w:val="49D0FEAC"/>
    <w:multiLevelType w:val="hybridMultilevel"/>
    <w:lvl w:ilvl="0">
      <w:lvlJc w:val="left"/>
      <w:lvlText w:val="§"/>
      <w:numFmt w:val="bullet"/>
      <w:start w:val="1"/>
    </w:lvl>
  </w:abstractNum>
  <w:abstractNum w:abstractNumId="3">
    <w:nsid w:val="4BEE5A5B"/>
    <w:multiLevelType w:val="hybridMultilevel"/>
    <w:lvl w:ilvl="0">
      <w:lvlJc w:val="left"/>
      <w:lvlText w:val="§"/>
      <w:numFmt w:val="bullet"/>
      <w:start w:val="1"/>
    </w:lvl>
  </w:abstractNum>
  <w:abstractNum w:abstractNumId="4">
    <w:nsid w:val="5551B9F3"/>
    <w:multiLevelType w:val="hybridMultilevel"/>
    <w:lvl w:ilvl="0">
      <w:lvlJc w:val="left"/>
      <w:lvlText w:val="§"/>
      <w:numFmt w:val="bullet"/>
      <w:start w:val="1"/>
    </w:lvl>
  </w:abstractNum>
  <w:abstractNum w:abstractNumId="5">
    <w:nsid w:val="24F6AB8E"/>
    <w:multiLevelType w:val="hybridMultilevel"/>
    <w:lvl w:ilvl="0">
      <w:lvlJc w:val="left"/>
      <w:lvlText w:val="(%1)"/>
      <w:numFmt w:val="decimal"/>
      <w:start w:val="1"/>
    </w:lvl>
  </w:abstractNum>
  <w:abstractNum w:abstractNumId="6">
    <w:nsid w:val="634C574C"/>
    <w:multiLevelType w:val="hybridMultilevel"/>
    <w:lvl w:ilvl="0">
      <w:lvlJc w:val="left"/>
      <w:lvlText w:val="(%1)"/>
      <w:numFmt w:val="decimal"/>
      <w:start w:val="1"/>
    </w:lvl>
  </w:abstractNum>
  <w:abstractNum w:abstractNumId="7">
    <w:nsid w:val="24E99DD7"/>
    <w:multiLevelType w:val="hybridMultilevel"/>
    <w:lvl w:ilvl="0">
      <w:lvlJc w:val="left"/>
      <w:lvlText w:val="(%1)"/>
      <w:numFmt w:val="decimal"/>
      <w:start w:val="1"/>
    </w:lvl>
  </w:abstractNum>
  <w:abstractNum w:abstractNumId="8">
    <w:nsid w:val="2A31B62D"/>
    <w:multiLevelType w:val="hybridMultilevel"/>
    <w:lvl w:ilvl="0">
      <w:lvlJc w:val="left"/>
      <w:lvlText w:val="(%1)"/>
      <w:numFmt w:val="decimal"/>
      <w:start w:val="1"/>
    </w:lvl>
  </w:abstractNum>
  <w:abstractNum w:abstractNumId="9">
    <w:nsid w:val="1849C29B"/>
    <w:multiLevelType w:val="hybridMultilevel"/>
    <w:lvl w:ilvl="0">
      <w:lvlJc w:val="left"/>
      <w:lvlText w:val="§"/>
      <w:numFmt w:val="bullet"/>
      <w:start w:val="1"/>
    </w:lvl>
  </w:abstractNum>
  <w:abstractNum w:abstractNumId="10">
    <w:nsid w:val="7DFF9D09"/>
    <w:multiLevelType w:val="hybridMultilevel"/>
    <w:lvl w:ilvl="0">
      <w:lvlJc w:val="left"/>
      <w:lvlText w:val="§"/>
      <w:numFmt w:val="bullet"/>
      <w:start w:val="1"/>
    </w:lvl>
  </w:abstractNum>
  <w:abstractNum w:abstractNumId="11">
    <w:nsid w:val="754342"/>
    <w:multiLevelType w:val="hybridMultilevel"/>
    <w:lvl w:ilvl="0">
      <w:lvlJc w:val="left"/>
      <w:lvlText w:val="§"/>
      <w:numFmt w:val="bullet"/>
      <w:start w:val="1"/>
    </w:lvl>
  </w:abstractNum>
  <w:abstractNum w:abstractNumId="12">
    <w:nsid w:val="69E7F3E5"/>
    <w:multiLevelType w:val="hybridMultilevel"/>
    <w:lvl w:ilvl="0">
      <w:lvlJc w:val="left"/>
      <w:lvlText w:val="§"/>
      <w:numFmt w:val="bullet"/>
      <w:start w:val="1"/>
    </w:lvl>
  </w:abstractNum>
  <w:abstractNum w:abstractNumId="13">
    <w:nsid w:val="2A6DE806"/>
    <w:multiLevelType w:val="hybridMultilevel"/>
    <w:lvl w:ilvl="0">
      <w:lvlJc w:val="left"/>
      <w:lvlText w:val="(%1)"/>
      <w:numFmt w:val="decimal"/>
      <w:start w:val="1"/>
    </w:lvl>
  </w:abstractNum>
  <w:abstractNum w:abstractNumId="14">
    <w:nsid w:val="1816F8C4"/>
    <w:multiLevelType w:val="hybridMultilevel"/>
    <w:lvl w:ilvl="0">
      <w:lvlJc w:val="left"/>
      <w:lvlText w:val="(%1)"/>
      <w:numFmt w:val="decimal"/>
      <w:start w:val="1"/>
    </w:lvl>
  </w:abstractNum>
  <w:abstractNum w:abstractNumId="15">
    <w:nsid w:val="37DF2233"/>
    <w:multiLevelType w:val="hybridMultilevel"/>
    <w:lvl w:ilvl="0">
      <w:lvlJc w:val="left"/>
      <w:lvlText w:val="(%1)"/>
      <w:numFmt w:val="decimal"/>
      <w:start w:val="1"/>
    </w:lvl>
  </w:abstractNum>
  <w:abstractNum w:abstractNumId="16">
    <w:nsid w:val="7AB49DAF"/>
    <w:multiLevelType w:val="hybridMultilevel"/>
    <w:lvl w:ilvl="0">
      <w:lvlJc w:val="left"/>
      <w:lvlText w:val="(%1)"/>
      <w:numFmt w:val="decimal"/>
      <w:start w:val="1"/>
    </w:lvl>
  </w:abstractNum>
  <w:abstractNum w:abstractNumId="17">
    <w:nsid w:val="759F82CD"/>
    <w:multiLevelType w:val="hybridMultilevel"/>
    <w:lvl w:ilvl="0">
      <w:lvlJc w:val="left"/>
      <w:lvlText w:val="(%1)"/>
      <w:numFmt w:val="decimal"/>
      <w:start w:val="1"/>
    </w:lvl>
  </w:abstractNum>
  <w:abstractNum w:abstractNumId="18">
    <w:nsid w:val="61E74EA3"/>
    <w:multiLevelType w:val="hybridMultilevel"/>
    <w:lvl w:ilvl="0">
      <w:lvlJc w:val="left"/>
      <w:lvlText w:val="(%1)"/>
      <w:numFmt w:val="decimal"/>
      <w:start w:val="1"/>
    </w:lvl>
  </w:abstractNum>
  <w:abstractNum w:abstractNumId="19">
    <w:nsid w:val="597B4D84"/>
    <w:multiLevelType w:val="hybridMultilevel"/>
    <w:lvl w:ilvl="0">
      <w:lvlJc w:val="left"/>
      <w:lvlText w:val="§"/>
      <w:numFmt w:val="bullet"/>
      <w:start w:val="1"/>
    </w:lvl>
  </w:abstractNum>
  <w:abstractNum w:abstractNumId="20">
    <w:nsid w:val="F819E7F"/>
    <w:multiLevelType w:val="hybridMultilevel"/>
    <w:lvl w:ilvl="0">
      <w:lvlJc w:val="left"/>
      <w:lvlText w:val="§"/>
      <w:numFmt w:val="bullet"/>
      <w:start w:val="1"/>
    </w:lvl>
  </w:abstractNum>
  <w:abstractNum w:abstractNumId="21">
    <w:nsid w:val="57C7D42D"/>
    <w:multiLevelType w:val="hybridMultilevel"/>
    <w:lvl w:ilvl="0">
      <w:lvlJc w:val="left"/>
      <w:lvlText w:val="%1."/>
      <w:numFmt w:val="decimal"/>
      <w:start w:val="1"/>
    </w:lvl>
  </w:abstractNum>
  <w:abstractNum w:abstractNumId="22">
    <w:nsid w:val="312167AD"/>
    <w:multiLevelType w:val="hybridMultilevel"/>
    <w:lvl w:ilvl="0">
      <w:lvlJc w:val="left"/>
      <w:lvlText w:val="(%1)"/>
      <w:numFmt w:val="decimal"/>
      <w:start w:val="1"/>
    </w:lvl>
  </w:abstractNum>
  <w:abstractNum w:abstractNumId="23">
    <w:nsid w:val="631B64D4"/>
    <w:multiLevelType w:val="hybridMultilevel"/>
    <w:lvl w:ilvl="0">
      <w:lvlJc w:val="left"/>
      <w:lvlText w:val="§"/>
      <w:numFmt w:val="bullet"/>
      <w:start w:val="1"/>
    </w:lvl>
  </w:abstractNum>
  <w:abstractNum w:abstractNumId="24">
    <w:nsid w:val="78B5E776"/>
    <w:multiLevelType w:val="hybridMultilevel"/>
    <w:lvl w:ilvl="0">
      <w:lvlJc w:val="left"/>
      <w:lvlText w:val="§"/>
      <w:numFmt w:val="bullet"/>
      <w:start w:val="1"/>
    </w:lvl>
  </w:abstractNum>
  <w:abstractNum w:abstractNumId="25">
    <w:nsid w:val="75486E47"/>
    <w:multiLevelType w:val="hybridMultilevel"/>
    <w:lvl w:ilvl="0">
      <w:lvlJc w:val="left"/>
      <w:lvlText w:val="§"/>
      <w:numFmt w:val="bullet"/>
      <w:start w:val="1"/>
    </w:lvl>
  </w:abstractNum>
  <w:abstractNum w:abstractNumId="26">
    <w:nsid w:val="6E534CDE"/>
    <w:multiLevelType w:val="hybridMultilevel"/>
    <w:lvl w:ilvl="0">
      <w:lvlJc w:val="left"/>
      <w:lvlText w:val="§"/>
      <w:numFmt w:val="bullet"/>
      <w:start w:val="1"/>
    </w:lvl>
  </w:abstractNum>
  <w:abstractNum w:abstractNumId="27">
    <w:nsid w:val="1A0DDE32"/>
    <w:multiLevelType w:val="hybridMultilevel"/>
    <w:lvl w:ilvl="0">
      <w:lvlJc w:val="left"/>
      <w:lvlText w:val="§"/>
      <w:numFmt w:val="bullet"/>
      <w:start w:val="1"/>
    </w:lvl>
  </w:abstractNum>
  <w:abstractNum w:abstractNumId="28">
    <w:nsid w:val="65968C1C"/>
    <w:multiLevelType w:val="hybridMultilevel"/>
    <w:lvl w:ilvl="0">
      <w:lvlJc w:val="left"/>
      <w:lvlText w:val="(%1)"/>
      <w:numFmt w:val="decimal"/>
      <w:start w:val="1"/>
    </w:lvl>
  </w:abstractNum>
  <w:abstractNum w:abstractNumId="29">
    <w:nsid w:val="46263DEC"/>
    <w:multiLevelType w:val="hybridMultilevel"/>
    <w:lvl w:ilvl="0">
      <w:lvlJc w:val="left"/>
      <w:lvlText w:val="§"/>
      <w:numFmt w:val="bullet"/>
      <w:start w:val="1"/>
    </w:lvl>
  </w:abstractNum>
  <w:abstractNum w:abstractNumId="30">
    <w:nsid w:val="260D8C4A"/>
    <w:multiLevelType w:val="hybridMultilevel"/>
    <w:lvl w:ilvl="0">
      <w:lvlJc w:val="left"/>
      <w:lvlText w:val="§"/>
      <w:numFmt w:val="bullet"/>
      <w:start w:val="1"/>
    </w:lvl>
  </w:abstractNum>
  <w:abstractNum w:abstractNumId="31">
    <w:nsid w:val="73D4D3C4"/>
    <w:multiLevelType w:val="hybridMultilevel"/>
    <w:lvl w:ilvl="0">
      <w:lvlJc w:val="left"/>
      <w:lvlText w:val="§"/>
      <w:numFmt w:val="bullet"/>
      <w:start w:val="1"/>
    </w:lvl>
  </w:abstractNum>
  <w:abstractNum w:abstractNumId="32">
    <w:nsid w:val="746F2E30"/>
    <w:multiLevelType w:val="hybridMultilevel"/>
    <w:lvl w:ilvl="0">
      <w:lvlJc w:val="left"/>
      <w:lvlText w:val="§"/>
      <w:numFmt w:val="bullet"/>
      <w:start w:val="1"/>
    </w:lvl>
  </w:abstractNum>
  <w:abstractNum w:abstractNumId="33">
    <w:nsid w:val="6FDE8AF6"/>
    <w:multiLevelType w:val="hybridMultilevel"/>
    <w:lvl w:ilvl="0">
      <w:lvlJc w:val="left"/>
      <w:lvlText w:val="§"/>
      <w:numFmt w:val="bullet"/>
      <w:start w:val="1"/>
    </w:lvl>
  </w:abstractNum>
  <w:abstractNum w:abstractNumId="34">
    <w:nsid w:val="3FC32E20"/>
    <w:multiLevelType w:val="hybridMultilevel"/>
    <w:lvl w:ilvl="0">
      <w:lvlJc w:val="left"/>
      <w:lvlText w:val="§"/>
      <w:numFmt w:val="bullet"/>
      <w:start w:val="1"/>
    </w:lvl>
  </w:abstractNum>
  <w:abstractNum w:abstractNumId="35">
    <w:nsid w:val="49C0E823"/>
    <w:multiLevelType w:val="hybridMultilevel"/>
    <w:lvl w:ilvl="0">
      <w:lvlJc w:val="left"/>
      <w:lvlText w:val="§"/>
      <w:numFmt w:val="bullet"/>
      <w:start w:val="1"/>
    </w:lvl>
  </w:abstractNum>
  <w:abstractNum w:abstractNumId="36">
    <w:nsid w:val="14D53685"/>
    <w:multiLevelType w:val="hybridMultilevel"/>
    <w:lvl w:ilvl="0">
      <w:lvlJc w:val="left"/>
      <w:lvlText w:val="§"/>
      <w:numFmt w:val="bullet"/>
      <w:start w:val="1"/>
    </w:lvl>
  </w:abstractNum>
  <w:abstractNum w:abstractNumId="37">
    <w:nsid w:val="230F856C"/>
    <w:multiLevelType w:val="hybridMultilevel"/>
    <w:lvl w:ilvl="0">
      <w:lvlJc w:val="left"/>
      <w:lvlText w:val="§"/>
      <w:numFmt w:val="bullet"/>
      <w:start w:val="1"/>
    </w:lvl>
  </w:abstractNum>
  <w:abstractNum w:abstractNumId="38">
    <w:nsid w:val="6EAA85FB"/>
    <w:multiLevelType w:val="hybridMultilevel"/>
    <w:lvl w:ilvl="0">
      <w:lvlJc w:val="left"/>
      <w:lvlText w:val="§"/>
      <w:numFmt w:val="bullet"/>
      <w:start w:val="1"/>
    </w:lvl>
  </w:abstractNum>
  <w:abstractNum w:abstractNumId="39">
    <w:nsid w:val="3F06ECB2"/>
    <w:multiLevelType w:val="hybridMultilevel"/>
    <w:lvl w:ilvl="0">
      <w:lvlJc w:val="left"/>
      <w:lvlText w:val="§"/>
      <w:numFmt w:val="bullet"/>
      <w:start w:val="1"/>
    </w:lvl>
  </w:abstractNum>
  <w:abstractNum w:abstractNumId="40">
    <w:nsid w:val="3B594807"/>
    <w:multiLevelType w:val="hybridMultilevel"/>
    <w:lvl w:ilvl="0">
      <w:lvlJc w:val="left"/>
      <w:lvlText w:val="§"/>
      <w:numFmt w:val="bullet"/>
      <w:start w:val="1"/>
    </w:lvl>
  </w:abstractNum>
  <w:abstractNum w:abstractNumId="41">
    <w:nsid w:val="6CAA2304"/>
    <w:multiLevelType w:val="hybridMultilevel"/>
    <w:lvl w:ilvl="0">
      <w:lvlJc w:val="left"/>
      <w:lvlText w:val="§"/>
      <w:numFmt w:val="bullet"/>
      <w:start w:val="1"/>
    </w:lvl>
  </w:abstractNum>
  <w:abstractNum w:abstractNumId="42">
    <w:nsid w:val="3F7C2FF4"/>
    <w:multiLevelType w:val="hybridMultilevel"/>
    <w:lvl w:ilvl="0">
      <w:lvlJc w:val="left"/>
      <w:lvlText w:val="§"/>
      <w:numFmt w:val="bullet"/>
      <w:start w:val="1"/>
    </w:lvl>
  </w:abstractNum>
  <w:abstractNum w:abstractNumId="43">
    <w:nsid w:val="25413BEC"/>
    <w:multiLevelType w:val="hybridMultilevel"/>
    <w:lvl w:ilvl="0">
      <w:lvlJc w:val="left"/>
      <w:lvlText w:val="§"/>
      <w:numFmt w:val="bullet"/>
      <w:start w:val="1"/>
    </w:lvl>
  </w:abstractNum>
  <w:abstractNum w:abstractNumId="44">
    <w:nsid w:val="17180B0B"/>
    <w:multiLevelType w:val="hybridMultilevel"/>
    <w:lvl w:ilvl="0">
      <w:lvlJc w:val="left"/>
      <w:lvlText w:val="§"/>
      <w:numFmt w:val="bullet"/>
      <w:start w:val="1"/>
    </w:lvl>
  </w:abstractNum>
  <w:abstractNum w:abstractNumId="45">
    <w:nsid w:val="579328B9"/>
    <w:multiLevelType w:val="hybridMultilevel"/>
    <w:lvl w:ilvl="0">
      <w:lvlJc w:val="left"/>
      <w:lvlText w:val="(%1)"/>
      <w:numFmt w:val="decimal"/>
      <w:start w:val="1"/>
    </w:lvl>
  </w:abstractNum>
  <w:abstractNum w:abstractNumId="46">
    <w:nsid w:val="5D205E20"/>
    <w:multiLevelType w:val="hybridMultilevel"/>
    <w:lvl w:ilvl="0">
      <w:lvlJc w:val="left"/>
      <w:lvlText w:val="§"/>
      <w:numFmt w:val="bullet"/>
      <w:start w:val="1"/>
    </w:lvl>
  </w:abstractNum>
  <w:abstractNum w:abstractNumId="47">
    <w:nsid w:val="11CCA8BA"/>
    <w:multiLevelType w:val="hybridMultilevel"/>
    <w:lvl w:ilvl="0">
      <w:lvlJc w:val="left"/>
      <w:lvlText w:val="§"/>
      <w:numFmt w:val="bullet"/>
      <w:start w:val="1"/>
    </w:lvl>
  </w:abstractNum>
  <w:abstractNum w:abstractNumId="48">
    <w:nsid w:val="4D32AB86"/>
    <w:multiLevelType w:val="hybridMultilevel"/>
    <w:lvl w:ilvl="0">
      <w:lvlJc w:val="left"/>
      <w:lvlText w:val="§"/>
      <w:numFmt w:val="bullet"/>
      <w:start w:val="1"/>
    </w:lvl>
  </w:abstractNum>
  <w:abstractNum w:abstractNumId="49">
    <w:nsid w:val="3F07ACC3"/>
    <w:multiLevelType w:val="hybridMultilevel"/>
    <w:lvl w:ilvl="0">
      <w:lvlJc w:val="left"/>
      <w:lvlText w:val="§"/>
      <w:numFmt w:val="bullet"/>
      <w:start w:val="1"/>
    </w:lvl>
  </w:abstractNum>
  <w:abstractNum w:abstractNumId="50">
    <w:nsid w:val="6B47F63E"/>
    <w:multiLevelType w:val="hybridMultilevel"/>
    <w:lvl w:ilvl="0">
      <w:lvlJc w:val="left"/>
      <w:lvlText w:val="§"/>
      <w:numFmt w:val="bullet"/>
      <w:start w:val="1"/>
    </w:lvl>
  </w:abstractNum>
  <w:abstractNum w:abstractNumId="51">
    <w:nsid w:val="5CB44A05"/>
    <w:multiLevelType w:val="hybridMultilevel"/>
    <w:lvl w:ilvl="0">
      <w:lvlJc w:val="left"/>
      <w:lvlText w:val="§"/>
      <w:numFmt w:val="bullet"/>
      <w:start w:val="1"/>
    </w:lvl>
  </w:abstractNum>
  <w:abstractNum w:abstractNumId="52">
    <w:nsid w:val="16CF80F1"/>
    <w:multiLevelType w:val="hybridMultilevel"/>
    <w:lvl w:ilvl="0">
      <w:lvlJc w:val="left"/>
      <w:lvlText w:val="§"/>
      <w:numFmt w:val="bullet"/>
      <w:start w:val="1"/>
    </w:lvl>
  </w:abstractNum>
  <w:abstractNum w:abstractNumId="53">
    <w:nsid w:val="1C695DEC"/>
    <w:multiLevelType w:val="hybridMultilevel"/>
    <w:lvl w:ilvl="0">
      <w:lvlJc w:val="left"/>
      <w:lvlText w:val="§"/>
      <w:numFmt w:val="bullet"/>
      <w:start w:val="1"/>
    </w:lvl>
  </w:abstractNum>
  <w:abstractNum w:abstractNumId="54">
    <w:nsid w:val="3FCFAED9"/>
    <w:multiLevelType w:val="hybridMultilevel"/>
    <w:lvl w:ilvl="0">
      <w:lvlJc w:val="left"/>
      <w:lvlText w:val="§"/>
      <w:numFmt w:val="bullet"/>
      <w:start w:val="1"/>
    </w:lvl>
  </w:abstractNum>
  <w:abstractNum w:abstractNumId="55">
    <w:nsid w:val="F856867"/>
    <w:multiLevelType w:val="hybridMultilevel"/>
    <w:lvl w:ilvl="0">
      <w:lvlJc w:val="left"/>
      <w:lvlText w:val="§"/>
      <w:numFmt w:val="bullet"/>
      <w:start w:val="1"/>
    </w:lvl>
  </w:abstractNum>
  <w:abstractNum w:abstractNumId="56">
    <w:nsid w:val="11B1CC33"/>
    <w:multiLevelType w:val="hybridMultilevel"/>
    <w:lvl w:ilvl="0">
      <w:lvlJc w:val="left"/>
      <w:lvlText w:val="§"/>
      <w:numFmt w:val="bullet"/>
      <w:start w:val="1"/>
    </w:lvl>
  </w:abstractNum>
  <w:abstractNum w:abstractNumId="57">
    <w:nsid w:val="2E22FBB7"/>
    <w:multiLevelType w:val="hybridMultilevel"/>
    <w:lvl w:ilvl="0">
      <w:lvlJc w:val="left"/>
      <w:lvlText w:val="(%1)"/>
      <w:numFmt w:val="decimal"/>
      <w:start w:val="1"/>
    </w:lvl>
  </w:abstractNum>
  <w:abstractNum w:abstractNumId="58">
    <w:nsid w:val="29934699"/>
    <w:multiLevelType w:val="hybridMultilevel"/>
    <w:lvl w:ilvl="0">
      <w:lvlJc w:val="left"/>
      <w:lvlText w:val="·"/>
      <w:numFmt w:val="bullet"/>
      <w:start w:val="1"/>
    </w:lvl>
  </w:abstractNum>
  <w:abstractNum w:abstractNumId="59">
    <w:nsid w:val="77485850"/>
    <w:multiLevelType w:val="hybridMultilevel"/>
    <w:lvl w:ilvl="0">
      <w:lvlJc w:val="left"/>
      <w:lvlText w:val="§"/>
      <w:numFmt w:val="bullet"/>
      <w:start w:val="1"/>
    </w:lvl>
  </w:abstractNum>
  <w:abstractNum w:abstractNumId="60">
    <w:nsid w:val="744939A3"/>
    <w:multiLevelType w:val="hybridMultilevel"/>
    <w:lvl w:ilvl="0">
      <w:lvlJc w:val="left"/>
      <w:lvlText w:val="§"/>
      <w:numFmt w:val="bullet"/>
      <w:start w:val="1"/>
    </w:lvl>
  </w:abstractNum>
  <w:abstractNum w:abstractNumId="61">
    <w:nsid w:val="4FA0D2E3"/>
    <w:multiLevelType w:val="hybridMultilevel"/>
    <w:lvl w:ilvl="0">
      <w:lvlJc w:val="left"/>
      <w:lvlText w:val="§"/>
      <w:numFmt w:val="bullet"/>
      <w:start w:val="1"/>
    </w:lvl>
  </w:abstractNum>
  <w:abstractNum w:abstractNumId="62">
    <w:nsid w:val="6B1D2C14"/>
    <w:multiLevelType w:val="hybridMultilevel"/>
    <w:lvl w:ilvl="0">
      <w:lvlJc w:val="left"/>
      <w:lvlText w:val="§"/>
      <w:numFmt w:val="bullet"/>
      <w:start w:val="1"/>
    </w:lvl>
  </w:abstractNum>
  <w:abstractNum w:abstractNumId="63">
    <w:nsid w:val="68B867D3"/>
    <w:multiLevelType w:val="hybridMultilevel"/>
    <w:lvl w:ilvl="0">
      <w:lvlJc w:val="left"/>
      <w:lvlText w:val="(%1)"/>
      <w:numFmt w:val="lowerLetter"/>
      <w:start w:val="1"/>
    </w:lvl>
  </w:abstractNum>
  <w:abstractNum w:abstractNumId="64">
    <w:nsid w:val="3F7F5DD9"/>
    <w:multiLevelType w:val="hybridMultilevel"/>
    <w:lvl w:ilvl="0">
      <w:lvlJc w:val="left"/>
      <w:lvlText w:val="(%1)"/>
      <w:numFmt w:val="lowerLetter"/>
      <w:start w:val="1"/>
    </w:lvl>
  </w:abstractNum>
  <w:abstractNum w:abstractNumId="65">
    <w:nsid w:val="2AE05A34"/>
    <w:multiLevelType w:val="hybridMultilevel"/>
    <w:lvl w:ilvl="0">
      <w:lvlJc w:val="left"/>
      <w:lvlText w:val="(%1)"/>
      <w:numFmt w:val="lowerLetter"/>
      <w:start w:val="1"/>
    </w:lvl>
  </w:abstractNum>
  <w:abstractNum w:abstractNumId="66">
    <w:nsid w:val="32794FF7"/>
    <w:multiLevelType w:val="hybridMultilevel"/>
    <w:lvl w:ilvl="0">
      <w:lvlJc w:val="left"/>
      <w:lvlText w:val="(%1)"/>
      <w:numFmt w:val="lowerLetter"/>
      <w:start w:val="2"/>
    </w:lvl>
  </w:abstractNum>
  <w:abstractNum w:abstractNumId="67">
    <w:nsid w:val="5454945E"/>
    <w:multiLevelType w:val="hybridMultilevel"/>
    <w:lvl w:ilvl="0">
      <w:lvlJc w:val="left"/>
      <w:lvlText w:val="(%1)"/>
      <w:numFmt w:val="lowerLetter"/>
      <w:start w:val="1"/>
    </w:lvl>
  </w:abstractNum>
  <w:abstractNum w:abstractNumId="68">
    <w:nsid w:val="4DEFDFA0"/>
    <w:multiLevelType w:val="hybridMultilevel"/>
    <w:lvl w:ilvl="0">
      <w:lvlJc w:val="left"/>
      <w:lvlText w:val="(%1)"/>
      <w:numFmt w:val="lowerLetter"/>
      <w:start w:val="2"/>
    </w:lvl>
  </w:abstractNum>
  <w:abstractNum w:abstractNumId="69">
    <w:nsid w:val="2123D5F2"/>
    <w:multiLevelType w:val="hybridMultilevel"/>
    <w:lvl w:ilvl="0">
      <w:lvlJc w:val="left"/>
      <w:lvlText w:val="(%1)"/>
      <w:numFmt w:val="lowerLetter"/>
      <w:start w:val="1"/>
    </w:lvl>
  </w:abstractNum>
  <w:abstractNum w:abstractNumId="70">
    <w:nsid w:val="135B8110"/>
    <w:multiLevelType w:val="hybridMultilevel"/>
    <w:lvl w:ilvl="0">
      <w:lvlJc w:val="left"/>
      <w:lvlText w:val="(%1)"/>
      <w:numFmt w:val="lowerLetter"/>
      <w:start w:val="1"/>
    </w:lvl>
  </w:abstractNum>
  <w:abstractNum w:abstractNumId="71">
    <w:nsid w:val="94927A8"/>
    <w:multiLevelType w:val="hybridMultilevel"/>
    <w:lvl w:ilvl="0">
      <w:lvlJc w:val="left"/>
      <w:lvlText w:val="(%1)"/>
      <w:numFmt w:val="lowerLetter"/>
      <w:start w:val="1"/>
    </w:lvl>
  </w:abstractNum>
  <w:abstractNum w:abstractNumId="72">
    <w:nsid w:val="DCDF8F6"/>
    <w:multiLevelType w:val="hybridMultilevel"/>
    <w:lvl w:ilvl="0">
      <w:lvlJc w:val="left"/>
      <w:lvlText w:val="(%1)"/>
      <w:numFmt w:val="lowerLetter"/>
      <w:start w:val="2"/>
    </w:lvl>
  </w:abstractNum>
  <w:abstractNum w:abstractNumId="73">
    <w:nsid w:val="52D7B105"/>
    <w:multiLevelType w:val="hybridMultilevel"/>
    <w:lvl w:ilvl="0">
      <w:lvlJc w:val="left"/>
      <w:lvlText w:val="(%1)"/>
      <w:numFmt w:val="lowerLetter"/>
      <w:start w:val="1"/>
    </w:lvl>
  </w:abstractNum>
  <w:abstractNum w:abstractNumId="74">
    <w:nsid w:val="2E8A6394"/>
    <w:multiLevelType w:val="hybridMultilevel"/>
    <w:lvl w:ilvl="0">
      <w:lvlJc w:val="left"/>
      <w:lvlText w:val="(%1)"/>
      <w:numFmt w:val="lowerLetter"/>
      <w:start w:val="2"/>
    </w:lvl>
    <w:lvl w:ilvl="1">
      <w:lvlJc w:val="left"/>
      <w:lvlText w:val="(%2)"/>
      <w:numFmt w:val="lowerLetter"/>
      <w:start w:val="3"/>
    </w:lvl>
  </w:abstractNum>
  <w:abstractNum w:abstractNumId="75">
    <w:nsid w:val="24E60401"/>
    <w:multiLevelType w:val="hybridMultilevel"/>
    <w:lvl w:ilvl="0">
      <w:lvlJc w:val="left"/>
      <w:lvlText w:val="(%1)"/>
      <w:numFmt w:val="lowerLetter"/>
      <w:start w:val="1"/>
    </w:lvl>
    <w:lvl w:ilvl="1">
      <w:lvlJc w:val="left"/>
      <w:lvlText w:val="(%2)"/>
      <w:numFmt w:val="decimal"/>
      <w:start w:val="3"/>
    </w:lvl>
  </w:abstractNum>
  <w:abstractNum w:abstractNumId="76">
    <w:nsid w:val="2A6AD9BE"/>
    <w:multiLevelType w:val="hybridMultilevel"/>
    <w:lvl w:ilvl="0">
      <w:lvlJc w:val="left"/>
      <w:lvlText w:val="(%1)"/>
      <w:numFmt w:val="lowerLetter"/>
      <w:start w:val="2"/>
    </w:lvl>
  </w:abstractNum>
  <w:abstractNum w:abstractNumId="77">
    <w:nsid w:val="BAAC1B4"/>
    <w:multiLevelType w:val="hybridMultilevel"/>
    <w:lvl w:ilvl="0">
      <w:lvlJc w:val="left"/>
      <w:lvlText w:val="(%1)"/>
      <w:numFmt w:val="lowerLetter"/>
      <w:start w:val="1"/>
    </w:lvl>
  </w:abstractNum>
  <w:abstractNum w:abstractNumId="78">
    <w:nsid w:val="36B2ACBC"/>
    <w:multiLevelType w:val="hybridMultilevel"/>
    <w:lvl w:ilvl="0">
      <w:lvlJc w:val="left"/>
      <w:lvlText w:val="1"/>
      <w:numFmt w:val="bullet"/>
      <w:start w:val="1"/>
    </w:lvl>
  </w:abstractNum>
  <w:abstractNum w:abstractNumId="79">
    <w:nsid w:val="779D8544"/>
    <w:multiLevelType w:val="hybridMultilevel"/>
    <w:lvl w:ilvl="0">
      <w:lvlJc w:val="left"/>
      <w:lvlText w:val="5"/>
      <w:numFmt w:val="bullet"/>
      <w:start w:val="1"/>
    </w:lvl>
  </w:abstractNum>
  <w:abstractNum w:abstractNumId="80">
    <w:nsid w:val="4AB26E78"/>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81">
    <w:nsid w:val="21FAA2FA"/>
    <w:multiLevelType w:val="hybridMultilevel"/>
    <w:lvl w:ilvl="0">
      <w:lvlJc w:val="left"/>
      <w:lvlText w:val="%1."/>
      <w:numFmt w:val="upperLetter"/>
      <w:start w:val="35"/>
    </w:lvl>
  </w:abstractNum>
  <w:abstractNum w:abstractNumId="82">
    <w:nsid w:val="5451CF49"/>
    <w:multiLevelType w:val="hybridMultilevel"/>
    <w:lvl w:ilvl="0">
      <w:lvlJc w:val="left"/>
      <w:lvlText w:val="%1."/>
      <w:numFmt w:val="upperLetter"/>
      <w:start w:val="61"/>
    </w:lvl>
    <w:lvl w:ilvl="1">
      <w:lvlJc w:val="left"/>
      <w:lvlText w:val="%2."/>
      <w:numFmt w:val="upperLetter"/>
      <w:start w:val="1"/>
    </w:lvl>
  </w:abstractNum>
  <w:abstractNum w:abstractNumId="83">
    <w:nsid w:val="6181EF69"/>
    <w:multiLevelType w:val="hybridMultilevel"/>
    <w:lvl w:ilvl="0">
      <w:lvlJc w:val="left"/>
      <w:lvlText w:val="%1."/>
      <w:numFmt w:val="upperLetter"/>
      <w:start w:val="9"/>
    </w:lvl>
  </w:abstractNum>
  <w:abstractNum w:abstractNumId="84">
    <w:nsid w:val="3E6400E6"/>
    <w:multiLevelType w:val="hybridMultilevel"/>
    <w:lvl w:ilvl="0">
      <w:lvlJc w:val="left"/>
      <w:lvlText w:val="%1."/>
      <w:numFmt w:val="upperLetter"/>
      <w:start w:val="35"/>
    </w:lvl>
    <w:lvl w:ilvl="1">
      <w:lvlJc w:val="left"/>
      <w:lvlText w:val="%2."/>
      <w:numFmt w:val="decimal"/>
      <w:start w:val="1"/>
    </w:lvl>
  </w:abstractNum>
  <w:abstractNum w:abstractNumId="85">
    <w:nsid w:val="14217E23"/>
    <w:multiLevelType w:val="hybridMultilevel"/>
    <w:lvl w:ilvl="0">
      <w:lvlJc w:val="left"/>
      <w:lvlText w:val="%1."/>
      <w:numFmt w:val="upperLetter"/>
      <w:start w:val="61"/>
    </w:lvl>
  </w:abstractNum>
  <w:abstractNum w:abstractNumId="86">
    <w:nsid w:val="710757D0"/>
    <w:multiLevelType w:val="hybridMultilevel"/>
    <w:lvl w:ilvl="0">
      <w:lvlJc w:val="left"/>
      <w:lvlText w:val="%1."/>
      <w:numFmt w:val="upperLetter"/>
      <w:start w:val="22"/>
    </w:lvl>
  </w:abstractNum>
  <w:abstractNum w:abstractNumId="87">
    <w:nsid w:val="5015CD1A"/>
    <w:multiLevelType w:val="hybridMultilevel"/>
    <w:lvl w:ilvl="0">
      <w:lvlJc w:val="left"/>
      <w:lvlText w:val="%1."/>
      <w:numFmt w:val="upperLetter"/>
      <w:start w:val="24"/>
    </w:lvl>
  </w:abstractNum>
  <w:abstractNum w:abstractNumId="88">
    <w:nsid w:val="424479DA"/>
    <w:multiLevelType w:val="hybridMultilevel"/>
    <w:lvl w:ilvl="0">
      <w:lvlJc w:val="left"/>
      <w:lvlText w:val="(%1)"/>
      <w:numFmt w:val="lowerRoman"/>
      <w:start w:val="2"/>
    </w:lvl>
  </w:abstractNum>
  <w:abstractNum w:abstractNumId="89">
    <w:nsid w:val="1A9A9E69"/>
    <w:multiLevelType w:val="hybridMultilevel"/>
    <w:lvl w:ilvl="0">
      <w:lvlJc w:val="left"/>
      <w:lvlText w:val="·"/>
      <w:numFmt w:val="bullet"/>
      <w:start w:val="1"/>
    </w:lvl>
  </w:abstractNum>
  <w:abstractNum w:abstractNumId="90">
    <w:nsid w:val="475E256A"/>
    <w:multiLevelType w:val="hybridMultilevel"/>
    <w:lvl w:ilvl="0">
      <w:lvlJc w:val="left"/>
      <w:lvlText w:val="%1."/>
      <w:numFmt w:val="upperLetter"/>
      <w:start w:val="9"/>
    </w:lvl>
    <w:lvl w:ilvl="1">
      <w:lvlJc w:val="left"/>
      <w:lvlText w:val="%2."/>
      <w:numFmt w:val="upperLetter"/>
      <w:start w:val="1"/>
    </w:lvl>
  </w:abstractNum>
  <w:abstractNum w:abstractNumId="91">
    <w:nsid w:val="368DB37E"/>
    <w:multiLevelType w:val="hybridMultilevel"/>
    <w:lvl w:ilvl="0">
      <w:lvlJc w:val="left"/>
      <w:lvlText w:val="%1."/>
      <w:numFmt w:val="upperLetter"/>
      <w:start w:val="2"/>
    </w:lvl>
  </w:abstractNum>
  <w:abstractNum w:abstractNumId="92">
    <w:nsid w:val="6A3B714C"/>
    <w:multiLevelType w:val="hybridMultilevel"/>
    <w:lvl w:ilvl="0">
      <w:lvlJc w:val="left"/>
      <w:lvlText w:val="%1."/>
      <w:numFmt w:val="upperLetter"/>
      <w:start w:val="3"/>
    </w:lvl>
  </w:abstractNum>
  <w:abstractNum w:abstractNumId="93">
    <w:nsid w:val="327B517E"/>
    <w:multiLevelType w:val="hybridMultilevel"/>
    <w:lvl w:ilvl="0">
      <w:lvlJc w:val="left"/>
      <w:lvlText w:val="%1"/>
      <w:numFmt w:val="upperLetter"/>
      <w:start w:val="1"/>
    </w:lvl>
    <w:lvl w:ilvl="1">
      <w:lvlJc w:val="left"/>
      <w:lvlText w:val="%2."/>
      <w:numFmt w:val="upperLetter"/>
      <w:start w:val="4"/>
    </w:lvl>
  </w:abstractNum>
  <w:abstractNum w:abstractNumId="94">
    <w:nsid w:val="1F461B51"/>
    <w:multiLevelType w:val="hybridMultilevel"/>
    <w:lvl w:ilvl="0">
      <w:lvlJc w:val="left"/>
      <w:lvlText w:val="%1."/>
      <w:numFmt w:val="upperLetter"/>
      <w:start w:val="35"/>
    </w:lvl>
    <w:lvl w:ilvl="1">
      <w:lvlJc w:val="left"/>
      <w:lvlText w:val="%2."/>
      <w:numFmt w:val="upperLetter"/>
      <w:start w:val="1"/>
    </w:lvl>
  </w:abstractNum>
  <w:abstractNum w:abstractNumId="95">
    <w:nsid w:val="29BACF25"/>
    <w:multiLevelType w:val="hybridMultilevel"/>
    <w:lvl w:ilvl="0">
      <w:lvlJc w:val="left"/>
      <w:lvlText w:val="%1."/>
      <w:numFmt w:val="upperLetter"/>
      <w:start w:val="2"/>
    </w:lvl>
    <w:lvl w:ilvl="1">
      <w:lvlJc w:val="left"/>
      <w:lvlText w:val="%2."/>
      <w:numFmt w:val="decimal"/>
      <w:start w:val="1"/>
    </w:lvl>
  </w:abstractNum>
  <w:abstractNum w:abstractNumId="96">
    <w:nsid w:val="5D5BABB3"/>
    <w:multiLevelType w:val="hybridMultilevel"/>
    <w:lvl w:ilvl="0">
      <w:lvlJc w:val="left"/>
      <w:lvlText w:val="%1"/>
      <w:numFmt w:val="upperLetter"/>
      <w:start w:val="1"/>
    </w:lvl>
    <w:lvl w:ilvl="1">
      <w:lvlJc w:val="left"/>
      <w:lvlText w:val="%2."/>
      <w:numFmt w:val="upperLetter"/>
      <w:start w:val="3"/>
    </w:lvl>
    <w:lvl w:ilvl="2">
      <w:lvlJc w:val="left"/>
      <w:lvlText w:val="o"/>
      <w:numFmt w:val="bullet"/>
      <w:start w:val="1"/>
    </w:lvl>
  </w:abstractNum>
  <w:abstractNum w:abstractNumId="97">
    <w:nsid w:val="51BF6B48"/>
    <w:multiLevelType w:val="hybridMultilevel"/>
    <w:lvl w:ilvl="0">
      <w:lvlJc w:val="left"/>
      <w:lvlText w:val="%1."/>
      <w:numFmt w:val="upperLetter"/>
      <w:start w:val="61"/>
    </w:lvl>
    <w:lvl w:ilvl="1">
      <w:lvlJc w:val="left"/>
      <w:lvlText w:val="%2."/>
      <w:numFmt w:val="upperLetter"/>
      <w:start w:val="1"/>
    </w:lvl>
    <w:lvl w:ilvl="2">
      <w:lvlJc w:val="left"/>
      <w:lvlText w:val="o"/>
      <w:numFmt w:val="bullet"/>
      <w:start w:val="1"/>
    </w:lvl>
  </w:abstractNum>
  <w:abstractNum w:abstractNumId="98">
    <w:nsid w:val="7E0F6384"/>
    <w:multiLevelType w:val="hybridMultilevel"/>
    <w:lvl w:ilvl="0">
      <w:lvlJc w:val="left"/>
      <w:lvlText w:val="%1."/>
      <w:numFmt w:val="upperLetter"/>
      <w:start w:val="1"/>
    </w:lvl>
    <w:lvl w:ilvl="1">
      <w:lvlJc w:val="left"/>
      <w:lvlText w:val="·"/>
      <w:numFmt w:val="bullet"/>
      <w:start w:val="1"/>
    </w:lvl>
  </w:abstractNum>
  <w:abstractNum w:abstractNumId="99">
    <w:nsid w:val="2B4B8B53"/>
    <w:multiLevelType w:val="hybridMultilevel"/>
    <w:lvl w:ilvl="0">
      <w:lvlJc w:val="left"/>
      <w:lvlText w:val="%1"/>
      <w:numFmt w:val="upperLetter"/>
      <w:start w:val="1"/>
    </w:lvl>
    <w:lvl w:ilvl="1">
      <w:lvlJc w:val="left"/>
      <w:lvlText w:val="%2."/>
      <w:numFmt w:val="decimal"/>
      <w:start w:val="2"/>
    </w:lvl>
    <w:lvl w:ilvl="2">
      <w:lvlJc w:val="left"/>
      <w:lvlText w:val="·"/>
      <w:numFmt w:val="bullet"/>
      <w:start w:val="1"/>
    </w:lvl>
  </w:abstractNum>
  <w:abstractNum w:abstractNumId="100">
    <w:nsid w:val="72E3413A"/>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101">
    <w:nsid w:val="116AE494"/>
    <w:multiLevelType w:val="hybridMultilevel"/>
    <w:lvl w:ilvl="0">
      <w:lvlJc w:val="left"/>
      <w:lvlText w:val="%1."/>
      <w:numFmt w:val="decimal"/>
      <w:start w:val="2"/>
    </w:lvl>
  </w:abstractNum>
  <w:abstractNum w:abstractNumId="102">
    <w:nsid w:val="3494B2FB"/>
    <w:multiLevelType w:val="hybridMultilevel"/>
    <w:lvl w:ilvl="0">
      <w:lvlJc w:val="left"/>
      <w:lvlText w:val="%1)"/>
      <w:numFmt w:val="decimal"/>
      <w:start w:val="1"/>
    </w:lvl>
  </w:abstractNum>
  <w:abstractNum w:abstractNumId="103">
    <w:nsid w:val="B13A31"/>
    <w:multiLevelType w:val="hybridMultilevel"/>
    <w:lvl w:ilvl="0">
      <w:lvlJc w:val="left"/>
      <w:lvlText w:val="%1"/>
      <w:numFmt w:val="upperLetter"/>
      <w:start w:val="1"/>
    </w:lvl>
    <w:lvl w:ilvl="1">
      <w:lvlJc w:val="left"/>
      <w:lvlText w:val="%2."/>
      <w:numFmt w:val="decimal"/>
      <w:start w:val="3"/>
    </w:lvl>
  </w:abstractNum>
  <w:abstractNum w:abstractNumId="104">
    <w:nsid w:val="64429599"/>
    <w:multiLevelType w:val="hybridMultilevel"/>
    <w:lvl w:ilvl="0">
      <w:lvlJc w:val="left"/>
      <w:lvlText w:val="%1."/>
      <w:numFmt w:val="upperLetter"/>
      <w:start w:val="4"/>
    </w:lvl>
    <w:lvl w:ilvl="1">
      <w:lvlJc w:val="left"/>
      <w:lvlText w:val="%2."/>
      <w:numFmt w:val="decimal"/>
      <w:start w:val="1"/>
    </w:lvl>
  </w:abstractNum>
  <w:abstractNum w:abstractNumId="105">
    <w:nsid w:val="631F1690"/>
    <w:multiLevelType w:val="hybridMultilevel"/>
    <w:lvl w:ilvl="0">
      <w:lvlJc w:val="left"/>
      <w:lvlText w:val="%1."/>
      <w:numFmt w:val="lowerLetter"/>
      <w:start w:val="1"/>
    </w:lvl>
  </w:abstractNum>
  <w:abstractNum w:abstractNumId="106">
    <w:nsid w:val="25973E32"/>
    <w:multiLevelType w:val="hybridMultilevel"/>
    <w:lvl w:ilvl="0">
      <w:lvlJc w:val="left"/>
      <w:lvlText w:val="%1."/>
      <w:numFmt w:val="decimal"/>
      <w:start w:val="2"/>
    </w:lvl>
  </w:abstractNum>
  <w:abstractNum w:abstractNumId="107">
    <w:nsid w:val="EAD6F57"/>
    <w:multiLevelType w:val="hybridMultilevel"/>
    <w:lvl w:ilvl="0">
      <w:lvlJc w:val="left"/>
      <w:lvlText w:val="%1."/>
      <w:numFmt w:val="upperLetter"/>
      <w:start w:val="9"/>
    </w:lvl>
  </w:abstractNum>
  <w:abstractNum w:abstractNumId="108">
    <w:nsid w:val="6EC9D844"/>
    <w:multiLevelType w:val="hybridMultilevel"/>
    <w:lvl w:ilvl="0">
      <w:lvlJc w:val="left"/>
      <w:lvlText w:val="%1."/>
      <w:numFmt w:val="upperLetter"/>
      <w:start w:val="35"/>
    </w:lvl>
  </w:abstractNum>
  <w:abstractNum w:abstractNumId="109">
    <w:nsid w:val="5C49EAEE"/>
    <w:multiLevelType w:val="hybridMultilevel"/>
    <w:lvl w:ilvl="0">
      <w:lvlJc w:val="left"/>
      <w:lvlText w:val="(%1)"/>
      <w:numFmt w:val="lowerRoman"/>
      <w:start w:val="3"/>
    </w:lvl>
  </w:abstractNum>
  <w:abstractNum w:abstractNumId="110">
    <w:nsid w:val="64AF49B"/>
    <w:multiLevelType w:val="hybridMultilevel"/>
    <w:lvl w:ilvl="0">
      <w:lvlJc w:val="left"/>
      <w:lvlText w:val="%1."/>
      <w:numFmt w:val="upperLetter"/>
      <w:start w:val="2"/>
    </w:lvl>
  </w:abstractNum>
  <w:abstractNum w:abstractNumId="111">
    <w:nsid w:val="397C46BC"/>
    <w:multiLevelType w:val="hybridMultilevel"/>
    <w:lvl w:ilvl="0">
      <w:lvlJc w:val="left"/>
      <w:lvlText w:val="%1."/>
      <w:numFmt w:val="upperLetter"/>
      <w:start w:val="3"/>
    </w:lvl>
  </w:abstractNum>
  <w:abstractNum w:abstractNumId="112">
    <w:nsid w:val="7E448DE9"/>
    <w:multiLevelType w:val="hybridMultilevel"/>
    <w:lvl w:ilvl="0">
      <w:lvlJc w:val="left"/>
      <w:lvlText w:val="%1."/>
      <w:numFmt w:val="upperLetter"/>
      <w:start w:val="61"/>
    </w:lvl>
  </w:abstractNum>
  <w:abstractNum w:abstractNumId="113">
    <w:nsid w:val="5A9CC3E5"/>
    <w:multiLevelType w:val="hybridMultilevel"/>
    <w:lvl w:ilvl="0">
      <w:lvlJc w:val="left"/>
      <w:lvlText w:val="%1."/>
      <w:numFmt w:val="upperLetter"/>
      <w:start w:val="1"/>
    </w:lvl>
  </w:abstractNum>
  <w:abstractNum w:abstractNumId="114">
    <w:nsid w:val="1AFE3625"/>
    <w:multiLevelType w:val="hybridMultilevel"/>
    <w:lvl w:ilvl="0">
      <w:lvlJc w:val="left"/>
      <w:lvlText w:val="%1."/>
      <w:numFmt w:val="upperLetter"/>
      <w:start w:val="2"/>
    </w:lvl>
  </w:abstractNum>
  <w:abstractNum w:abstractNumId="115">
    <w:nsid w:val="3CA88ECF"/>
    <w:multiLevelType w:val="hybridMultilevel"/>
    <w:lvl w:ilvl="0">
      <w:lvlJc w:val="left"/>
      <w:lvlText w:val="%1."/>
      <w:numFmt w:val="upperLetter"/>
      <w:start w:val="9"/>
    </w:lvl>
  </w:abstractNum>
  <w:abstractNum w:abstractNumId="116">
    <w:nsid w:val="6EBE4208"/>
    <w:multiLevelType w:val="hybridMultilevel"/>
    <w:lvl w:ilvl="0">
      <w:lvlJc w:val="left"/>
      <w:lvlText w:val="·"/>
      <w:numFmt w:val="bullet"/>
      <w:start w:val="1"/>
    </w:lvl>
  </w:abstractNum>
  <w:abstractNum w:abstractNumId="117">
    <w:nsid w:val="C058DF5"/>
    <w:multiLevelType w:val="hybridMultilevel"/>
    <w:lvl w:ilvl="0">
      <w:lvlJc w:val="left"/>
      <w:lvlText w:val="·"/>
      <w:numFmt w:val="bullet"/>
      <w:start w:val="1"/>
    </w:lvl>
  </w:abstractNum>
  <w:abstractNum w:abstractNumId="118">
    <w:nsid w:val="CBE5BE9"/>
    <w:multiLevelType w:val="hybridMultilevel"/>
    <w:lvl w:ilvl="0">
      <w:lvlJc w:val="left"/>
      <w:lvlText w:val="%1."/>
      <w:numFmt w:val="upperLetter"/>
      <w:start w:val="35"/>
    </w:lvl>
  </w:abstractNum>
  <w:abstractNum w:abstractNumId="119">
    <w:nsid w:val="3102BBE2"/>
    <w:multiLevelType w:val="hybridMultilevel"/>
    <w:lvl w:ilvl="0">
      <w:lvlJc w:val="left"/>
      <w:lvlText w:val="%1."/>
      <w:numFmt w:val="upperLetter"/>
      <w:start w:val="61"/>
    </w:lvl>
  </w:abstractNum>
  <w:abstractNum w:abstractNumId="120">
    <w:nsid w:val="26A02C5E"/>
    <w:multiLevelType w:val="hybridMultilevel"/>
    <w:lvl w:ilvl="0">
      <w:lvlJc w:val="left"/>
      <w:lvlText w:val="1"/>
      <w:numFmt w:val="bullet"/>
      <w:start w:val="1"/>
    </w:lvl>
  </w:abstractNum>
  <w:abstractNum w:abstractNumId="121">
    <w:nsid w:val="541C8153"/>
    <w:multiLevelType w:val="hybridMultilevel"/>
    <w:lvl w:ilvl="0">
      <w:lvlJc w:val="left"/>
      <w:lvlText w:val="2"/>
      <w:numFmt w:val="bullet"/>
      <w:start w:val="1"/>
    </w:lvl>
  </w:abstractNum>
  <w:abstractNum w:abstractNumId="122">
    <w:nsid w:val="67906F60"/>
    <w:multiLevelType w:val="hybridMultilevel"/>
    <w:lvl w:ilvl="0">
      <w:lvlJc w:val="left"/>
      <w:lvlText w:val="%1."/>
      <w:numFmt w:val="upperLetter"/>
      <w:start w:val="1"/>
    </w:lvl>
  </w:abstractNum>
  <w:abstractNum w:abstractNumId="123">
    <w:nsid w:val="10DB9DAA"/>
    <w:multiLevelType w:val="hybridMultilevel"/>
    <w:lvl w:ilvl="0">
      <w:lvlJc w:val="left"/>
      <w:lvlText w:val="(%1)"/>
      <w:numFmt w:val="lowerLetter"/>
      <w:start w:val="1"/>
    </w:lvl>
  </w:abstractNum>
  <w:abstractNum w:abstractNumId="124">
    <w:nsid w:val="697D2D2"/>
    <w:multiLevelType w:val="hybridMultilevel"/>
    <w:lvl w:ilvl="0">
      <w:lvlJc w:val="left"/>
      <w:lvlText w:val="(%1)"/>
      <w:numFmt w:val="lowerLetter"/>
      <w:start w:val="3"/>
    </w:lvl>
  </w:abstractNum>
  <w:abstractNum w:abstractNumId="125">
    <w:nsid w:val="6D68AB2"/>
    <w:multiLevelType w:val="hybridMultilevel"/>
    <w:lvl w:ilvl="0">
      <w:lvlJc w:val="left"/>
      <w:lvlText w:val="(%1)"/>
      <w:numFmt w:val="lowerLetter"/>
      <w:start w:val="1"/>
    </w:lvl>
  </w:abstractNum>
  <w:abstractNum w:abstractNumId="126">
    <w:nsid w:val="3A966CD0"/>
    <w:multiLevelType w:val="hybridMultilevel"/>
    <w:lvl w:ilvl="0">
      <w:lvlJc w:val="left"/>
      <w:lvlText w:val="(%1)"/>
      <w:numFmt w:val="lowerLetter"/>
      <w:start w:val="1"/>
    </w:lvl>
    <w:lvl w:ilvl="1">
      <w:lvlJc w:val="left"/>
      <w:lvlText w:val="(%2)"/>
      <w:numFmt w:val="decimal"/>
      <w:start w:val="1"/>
    </w:lvl>
  </w:abstractNum>
  <w:abstractNum w:abstractNumId="127">
    <w:nsid w:val="63F37E85"/>
    <w:multiLevelType w:val="hybridMultilevel"/>
    <w:lvl w:ilvl="0">
      <w:lvlJc w:val="left"/>
      <w:lvlText w:val="(%1)"/>
      <w:numFmt w:val="lowerLetter"/>
      <w:start w:val="2"/>
    </w:lvl>
  </w:abstractNum>
  <w:abstractNum w:abstractNumId="128">
    <w:nsid w:val="5895F5FA"/>
    <w:multiLevelType w:val="hybridMultilevel"/>
    <w:lvl w:ilvl="0">
      <w:lvlJc w:val="left"/>
      <w:lvlText w:val="(%1)"/>
      <w:numFmt w:val="lowerLetter"/>
      <w:start w:val="1"/>
    </w:lvl>
  </w:abstractNum>
  <w:abstractNum w:abstractNumId="129">
    <w:nsid w:val="38A5D054"/>
    <w:multiLevelType w:val="hybridMultilevel"/>
    <w:lvl w:ilvl="0">
      <w:lvlJc w:val="left"/>
      <w:lvlText w:val="(%1)"/>
      <w:numFmt w:val="lowerLetter"/>
      <w:start w:val="9"/>
    </w:lvl>
  </w:abstractNum>
  <w:abstractNum w:abstractNumId="130">
    <w:nsid w:val="F3F09D8"/>
    <w:multiLevelType w:val="hybridMultilevel"/>
    <w:lvl w:ilvl="0">
      <w:lvlJc w:val="left"/>
      <w:lvlText w:val="(%1)"/>
      <w:numFmt w:val="lowerLetter"/>
      <w:start w:val="1"/>
    </w:lvl>
  </w:abstractNum>
  <w:abstractNum w:abstractNumId="131">
    <w:nsid w:val="4B793735"/>
    <w:multiLevelType w:val="hybridMultilevel"/>
    <w:lvl w:ilvl="0">
      <w:lvlJc w:val="left"/>
      <w:lvlText w:val="(%1)"/>
      <w:numFmt w:val="lowerLetter"/>
      <w:start w:val="1"/>
    </w:lvl>
  </w:abstractNum>
  <w:abstractNum w:abstractNumId="132">
    <w:nsid w:val="4A10B4E8"/>
    <w:multiLevelType w:val="hybridMultilevel"/>
    <w:lvl w:ilvl="0">
      <w:lvlJc w:val="left"/>
      <w:lvlText w:val="(%1)"/>
      <w:numFmt w:val="lowerLetter"/>
      <w:start w:val="4"/>
    </w:lvl>
  </w:abstractNum>
  <w:abstractNum w:abstractNumId="133">
    <w:nsid w:val="43D3BCD4"/>
    <w:multiLevelType w:val="hybridMultilevel"/>
    <w:lvl w:ilvl="0">
      <w:lvlJc w:val="left"/>
      <w:lvlText w:val="(%1)"/>
      <w:numFmt w:val="lowerLetter"/>
      <w:start w:val="1"/>
    </w:lvl>
  </w:abstractNum>
  <w:abstractNum w:abstractNumId="134">
    <w:nsid w:val="4C2A7166"/>
    <w:multiLevelType w:val="hybridMultilevel"/>
    <w:lvl w:ilvl="0">
      <w:lvlJc w:val="left"/>
      <w:lvlText w:val="(%1)"/>
      <w:numFmt w:val="lowerLetter"/>
      <w:start w:val="1"/>
    </w:lvl>
  </w:abstractNum>
  <w:abstractNum w:abstractNumId="135">
    <w:nsid w:val="2E534A82"/>
    <w:multiLevelType w:val="hybridMultilevel"/>
    <w:lvl w:ilvl="0">
      <w:lvlJc w:val="left"/>
      <w:lvlText w:val="(%1)"/>
      <w:numFmt w:val="lowerLetter"/>
      <w:start w:val="1"/>
    </w:lvl>
  </w:abstractNum>
  <w:abstractNum w:abstractNumId="136">
    <w:nsid w:val="26F2D364"/>
    <w:multiLevelType w:val="hybridMultilevel"/>
    <w:lvl w:ilvl="0">
      <w:lvlJc w:val="left"/>
      <w:lvlText w:val="(%1)"/>
      <w:numFmt w:val="lowerLetter"/>
      <w:start w:val="2"/>
    </w:lvl>
  </w:abstractNum>
  <w:abstractNum w:abstractNumId="137">
    <w:nsid w:val="71C1AF98"/>
    <w:multiLevelType w:val="hybridMultilevel"/>
    <w:lvl w:ilvl="0">
      <w:lvlJc w:val="left"/>
      <w:lvlText w:val="%1."/>
      <w:numFmt w:val="decimal"/>
      <w:start w:val="12"/>
    </w:lvl>
  </w:abstractNum>
  <w:abstractNum w:abstractNumId="138">
    <w:nsid w:val="3D00B9D9"/>
    <w:multiLevelType w:val="hybridMultilevel"/>
    <w:lvl w:ilvl="0">
      <w:lvlJc w:val="left"/>
      <w:lvlText w:val="(%1)"/>
      <w:numFmt w:val="lowerLetter"/>
      <w:start w:val="1"/>
    </w:lvl>
  </w:abstractNum>
  <w:abstractNum w:abstractNumId="139">
    <w:nsid w:val="15BCABA8"/>
    <w:multiLevelType w:val="hybridMultilevel"/>
    <w:lvl w:ilvl="0">
      <w:lvlJc w:val="left"/>
      <w:lvlText w:val="(%1)"/>
      <w:numFmt w:val="lowerLetter"/>
      <w:start w:val="61"/>
    </w:lvl>
  </w:abstractNum>
  <w:abstractNum w:abstractNumId="140">
    <w:nsid w:val="4E0B9A87"/>
    <w:multiLevelType w:val="hybridMultilevel"/>
    <w:lvl w:ilvl="0">
      <w:lvlJc w:val="left"/>
      <w:lvlText w:val="(%1)"/>
      <w:numFmt w:val="lowerLetter"/>
      <w:start w:val="5"/>
    </w:lvl>
  </w:abstractNum>
  <w:abstractNum w:abstractNumId="141">
    <w:nsid w:val="434BAE75"/>
    <w:multiLevelType w:val="hybridMultilevel"/>
    <w:lvl w:ilvl="0">
      <w:lvlJc w:val="left"/>
      <w:lvlText w:val="(%1)"/>
      <w:numFmt w:val="lowerLetter"/>
      <w:start w:val="1"/>
    </w:lvl>
  </w:abstractNum>
  <w:abstractNum w:abstractNumId="142">
    <w:nsid w:val="4F38F265"/>
    <w:multiLevelType w:val="hybridMultilevel"/>
    <w:lvl w:ilvl="0">
      <w:lvlJc w:val="left"/>
      <w:lvlText w:val="(%1)"/>
      <w:numFmt w:val="lowerLetter"/>
      <w:start w:val="2"/>
    </w:lvl>
  </w:abstractNum>
  <w:abstractNum w:abstractNumId="143">
    <w:nsid w:val="4C502870"/>
    <w:multiLevelType w:val="hybridMultilevel"/>
    <w:lvl w:ilvl="0">
      <w:lvlJc w:val="left"/>
      <w:lvlText w:val="(%1)"/>
      <w:numFmt w:val="lowerLetter"/>
      <w:start w:val="1"/>
    </w:lvl>
  </w:abstractNum>
  <w:abstractNum w:abstractNumId="144">
    <w:nsid w:val="1DE8725A"/>
    <w:multiLevelType w:val="hybridMultilevel"/>
    <w:lvl w:ilvl="0">
      <w:lvlJc w:val="left"/>
      <w:lvlText w:val="(%1)"/>
      <w:numFmt w:val="lowerLetter"/>
      <w:start w:val="1"/>
    </w:lvl>
  </w:abstractNum>
  <w:abstractNum w:abstractNumId="145">
    <w:nsid w:val="6A37288A"/>
    <w:multiLevelType w:val="hybridMultilevel"/>
    <w:lvl w:ilvl="0">
      <w:lvlJc w:val="left"/>
      <w:lvlText w:val="(%1)"/>
      <w:numFmt w:val="lowerLetter"/>
      <w:start w:val="1"/>
    </w:lvl>
  </w:abstractNum>
  <w:abstractNum w:abstractNumId="146">
    <w:nsid w:val="8F8B73F"/>
    <w:multiLevelType w:val="hybridMultilevel"/>
    <w:lvl w:ilvl="0">
      <w:lvlJc w:val="left"/>
      <w:lvlText w:val="%1."/>
      <w:numFmt w:val="decimal"/>
      <w:start w:val="1"/>
    </w:lvl>
  </w:abstractNum>
  <w:abstractNum w:abstractNumId="147">
    <w:nsid w:val="CA6B462"/>
    <w:multiLevelType w:val="hybridMultilevel"/>
    <w:lvl w:ilvl="0">
      <w:lvlJc w:val="left"/>
      <w:lvlText w:val="%1."/>
      <w:numFmt w:val="decimal"/>
      <w:start w:val="2"/>
    </w:lvl>
  </w:abstractNum>
  <w:abstractNum w:abstractNumId="148">
    <w:nsid w:val="763CB680"/>
    <w:multiLevelType w:val="hybridMultilevel"/>
    <w:lvl w:ilvl="0">
      <w:lvlJc w:val="left"/>
      <w:lvlText w:val="%1."/>
      <w:numFmt w:val="decimal"/>
      <w:start w:val="3"/>
    </w:lvl>
  </w:abstractNum>
  <w:abstractNum w:abstractNumId="149">
    <w:nsid w:val="15B71329"/>
    <w:multiLevelType w:val="hybridMultilevel"/>
    <w:lvl w:ilvl="0">
      <w:lvlJc w:val="left"/>
      <w:lvlText w:val="%1."/>
      <w:numFmt w:val="decimal"/>
      <w:start w:val="7"/>
    </w:lvl>
  </w:abstractNum>
  <w:abstractNum w:abstractNumId="150">
    <w:nsid w:val="3DA97044"/>
    <w:multiLevelType w:val="hybridMultilevel"/>
    <w:lvl w:ilvl="0">
      <w:lvlJc w:val="left"/>
      <w:lvlText w:val="%1."/>
      <w:numFmt w:val="upperLetter"/>
      <w:start w:val="1"/>
    </w:lvl>
  </w:abstractNum>
  <w:abstractNum w:abstractNumId="151">
    <w:nsid w:val="1CDCE2DE"/>
    <w:multiLevelType w:val="hybridMultilevel"/>
    <w:lvl w:ilvl="0">
      <w:lvlJc w:val="left"/>
      <w:lvlText w:val="%1."/>
      <w:numFmt w:val="upperLetter"/>
      <w:start w:val="2"/>
    </w:lvl>
  </w:abstractNum>
  <w:abstractNum w:abstractNumId="152">
    <w:nsid w:val="69D3947C"/>
    <w:multiLevelType w:val="hybridMultilevel"/>
    <w:lvl w:ilvl="0">
      <w:lvlJc w:val="left"/>
      <w:lvlText w:val="%1."/>
      <w:numFmt w:val="decimal"/>
      <w:start w:val="1"/>
    </w:lvl>
  </w:abstractNum>
  <w:abstractNum w:abstractNumId="153">
    <w:nsid w:val="2539DFA5"/>
    <w:multiLevelType w:val="hybridMultilevel"/>
    <w:lvl w:ilvl="0">
      <w:lvlJc w:val="left"/>
      <w:lvlText w:val="%1."/>
      <w:numFmt w:val="decimal"/>
      <w:start w:val="2"/>
    </w:lvl>
  </w:abstractNum>
  <w:abstractNum w:abstractNumId="154">
    <w:nsid w:val="2DB88089"/>
    <w:multiLevelType w:val="hybridMultilevel"/>
    <w:lvl w:ilvl="0">
      <w:lvlJc w:val="left"/>
      <w:lvlText w:val="%1."/>
      <w:numFmt w:val="upperLetter"/>
      <w:start w:val="3"/>
    </w:lvl>
  </w:abstractNum>
  <w:abstractNum w:abstractNumId="155">
    <w:nsid w:val="706B674E"/>
    <w:multiLevelType w:val="hybridMultilevel"/>
    <w:lvl w:ilvl="0">
      <w:lvlJc w:val="left"/>
      <w:lvlText w:val="%1."/>
      <w:numFmt w:val="upperLetter"/>
      <w:start w:val="1"/>
    </w:lvl>
  </w:abstractNum>
  <w:abstractNum w:abstractNumId="156">
    <w:nsid w:val="2C106A57"/>
    <w:multiLevelType w:val="hybridMultilevel"/>
    <w:lvl w:ilvl="0">
      <w:lvlJc w:val="left"/>
      <w:lvlText w:val="%1."/>
      <w:numFmt w:val="upperLetter"/>
      <w:start w:val="2"/>
    </w:lvl>
  </w:abstractNum>
  <w:abstractNum w:abstractNumId="157">
    <w:nsid w:val="684EED59"/>
    <w:multiLevelType w:val="hybridMultilevel"/>
    <w:lvl w:ilvl="0">
      <w:lvlJc w:val="left"/>
      <w:lvlText w:val="%1."/>
      <w:numFmt w:val="upperLetter"/>
      <w:start w:val="2"/>
    </w:lvl>
    <w:lvl w:ilvl="1">
      <w:lvlJc w:val="left"/>
      <w:lvlText w:val="%2."/>
      <w:numFmt w:val="decimal"/>
      <w:start w:val="1"/>
    </w:lvl>
  </w:abstractNum>
  <w:abstractNum w:abstractNumId="158">
    <w:nsid w:val="545EE5D3"/>
    <w:multiLevelType w:val="hybridMultilevel"/>
    <w:lvl w:ilvl="0">
      <w:lvlJc w:val="left"/>
      <w:lvlText w:val="%1."/>
      <w:numFmt w:val="upperLetter"/>
      <w:start w:val="3"/>
    </w:lvl>
    <w:lvl w:ilvl="1">
      <w:lvlJc w:val="left"/>
      <w:lvlText w:val="%2."/>
      <w:numFmt w:val="decimal"/>
      <w:start w:val="1"/>
    </w:lvl>
  </w:abstractNum>
  <w:abstractNum w:abstractNumId="159">
    <w:nsid w:val="4A66051"/>
    <w:multiLevelType w:val="hybridMultilevel"/>
    <w:lvl w:ilvl="0">
      <w:lvlJc w:val="left"/>
      <w:lvlText w:val="%1."/>
      <w:numFmt w:val="upperLetter"/>
      <w:start w:val="4"/>
    </w:lvl>
  </w:abstractNum>
  <w:abstractNum w:abstractNumId="160">
    <w:nsid w:val="20F4BDAD"/>
    <w:multiLevelType w:val="hybridMultilevel"/>
    <w:lvl w:ilvl="0">
      <w:lvlJc w:val="left"/>
      <w:lvlText w:val="%1."/>
      <w:numFmt w:val="upperLetter"/>
      <w:start w:val="5"/>
    </w:lvl>
  </w:abstractNum>
  <w:abstractNum w:abstractNumId="161">
    <w:nsid w:val="639DEFAC"/>
    <w:multiLevelType w:val="hybridMultilevel"/>
    <w:lvl w:ilvl="0">
      <w:lvlJc w:val="left"/>
      <w:lvlText w:val="%1."/>
      <w:numFmt w:val="upperLetter"/>
      <w:start w:val="6"/>
    </w:lvl>
  </w:abstractNum>
  <w:abstractNum w:abstractNumId="162">
    <w:nsid w:val="501F9786"/>
    <w:multiLevelType w:val="hybridMultilevel"/>
    <w:lvl w:ilvl="0">
      <w:lvlJc w:val="left"/>
      <w:lvlText w:val="%1."/>
      <w:numFmt w:val="upperLetter"/>
      <w:start w:val="7"/>
    </w:lvl>
  </w:abstractNum>
  <w:abstractNum w:abstractNumId="163">
    <w:nsid w:val="6B057295"/>
    <w:multiLevelType w:val="hybridMultilevel"/>
    <w:lvl w:ilvl="0">
      <w:lvlJc w:val="left"/>
      <w:lvlText w:val="%1."/>
      <w:numFmt w:val="decimal"/>
      <w:start w:val="2"/>
    </w:lvl>
  </w:abstractNum>
  <w:abstractNum w:abstractNumId="164">
    <w:nsid w:val="2771AC80"/>
    <w:multiLevelType w:val="hybridMultilevel"/>
    <w:lvl w:ilvl="0">
      <w:lvlJc w:val="left"/>
      <w:lvlText w:val="%1."/>
      <w:numFmt w:val="lowerLetter"/>
      <w:start w:val="1"/>
    </w:lvl>
  </w:abstractNum>
  <w:abstractNum w:abstractNumId="165">
    <w:nsid w:val="1C4A08EC"/>
    <w:multiLevelType w:val="hybridMultilevel"/>
    <w:lvl w:ilvl="0">
      <w:lvlJc w:val="left"/>
      <w:lvlText w:val="%1."/>
      <w:numFmt w:val="decimal"/>
      <w:start w:val="3"/>
    </w:lvl>
  </w:abstractNum>
  <w:abstractNum w:abstractNumId="166">
    <w:nsid w:val="1958BD17"/>
    <w:multiLevelType w:val="hybridMultilevel"/>
    <w:lvl w:ilvl="0">
      <w:lvlJc w:val="left"/>
      <w:lvlText w:val="%1."/>
      <w:numFmt w:val="decimal"/>
      <w:start w:val="4"/>
    </w:lvl>
  </w:abstractNum>
  <w:abstractNum w:abstractNumId="167">
    <w:nsid w:val="4E647FE4"/>
    <w:multiLevelType w:val="hybridMultilevel"/>
    <w:lvl w:ilvl="0">
      <w:lvlJc w:val="left"/>
      <w:lvlText w:val="%1."/>
      <w:numFmt w:val="upperLetter"/>
      <w:start w:val="8"/>
    </w:lvl>
  </w:abstractNum>
  <w:abstractNum w:abstractNumId="168">
    <w:nsid w:val="E0BB885"/>
    <w:multiLevelType w:val="hybridMultilevel"/>
    <w:lvl w:ilvl="0">
      <w:lvlJc w:val="left"/>
      <w:lvlText w:val="·"/>
      <w:numFmt w:val="bullet"/>
      <w:start w:val="1"/>
    </w:lvl>
  </w:abstractNum>
  <w:abstractNum w:abstractNumId="169">
    <w:nsid w:val="565976F1"/>
    <w:multiLevelType w:val="hybridMultilevel"/>
    <w:lvl w:ilvl="0">
      <w:lvlJc w:val="left"/>
      <w:lvlText w:val="·"/>
      <w:numFmt w:val="bullet"/>
      <w:start w:val="1"/>
    </w:lvl>
  </w:abstractNum>
  <w:abstractNum w:abstractNumId="170">
    <w:nsid w:val="64212B8C"/>
    <w:multiLevelType w:val="hybridMultilevel"/>
    <w:lvl w:ilvl="0">
      <w:lvlJc w:val="left"/>
      <w:lvlText w:val="%1."/>
      <w:numFmt w:val="upperLetter"/>
      <w:start w:val="9"/>
    </w:lvl>
  </w:abstractNum>
  <w:abstractNum w:abstractNumId="171">
    <w:nsid w:val="5C17530C"/>
    <w:multiLevelType w:val="hybridMultilevel"/>
    <w:lvl w:ilvl="0">
      <w:lvlJc w:val="left"/>
      <w:lvlText w:val="%1."/>
      <w:numFmt w:val="upperLetter"/>
      <w:start w:val="10"/>
    </w:lvl>
  </w:abstractNum>
  <w:abstractNum w:abstractNumId="172">
    <w:nsid w:val="19A52566"/>
    <w:multiLevelType w:val="hybridMultilevel"/>
    <w:lvl w:ilvl="0">
      <w:lvlJc w:val="left"/>
      <w:lvlText w:val="%1."/>
      <w:numFmt w:val="upperLetter"/>
      <w:start w:val="11"/>
    </w:lvl>
  </w:abstractNum>
  <w:abstractNum w:abstractNumId="173">
    <w:nsid w:val="335A1DF1"/>
    <w:multiLevelType w:val="hybridMultilevel"/>
    <w:lvl w:ilvl="0">
      <w:lvlJc w:val="left"/>
      <w:lvlText w:val="%1."/>
      <w:numFmt w:val="upperLetter"/>
      <w:start w:val="1"/>
    </w:lvl>
  </w:abstractNum>
  <w:abstractNum w:abstractNumId="174">
    <w:nsid w:val="28677B7C"/>
    <w:multiLevelType w:val="hybridMultilevel"/>
    <w:lvl w:ilvl="0">
      <w:lvlJc w:val="left"/>
      <w:lvlText w:val="%1."/>
      <w:numFmt w:val="lowerLetter"/>
      <w:start w:val="12"/>
    </w:lvl>
  </w:abstractNum>
  <w:abstractNum w:abstractNumId="175">
    <w:nsid w:val="378D97C0"/>
    <w:multiLevelType w:val="hybridMultilevel"/>
    <w:lvl w:ilvl="0">
      <w:lvlJc w:val="left"/>
      <w:lvlText w:val="%1."/>
      <w:numFmt w:val="decimal"/>
      <w:start w:val="2"/>
    </w:lvl>
  </w:abstractNum>
  <w:abstractNum w:abstractNumId="176">
    <w:nsid w:val="1D91467C"/>
    <w:multiLevelType w:val="hybridMultilevel"/>
    <w:lvl w:ilvl="0">
      <w:lvlJc w:val="left"/>
      <w:lvlText w:val="%1."/>
      <w:numFmt w:val="decimal"/>
      <w:start w:val="1"/>
    </w:lvl>
  </w:abstractNum>
  <w:abstractNum w:abstractNumId="177">
    <w:nsid w:val="316032BB"/>
    <w:multiLevelType w:val="hybridMultilevel"/>
    <w:lvl w:ilvl="0">
      <w:lvlJc w:val="left"/>
      <w:lvlText w:val="%1."/>
      <w:numFmt w:val="decimal"/>
      <w:start w:val="2"/>
    </w:lvl>
  </w:abstractNum>
  <w:abstractNum w:abstractNumId="178">
    <w:nsid w:val="44344C22"/>
    <w:multiLevelType w:val="hybridMultilevel"/>
    <w:lvl w:ilvl="0">
      <w:lvlJc w:val="left"/>
      <w:lvlText w:val="%1."/>
      <w:numFmt w:val="upperLetter"/>
      <w:start w:val="2"/>
    </w:lvl>
  </w:abstractNum>
  <w:abstractNum w:abstractNumId="179">
    <w:nsid w:val="13CDFCFC"/>
    <w:multiLevelType w:val="hybridMultilevel"/>
    <w:lvl w:ilvl="0">
      <w:lvlJc w:val="left"/>
      <w:lvlText w:val="%1."/>
      <w:numFmt w:val="decimal"/>
      <w:start w:val="1"/>
    </w:lvl>
  </w:abstractNum>
  <w:abstractNum w:abstractNumId="180">
    <w:nsid w:val="471745E4"/>
    <w:multiLevelType w:val="hybridMultilevel"/>
    <w:lvl w:ilvl="0">
      <w:lvlJc w:val="left"/>
      <w:lvlText w:val="(%1)"/>
      <w:numFmt w:val="lowerRoman"/>
      <w:start w:val="1"/>
    </w:lvl>
  </w:abstractNum>
  <w:abstractNum w:abstractNumId="181">
    <w:nsid w:val="1DDBC66"/>
    <w:multiLevelType w:val="hybridMultilevel"/>
    <w:lvl w:ilvl="0">
      <w:lvlJc w:val="left"/>
      <w:lvlText w:val="·"/>
      <w:numFmt w:val="bullet"/>
      <w:start w:val="1"/>
    </w:lvl>
  </w:abstractNum>
  <w:abstractNum w:abstractNumId="182">
    <w:nsid w:val="30AADFDA"/>
    <w:multiLevelType w:val="hybridMultilevel"/>
    <w:lvl w:ilvl="0">
      <w:lvlJc w:val="left"/>
      <w:lvlText w:val="(%1)"/>
      <w:numFmt w:val="lowerRoman"/>
      <w:start w:val="2"/>
    </w:lvl>
  </w:abstractNum>
  <w:abstractNum w:abstractNumId="183">
    <w:nsid w:val="30EADA61"/>
    <w:multiLevelType w:val="hybridMultilevel"/>
    <w:lvl w:ilvl="0">
      <w:lvlJc w:val="left"/>
      <w:lvlText w:val="%1)"/>
      <w:numFmt w:val="lowerRoman"/>
      <w:start w:val="3"/>
    </w:lvl>
  </w:abstractNum>
  <w:abstractNum w:abstractNumId="184">
    <w:nsid w:val="27179C0B"/>
    <w:multiLevelType w:val="hybridMultilevel"/>
    <w:lvl w:ilvl="0">
      <w:lvlJc w:val="left"/>
      <w:lvlText w:val="(%1)"/>
      <w:numFmt w:val="lowerRoman"/>
      <w:start w:val="1"/>
    </w:lvl>
  </w:abstractNum>
  <w:abstractNum w:abstractNumId="185">
    <w:nsid w:val="5E636063"/>
    <w:multiLevelType w:val="hybridMultilevel"/>
    <w:lvl w:ilvl="0">
      <w:lvlJc w:val="left"/>
      <w:lvlText w:val="·"/>
      <w:numFmt w:val="bullet"/>
      <w:start w:val="1"/>
    </w:lvl>
  </w:abstractNum>
  <w:abstractNum w:abstractNumId="186">
    <w:nsid w:val="215641AF"/>
    <w:multiLevelType w:val="hybridMultilevel"/>
    <w:lvl w:ilvl="0">
      <w:lvlJc w:val="left"/>
      <w:lvlText w:val="(%1)"/>
      <w:numFmt w:val="lowerRoman"/>
      <w:start w:val="2"/>
    </w:lvl>
  </w:abstractNum>
  <w:abstractNum w:abstractNumId="187">
    <w:nsid w:val="53280662"/>
    <w:multiLevelType w:val="hybridMultilevel"/>
    <w:lvl w:ilvl="0">
      <w:lvlJc w:val="left"/>
      <w:lvlText w:val="%1."/>
      <w:numFmt w:val="upperLetter"/>
      <w:start w:val="3"/>
    </w:lvl>
  </w:abstractNum>
  <w:abstractNum w:abstractNumId="188">
    <w:nsid w:val="46B24DBC"/>
    <w:multiLevelType w:val="hybridMultilevel"/>
    <w:lvl w:ilvl="0">
      <w:lvlJc w:val="left"/>
      <w:lvlText w:val="·"/>
      <w:numFmt w:val="bullet"/>
      <w:start w:val="1"/>
    </w:lvl>
  </w:abstractNum>
  <w:abstractNum w:abstractNumId="189">
    <w:nsid w:val="75B52783"/>
    <w:multiLevelType w:val="hybridMultilevel"/>
    <w:lvl w:ilvl="0">
      <w:lvlJc w:val="left"/>
      <w:lvlText w:val="%1."/>
      <w:numFmt w:val="upperLetter"/>
      <w:start w:val="4"/>
    </w:lvl>
    <w:lvl w:ilvl="1">
      <w:lvlJc w:val="left"/>
      <w:lvlText w:val="(%2)"/>
      <w:numFmt w:val="lowerRoman"/>
      <w:start w:val="1"/>
    </w:lvl>
  </w:abstractNum>
  <w:abstractNum w:abstractNumId="190">
    <w:nsid w:val="57CE66B4"/>
    <w:multiLevelType w:val="hybridMultilevel"/>
    <w:lvl w:ilvl="0">
      <w:lvlJc w:val="left"/>
      <w:lvlText w:val="·"/>
      <w:numFmt w:val="bullet"/>
      <w:start w:val="1"/>
    </w:lvl>
  </w:abstractNum>
  <w:abstractNum w:abstractNumId="191">
    <w:nsid w:val="67A70B69"/>
    <w:multiLevelType w:val="hybridMultilevel"/>
    <w:lvl w:ilvl="0">
      <w:lvlJc w:val="left"/>
      <w:lvlText w:val="(%1)"/>
      <w:numFmt w:val="lowerRoman"/>
      <w:start w:val="2"/>
    </w:lvl>
  </w:abstractNum>
  <w:abstractNum w:abstractNumId="192">
    <w:nsid w:val="5953172F"/>
    <w:multiLevelType w:val="hybridMultilevel"/>
    <w:lvl w:ilvl="0">
      <w:lvlJc w:val="left"/>
      <w:lvlText w:val="%1."/>
      <w:numFmt w:val="upperLetter"/>
      <w:start w:val="5"/>
    </w:lvl>
  </w:abstractNum>
  <w:abstractNum w:abstractNumId="193">
    <w:nsid w:val="27EDFE3A"/>
    <w:multiLevelType w:val="hybridMultilevel"/>
    <w:lvl w:ilvl="0">
      <w:lvlJc w:val="left"/>
      <w:lvlText w:val="(%1)"/>
      <w:numFmt w:val="lowerRoman"/>
      <w:start w:val="1"/>
    </w:lvl>
  </w:abstractNum>
  <w:abstractNum w:abstractNumId="194">
    <w:nsid w:val="52AC7DFF"/>
    <w:multiLevelType w:val="hybridMultilevel"/>
    <w:lvl w:ilvl="0">
      <w:lvlJc w:val="left"/>
      <w:lvlText w:val="·"/>
      <w:numFmt w:val="bullet"/>
      <w:start w:val="1"/>
    </w:lvl>
  </w:abstractNum>
  <w:abstractNum w:abstractNumId="195">
    <w:nsid w:val="C4C3AF"/>
    <w:multiLevelType w:val="hybridMultilevel"/>
    <w:lvl w:ilvl="0">
      <w:lvlJc w:val="left"/>
      <w:lvlText w:val="%1."/>
      <w:numFmt w:val="upperLetter"/>
      <w:start w:val="1"/>
    </w:lvl>
    <w:lvl w:ilvl="1">
      <w:lvlJc w:val="left"/>
      <w:lvlText w:val="(%2)"/>
      <w:numFmt w:val="lowerRoman"/>
      <w:start w:val="1"/>
    </w:lvl>
  </w:abstractNum>
  <w:abstractNum w:abstractNumId="196">
    <w:nsid w:val="44380727"/>
    <w:multiLevelType w:val="hybridMultilevel"/>
    <w:lvl w:ilvl="0">
      <w:lvlJc w:val="left"/>
      <w:lvlText w:val="·"/>
      <w:numFmt w:val="bullet"/>
      <w:start w:val="1"/>
    </w:lvl>
  </w:abstractNum>
  <w:abstractNum w:abstractNumId="197">
    <w:nsid w:val="6C053B16"/>
    <w:multiLevelType w:val="hybridMultilevel"/>
    <w:lvl w:ilvl="0">
      <w:lvlJc w:val="left"/>
      <w:lvlText w:val="(%1)"/>
      <w:numFmt w:val="lowerRoman"/>
      <w:start w:val="2"/>
    </w:lvl>
  </w:abstractNum>
  <w:abstractNum w:abstractNumId="198">
    <w:nsid w:val="4F294393"/>
    <w:multiLevelType w:val="hybridMultilevel"/>
    <w:lvl w:ilvl="0">
      <w:lvlJc w:val="left"/>
      <w:lvlText w:val="*"/>
      <w:numFmt w:val="bullet"/>
      <w:start w:val="1"/>
    </w:lvl>
  </w:abstractNum>
  <w:abstractNum w:abstractNumId="199">
    <w:nsid w:val="5243BFAC"/>
    <w:multiLevelType w:val="hybridMultilevel"/>
    <w:lvl w:ilvl="0">
      <w:lvlJc w:val="left"/>
      <w:lvlText w:val="†"/>
      <w:numFmt w:val="bullet"/>
      <w:start w:val="1"/>
    </w:lvl>
    <w:lvl w:ilvl="1">
      <w:lvlJc w:val="left"/>
      <w:lvlText w:val="(%2)"/>
      <w:numFmt w:val="lowerRoman"/>
      <w:start w:val="3"/>
    </w:lvl>
  </w:abstractNum>
  <w:abstractNum w:abstractNumId="200">
    <w:nsid w:val="425EB207"/>
    <w:multiLevelType w:val="hybridMultilevel"/>
    <w:lvl w:ilvl="0">
      <w:lvlJc w:val="left"/>
      <w:lvlText w:val="%1."/>
      <w:numFmt w:val="upperLetter"/>
      <w:start w:val="2"/>
    </w:lvl>
    <w:lvl w:ilvl="1">
      <w:lvlJc w:val="left"/>
      <w:lvlText w:val="(%2)"/>
      <w:numFmt w:val="lowerRoman"/>
      <w:start w:val="1"/>
    </w:lvl>
  </w:abstractNum>
  <w:abstractNum w:abstractNumId="201">
    <w:nsid w:val="334A6F1F"/>
    <w:multiLevelType w:val="hybridMultilevel"/>
    <w:lvl w:ilvl="0">
      <w:lvlJc w:val="left"/>
      <w:lvlText w:val="·"/>
      <w:numFmt w:val="bullet"/>
      <w:start w:val="1"/>
    </w:lvl>
  </w:abstractNum>
  <w:abstractNum w:abstractNumId="202">
    <w:nsid w:val="2E5B12B8"/>
    <w:multiLevelType w:val="hybridMultilevel"/>
    <w:lvl w:ilvl="0">
      <w:lvlJc w:val="left"/>
      <w:lvlText w:val="(%1)"/>
      <w:numFmt w:val="lowerRoman"/>
      <w:start w:val="2"/>
    </w:lvl>
  </w:abstractNum>
  <w:abstractNum w:abstractNumId="203">
    <w:nsid w:val="5C03D76D"/>
    <w:multiLevelType w:val="hybridMultilevel"/>
    <w:lvl w:ilvl="0">
      <w:lvlJc w:val="left"/>
      <w:lvlText w:val="%1."/>
      <w:numFmt w:val="upperLetter"/>
      <w:start w:val="3"/>
    </w:lvl>
    <w:lvl w:ilvl="1">
      <w:lvlJc w:val="left"/>
      <w:lvlText w:val="(%2)"/>
      <w:numFmt w:val="lowerRoman"/>
      <w:start w:val="1"/>
    </w:lvl>
  </w:abstractNum>
  <w:abstractNum w:abstractNumId="204">
    <w:nsid w:val="66A48D11"/>
    <w:multiLevelType w:val="hybridMultilevel"/>
    <w:lvl w:ilvl="0">
      <w:lvlJc w:val="left"/>
      <w:lvlText w:val="·"/>
      <w:numFmt w:val="bullet"/>
      <w:start w:val="1"/>
    </w:lvl>
  </w:abstractNum>
  <w:abstractNum w:abstractNumId="205">
    <w:nsid w:val="56C28E34"/>
    <w:multiLevelType w:val="hybridMultilevel"/>
    <w:lvl w:ilvl="0">
      <w:lvlJc w:val="left"/>
      <w:lvlText w:val="%1)"/>
      <w:numFmt w:val="lowerRoman"/>
      <w:start w:val="2"/>
    </w:lvl>
  </w:abstractNum>
  <w:abstractNum w:abstractNumId="206">
    <w:nsid w:val="13916F2D"/>
    <w:multiLevelType w:val="hybridMultilevel"/>
    <w:lvl w:ilvl="0">
      <w:lvlJc w:val="left"/>
      <w:lvlText w:val="%1."/>
      <w:numFmt w:val="upperLetter"/>
      <w:start w:val="4"/>
    </w:lvl>
    <w:lvl w:ilvl="1">
      <w:lvlJc w:val="left"/>
      <w:lvlText w:val="(%2)"/>
      <w:numFmt w:val="lowerRoman"/>
      <w:start w:val="1"/>
    </w:lvl>
  </w:abstractNum>
  <w:abstractNum w:abstractNumId="207">
    <w:nsid w:val="435D38D"/>
    <w:multiLevelType w:val="hybridMultilevel"/>
    <w:lvl w:ilvl="0">
      <w:lvlJc w:val="left"/>
      <w:lvlText w:val="·"/>
      <w:numFmt w:val="bullet"/>
      <w:start w:val="1"/>
    </w:lvl>
  </w:abstractNum>
  <w:abstractNum w:abstractNumId="208">
    <w:nsid w:val="822C0EF"/>
    <w:multiLevelType w:val="hybridMultilevel"/>
    <w:lvl w:ilvl="0">
      <w:lvlJc w:val="left"/>
      <w:lvlText w:val="(%1)"/>
      <w:numFmt w:val="lowerRoman"/>
      <w:start w:val="2"/>
    </w:lvl>
  </w:abstractNum>
  <w:abstractNum w:abstractNumId="209">
    <w:nsid w:val="57C5BB4F"/>
    <w:multiLevelType w:val="hybridMultilevel"/>
    <w:lvl w:ilvl="0">
      <w:lvlJc w:val="left"/>
      <w:lvlText w:val="%1."/>
      <w:numFmt w:val="upperLetter"/>
      <w:start w:val="5"/>
    </w:lvl>
    <w:lvl w:ilvl="1">
      <w:lvlJc w:val="left"/>
      <w:lvlText w:val="(%2)"/>
      <w:numFmt w:val="lowerRoman"/>
      <w:start w:val="1"/>
    </w:lvl>
  </w:abstractNum>
  <w:abstractNum w:abstractNumId="210">
    <w:nsid w:val="1803D089"/>
    <w:multiLevelType w:val="hybridMultilevel"/>
    <w:lvl w:ilvl="0">
      <w:lvlJc w:val="left"/>
      <w:lvlText w:val="·"/>
      <w:numFmt w:val="bullet"/>
      <w:start w:val="1"/>
    </w:lvl>
  </w:abstractNum>
  <w:abstractNum w:abstractNumId="211">
    <w:nsid w:val="4F3A06D4"/>
    <w:multiLevelType w:val="hybridMultilevel"/>
    <w:lvl w:ilvl="0">
      <w:lvlJc w:val="left"/>
      <w:lvlText w:val="(%1)"/>
      <w:numFmt w:val="lowerRoman"/>
      <w:start w:val="2"/>
    </w:lvl>
  </w:abstractNum>
  <w:abstractNum w:abstractNumId="212">
    <w:nsid w:val="59A377B6"/>
    <w:multiLevelType w:val="hybridMultilevel"/>
    <w:lvl w:ilvl="0">
      <w:lvlJc w:val="left"/>
      <w:lvlText w:val="%1."/>
      <w:numFmt w:val="upperLetter"/>
      <w:start w:val="1"/>
    </w:lvl>
  </w:abstractNum>
  <w:abstractNum w:abstractNumId="213">
    <w:nsid w:val="48AEB063"/>
    <w:multiLevelType w:val="hybridMultilevel"/>
    <w:lvl w:ilvl="0">
      <w:lvlJc w:val="left"/>
      <w:lvlText w:val="(%1)"/>
      <w:numFmt w:val="lowerRoman"/>
      <w:start w:val="1"/>
    </w:lvl>
  </w:abstractNum>
  <w:abstractNum w:abstractNumId="214">
    <w:nsid w:val="24E135"/>
    <w:multiLevelType w:val="hybridMultilevel"/>
    <w:lvl w:ilvl="0">
      <w:lvlJc w:val="left"/>
      <w:lvlText w:val="·"/>
      <w:numFmt w:val="bullet"/>
      <w:start w:val="1"/>
    </w:lvl>
  </w:abstractNum>
  <w:abstractNum w:abstractNumId="215">
    <w:nsid w:val="BB13C1"/>
    <w:multiLevelType w:val="hybridMultilevel"/>
    <w:lvl w:ilvl="0">
      <w:lvlJc w:val="left"/>
      <w:lvlText w:val="·"/>
      <w:numFmt w:val="bullet"/>
      <w:start w:val="1"/>
    </w:lvl>
  </w:abstractNum>
  <w:abstractNum w:abstractNumId="216">
    <w:nsid w:val="271210C7"/>
    <w:multiLevelType w:val="hybridMultilevel"/>
    <w:lvl w:ilvl="0">
      <w:lvlJc w:val="left"/>
      <w:lvlText w:val="(%1)"/>
      <w:numFmt w:val="lowerRoman"/>
      <w:start w:val="2"/>
    </w:lvl>
  </w:abstractNum>
  <w:abstractNum w:abstractNumId="217">
    <w:nsid w:val="217B22E4"/>
    <w:multiLevelType w:val="hybridMultilevel"/>
    <w:lvl w:ilvl="0">
      <w:lvlJc w:val="left"/>
      <w:lvlText w:val="%1."/>
      <w:numFmt w:val="upperLetter"/>
      <w:start w:val="2"/>
    </w:lvl>
  </w:abstractNum>
  <w:abstractNum w:abstractNumId="218">
    <w:nsid w:val="53E31A24"/>
    <w:multiLevelType w:val="hybridMultilevel"/>
    <w:lvl w:ilvl="0">
      <w:lvlJc w:val="left"/>
      <w:lvlText w:val="(%1)"/>
      <w:numFmt w:val="lowerRoman"/>
      <w:start w:val="1"/>
    </w:lvl>
  </w:abstractNum>
  <w:abstractNum w:abstractNumId="219">
    <w:nsid w:val="6DC45E83"/>
    <w:multiLevelType w:val="hybridMultilevel"/>
    <w:lvl w:ilvl="0">
      <w:lvlJc w:val="left"/>
      <w:lvlText w:val="·"/>
      <w:numFmt w:val="bullet"/>
      <w:start w:val="1"/>
    </w:lvl>
  </w:abstractNum>
  <w:abstractNum w:abstractNumId="220">
    <w:nsid w:val="17304A67"/>
    <w:multiLevelType w:val="hybridMultilevel"/>
    <w:lvl w:ilvl="0">
      <w:lvlJc w:val="left"/>
      <w:lvlText w:val="·"/>
      <w:numFmt w:val="bullet"/>
      <w:start w:val="1"/>
    </w:lvl>
  </w:abstractNum>
  <w:abstractNum w:abstractNumId="221">
    <w:nsid w:val="2BB180D8"/>
    <w:multiLevelType w:val="hybridMultilevel"/>
    <w:lvl w:ilvl="0">
      <w:lvlJc w:val="left"/>
      <w:lvlText w:val="(%1)"/>
      <w:numFmt w:val="lowerRoman"/>
      <w:start w:val="2"/>
    </w:lvl>
  </w:abstractNum>
  <w:abstractNum w:abstractNumId="222">
    <w:nsid w:val="556B69ED"/>
    <w:multiLevelType w:val="hybridMultilevel"/>
    <w:lvl w:ilvl="0">
      <w:lvlJc w:val="left"/>
      <w:lvlText w:val="%1."/>
      <w:numFmt w:val="upperLetter"/>
      <w:start w:val="3"/>
    </w:lvl>
  </w:abstractNum>
  <w:abstractNum w:abstractNumId="223">
    <w:nsid w:val="70836196"/>
    <w:multiLevelType w:val="hybridMultilevel"/>
    <w:lvl w:ilvl="0">
      <w:lvlJc w:val="left"/>
      <w:lvlText w:val="(%1)"/>
      <w:numFmt w:val="lowerRoman"/>
      <w:start w:val="1"/>
    </w:lvl>
  </w:abstractNum>
  <w:abstractNum w:abstractNumId="224">
    <w:nsid w:val="539F7F12"/>
    <w:multiLevelType w:val="hybridMultilevel"/>
    <w:lvl w:ilvl="0">
      <w:lvlJc w:val="left"/>
      <w:lvlText w:val="·"/>
      <w:numFmt w:val="bullet"/>
      <w:start w:val="1"/>
    </w:lvl>
  </w:abstractNum>
  <w:abstractNum w:abstractNumId="225">
    <w:nsid w:val="2817E7EC"/>
    <w:multiLevelType w:val="hybridMultilevel"/>
    <w:lvl w:ilvl="0">
      <w:lvlJc w:val="left"/>
      <w:lvlText w:val="·"/>
      <w:numFmt w:val="bullet"/>
      <w:start w:val="1"/>
    </w:lvl>
  </w:abstractNum>
  <w:abstractNum w:abstractNumId="226">
    <w:nsid w:val="71482545"/>
    <w:multiLevelType w:val="hybridMultilevel"/>
    <w:lvl w:ilvl="0">
      <w:lvlJc w:val="left"/>
      <w:lvlText w:val="(%1)"/>
      <w:numFmt w:val="lowerRoman"/>
      <w:start w:val="2"/>
    </w:lvl>
  </w:abstractNum>
  <w:abstractNum w:abstractNumId="227">
    <w:nsid w:val="17D78639"/>
    <w:multiLevelType w:val="hybridMultilevel"/>
    <w:lvl w:ilvl="0">
      <w:lvlJc w:val="left"/>
      <w:lvlText w:val="*"/>
      <w:numFmt w:val="bullet"/>
      <w:start w:val="1"/>
    </w:lvl>
  </w:abstractNum>
  <w:abstractNum w:abstractNumId="228">
    <w:nsid w:val="141D2302"/>
    <w:multiLevelType w:val="hybridMultilevel"/>
    <w:lvl w:ilvl="0">
      <w:lvlJc w:val="left"/>
      <w:lvlText w:val="%1."/>
      <w:numFmt w:val="upperLetter"/>
      <w:start w:val="4"/>
    </w:lvl>
  </w:abstractNum>
  <w:abstractNum w:abstractNumId="229">
    <w:nsid w:val="407168D8"/>
    <w:multiLevelType w:val="hybridMultilevel"/>
    <w:lvl w:ilvl="0">
      <w:lvlJc w:val="left"/>
      <w:lvlText w:val="(%1)"/>
      <w:numFmt w:val="lowerRoman"/>
      <w:start w:val="1"/>
    </w:lvl>
  </w:abstractNum>
  <w:abstractNum w:abstractNumId="230">
    <w:nsid w:val="6A1B45E5"/>
    <w:multiLevelType w:val="hybridMultilevel"/>
    <w:lvl w:ilvl="0">
      <w:lvlJc w:val="left"/>
      <w:lvlText w:val="·"/>
      <w:numFmt w:val="bullet"/>
      <w:start w:val="1"/>
    </w:lvl>
  </w:abstractNum>
  <w:abstractNum w:abstractNumId="231">
    <w:nsid w:val="567BD50A"/>
    <w:multiLevelType w:val="hybridMultilevel"/>
    <w:lvl w:ilvl="0">
      <w:lvlJc w:val="left"/>
      <w:lvlText w:val="·"/>
      <w:numFmt w:val="bullet"/>
      <w:start w:val="1"/>
    </w:lvl>
  </w:abstractNum>
  <w:abstractNum w:abstractNumId="232">
    <w:nsid w:val="73BBD7F8"/>
    <w:multiLevelType w:val="hybridMultilevel"/>
    <w:lvl w:ilvl="0">
      <w:lvlJc w:val="left"/>
      <w:lvlText w:val="(%1)"/>
      <w:numFmt w:val="lowerRoman"/>
      <w:start w:val="2"/>
    </w:lvl>
  </w:abstractNum>
  <w:abstractNum w:abstractNumId="233">
    <w:nsid w:val="1876589D"/>
    <w:multiLevelType w:val="hybridMultilevel"/>
    <w:lvl w:ilvl="0">
      <w:lvlJc w:val="left"/>
      <w:lvlText w:val="%1."/>
      <w:numFmt w:val="upperLetter"/>
      <w:start w:val="5"/>
    </w:lvl>
  </w:abstractNum>
  <w:abstractNum w:abstractNumId="234">
    <w:nsid w:val="327FAC77"/>
    <w:multiLevelType w:val="hybridMultilevel"/>
    <w:lvl w:ilvl="0">
      <w:lvlJc w:val="left"/>
      <w:lvlText w:val="(%1)"/>
      <w:numFmt w:val="lowerRoman"/>
      <w:start w:val="1"/>
    </w:lvl>
  </w:abstractNum>
  <w:abstractNum w:abstractNumId="235">
    <w:nsid w:val="5A606509"/>
    <w:multiLevelType w:val="hybridMultilevel"/>
    <w:lvl w:ilvl="0">
      <w:lvlJc w:val="left"/>
      <w:lvlText w:val="·"/>
      <w:numFmt w:val="bullet"/>
      <w:start w:val="1"/>
    </w:lvl>
  </w:abstractNum>
  <w:abstractNum w:abstractNumId="236">
    <w:nsid w:val="6F38E6D1"/>
    <w:multiLevelType w:val="hybridMultilevel"/>
    <w:lvl w:ilvl="0">
      <w:lvlJc w:val="left"/>
      <w:lvlText w:val="(%1)"/>
      <w:numFmt w:val="lowerRoman"/>
      <w:start w:val="2"/>
    </w:lvl>
  </w:abstractNum>
  <w:abstractNum w:abstractNumId="237">
    <w:nsid w:val="46111BA5"/>
    <w:multiLevelType w:val="hybridMultilevel"/>
    <w:lvl w:ilvl="0">
      <w:lvlJc w:val="left"/>
      <w:lvlText w:val="%1."/>
      <w:numFmt w:val="decimal"/>
      <w:start w:val="1"/>
    </w:lvl>
  </w:abstractNum>
  <w:abstractNum w:abstractNumId="238">
    <w:nsid w:val="5E963896"/>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39">
    <w:nsid w:val="775BA7C1"/>
    <w:multiLevelType w:val="hybridMultilevel"/>
    <w:lvl w:ilvl="0">
      <w:lvlJc w:val="left"/>
      <w:lvlText w:val="%1."/>
      <w:numFmt w:val="upperLetter"/>
      <w:start w:val="3"/>
    </w:lvl>
  </w:abstractNum>
  <w:abstractNum w:abstractNumId="240">
    <w:nsid w:val="1DD6D6F4"/>
    <w:multiLevelType w:val="hybridMultilevel"/>
    <w:lvl w:ilvl="0">
      <w:lvlJc w:val="left"/>
      <w:lvlText w:val="%1."/>
      <w:numFmt w:val="upperLetter"/>
      <w:start w:val="4"/>
    </w:lvl>
    <w:lvl w:ilvl="1">
      <w:lvlJc w:val="left"/>
      <w:lvlText w:val="%2"/>
      <w:numFmt w:val="lowerLetter"/>
      <w:start w:val="1"/>
    </w:lvl>
  </w:abstractNum>
  <w:abstractNum w:abstractNumId="241">
    <w:nsid w:val="769A091F"/>
    <w:multiLevelType w:val="hybridMultilevel"/>
    <w:lvl w:ilvl="0">
      <w:lvlJc w:val="left"/>
      <w:lvlText w:val="%1."/>
      <w:numFmt w:val="decimal"/>
      <w:start w:val="2"/>
    </w:lvl>
  </w:abstractNum>
  <w:abstractNum w:abstractNumId="242">
    <w:nsid w:val="4695AE95"/>
    <w:multiLevelType w:val="hybridMultilevel"/>
    <w:lvl w:ilvl="0">
      <w:lvlJc w:val="left"/>
      <w:lvlText w:val="%1."/>
      <w:numFmt w:val="upperLetter"/>
      <w:start w:val="5"/>
    </w:lvl>
    <w:lvl w:ilvl="1">
      <w:lvlJc w:val="left"/>
      <w:lvlText w:val="%2."/>
      <w:numFmt w:val="decimal"/>
      <w:start w:val="1"/>
    </w:lvl>
  </w:abstractNum>
  <w:abstractNum w:abstractNumId="243">
    <w:nsid w:val="777A4EAA"/>
    <w:multiLevelType w:val="hybridMultilevel"/>
    <w:lvl w:ilvl="0">
      <w:lvlJc w:val="left"/>
      <w:lvlText w:val="%1."/>
      <w:numFmt w:val="upperLetter"/>
      <w:start w:val="1"/>
    </w:lvl>
  </w:abstractNum>
  <w:abstractNum w:abstractNumId="244">
    <w:nsid w:val="3F48B982"/>
    <w:multiLevelType w:val="hybridMultilevel"/>
    <w:lvl w:ilvl="0">
      <w:lvlJc w:val="left"/>
      <w:lvlText w:val="%1"/>
      <w:numFmt w:val="upperLetter"/>
      <w:start w:val="1"/>
    </w:lvl>
    <w:lvl w:ilvl="1">
      <w:lvlJc w:val="left"/>
      <w:lvlText w:val="%2."/>
      <w:numFmt w:val="decimal"/>
      <w:start w:val="1"/>
    </w:lvl>
  </w:abstractNum>
  <w:abstractNum w:abstractNumId="245">
    <w:nsid w:val="46BA8FCA"/>
    <w:multiLevelType w:val="hybridMultilevel"/>
    <w:lvl w:ilvl="0">
      <w:lvlJc w:val="left"/>
      <w:lvlText w:val="%1."/>
      <w:numFmt w:val="upperLetter"/>
      <w:start w:val="2"/>
    </w:lvl>
    <w:lvl w:ilvl="1">
      <w:lvlJc w:val="left"/>
      <w:lvlText w:val="%2"/>
      <w:numFmt w:val="decimal"/>
      <w:start w:val="1"/>
    </w:lvl>
  </w:abstractNum>
  <w:abstractNum w:abstractNumId="246">
    <w:nsid w:val="7835626C"/>
    <w:multiLevelType w:val="hybridMultilevel"/>
    <w:lvl w:ilvl="0">
      <w:lvlJc w:val="left"/>
      <w:lvlText w:val="%1."/>
      <w:numFmt w:val="upperLetter"/>
      <w:start w:val="3"/>
    </w:lvl>
  </w:abstractNum>
  <w:abstractNum w:abstractNumId="247">
    <w:nsid w:val="665ACA49"/>
    <w:multiLevelType w:val="hybridMultilevel"/>
    <w:lvl w:ilvl="0">
      <w:lvlJc w:val="left"/>
      <w:lvlText w:val="%1."/>
      <w:numFmt w:val="upperLetter"/>
      <w:start w:val="4"/>
    </w:lvl>
    <w:lvl w:ilvl="1">
      <w:lvlJc w:val="left"/>
      <w:lvlText w:val="%2."/>
      <w:numFmt w:val="decimal"/>
      <w:start w:val="1"/>
    </w:lvl>
  </w:abstractNum>
  <w:abstractNum w:abstractNumId="248">
    <w:nsid w:val="6835B2AE"/>
    <w:multiLevelType w:val="hybridMultilevel"/>
    <w:lvl w:ilvl="0">
      <w:lvlJc w:val="left"/>
      <w:lvlText w:val="%1."/>
      <w:numFmt w:val="decimal"/>
      <w:start w:val="4"/>
    </w:lvl>
  </w:abstractNum>
  <w:abstractNum w:abstractNumId="249">
    <w:nsid w:val="4C187C90"/>
    <w:multiLevelType w:val="hybridMultilevel"/>
    <w:lvl w:ilvl="0">
      <w:lvlJc w:val="left"/>
      <w:lvlText w:val="%1."/>
      <w:numFmt w:val="upperLetter"/>
      <w:start w:val="5"/>
    </w:lvl>
  </w:abstractNum>
  <w:abstractNum w:abstractNumId="250">
    <w:nsid w:val="541F28CD"/>
    <w:multiLevelType w:val="hybridMultilevel"/>
    <w:lvl w:ilvl="0">
      <w:lvlJc w:val="left"/>
      <w:lvlText w:val="(%1)"/>
      <w:numFmt w:val="decimal"/>
      <w:start w:val="1"/>
    </w:lvl>
  </w:abstractNum>
  <w:abstractNum w:abstractNumId="251">
    <w:nsid w:val="7F65FD16"/>
    <w:multiLevelType w:val="hybridMultilevel"/>
    <w:lvl w:ilvl="0">
      <w:lvlJc w:val="left"/>
      <w:lvlText w:val="(%1)"/>
      <w:numFmt w:val="decimal"/>
      <w:start w:val="1"/>
    </w:lvl>
  </w:abstractNum>
  <w:abstractNum w:abstractNumId="252">
    <w:nsid w:val="77C9FD68"/>
    <w:multiLevelType w:val="hybridMultilevel"/>
    <w:lvl w:ilvl="0">
      <w:lvlJc w:val="left"/>
      <w:lvlText w:val="(%1)"/>
      <w:numFmt w:val="decimal"/>
      <w:start w:val="1"/>
    </w:lvl>
  </w:abstractNum>
  <w:abstractNum w:abstractNumId="253">
    <w:nsid w:val="298A92BA"/>
    <w:multiLevelType w:val="hybridMultilevel"/>
    <w:lvl w:ilvl="0">
      <w:lvlJc w:val="left"/>
      <w:lvlText w:val="(%1)"/>
      <w:numFmt w:val="decimal"/>
      <w:start w:val="1"/>
    </w:lvl>
  </w:abstractNum>
  <w:abstractNum w:abstractNumId="254">
    <w:nsid w:val="6FE95EAC"/>
    <w:multiLevelType w:val="hybridMultilevel"/>
    <w:lvl w:ilvl="0">
      <w:lvlJc w:val="left"/>
      <w:lvlText w:val="%1."/>
      <w:numFmt w:val="decimal"/>
      <w:start w:val="1"/>
    </w:lvl>
    <w:lvl w:ilvl="1">
      <w:lvlJc w:val="left"/>
      <w:lvlText w:val="%2)"/>
      <w:numFmt w:val="lowerLetter"/>
      <w:start w:val="1"/>
    </w:lvl>
  </w:abstractNum>
  <w:abstractNum w:abstractNumId="255">
    <w:nsid w:val="4B697C7A"/>
    <w:multiLevelType w:val="hybridMultilevel"/>
    <w:lvl w:ilvl="0">
      <w:lvlJc w:val="left"/>
      <w:lvlText w:val="%1."/>
      <w:numFmt w:val="decimal"/>
      <w:start w:val="1"/>
    </w:lvl>
    <w:lvl w:ilvl="1">
      <w:lvlJc w:val="left"/>
      <w:lvlText w:val="%2)"/>
      <w:numFmt w:val="lowerLetter"/>
      <w:start w:val="1"/>
    </w:lvl>
  </w:abstractNum>
  <w:abstractNum w:abstractNumId="256">
    <w:nsid w:val="51A27AA6"/>
    <w:multiLevelType w:val="hybridMultilevel"/>
    <w:lvl w:ilvl="0">
      <w:lvlJc w:val="left"/>
      <w:lvlText w:val="%1."/>
      <w:numFmt w:val="decimal"/>
      <w:start w:val="1"/>
    </w:lvl>
    <w:lvl w:ilvl="1">
      <w:lvlJc w:val="left"/>
      <w:lvlText w:val="%2)"/>
      <w:numFmt w:val="lowerLetter"/>
      <w:start w:val="1"/>
    </w:lvl>
  </w:abstractNum>
  <w:abstractNum w:abstractNumId="257">
    <w:nsid w:val="613183F2"/>
    <w:multiLevelType w:val="hybridMultilevel"/>
    <w:lvl w:ilvl="0">
      <w:lvlJc w:val="left"/>
      <w:lvlText w:val="%1."/>
      <w:numFmt w:val="decimal"/>
      <w:start w:val="1"/>
    </w:lvl>
    <w:lvl w:ilvl="1">
      <w:lvlJc w:val="left"/>
      <w:lvlText w:val="%2)"/>
      <w:numFmt w:val="lowerLetter"/>
      <w:start w:val="1"/>
    </w:lvl>
  </w:abstractNum>
  <w:abstractNum w:abstractNumId="258">
    <w:nsid w:val="634102B4"/>
    <w:multiLevelType w:val="hybridMultilevel"/>
    <w:lvl w:ilvl="0">
      <w:lvlJc w:val="left"/>
      <w:lvlText w:val="%1."/>
      <w:numFmt w:val="decimal"/>
      <w:start w:val="1"/>
    </w:lvl>
    <w:lvl w:ilvl="1">
      <w:lvlJc w:val="left"/>
      <w:lvlText w:val="%2)"/>
      <w:numFmt w:val="lowerLetter"/>
      <w:start w:val="1"/>
    </w:lvl>
  </w:abstractNum>
  <w:abstractNum w:abstractNumId="259">
    <w:nsid w:val="65BF9DA8"/>
    <w:multiLevelType w:val="hybridMultilevel"/>
    <w:lvl w:ilvl="0">
      <w:lvlJc w:val="left"/>
      <w:lvlText w:val="%1."/>
      <w:numFmt w:val="decimal"/>
      <w:start w:val="1"/>
    </w:lvl>
    <w:lvl w:ilvl="1">
      <w:lvlJc w:val="left"/>
      <w:lvlText w:val="%2)"/>
      <w:numFmt w:val="lowerLetter"/>
      <w:start w:val="1"/>
    </w:lvl>
  </w:abstractNum>
  <w:abstractNum w:abstractNumId="260">
    <w:nsid w:val="21A2ECCA"/>
    <w:multiLevelType w:val="hybridMultilevel"/>
    <w:lvl w:ilvl="0">
      <w:lvlJc w:val="left"/>
      <w:lvlText w:val="%1."/>
      <w:numFmt w:val="decimal"/>
      <w:start w:val="1"/>
    </w:lvl>
    <w:lvl w:ilvl="1">
      <w:lvlJc w:val="left"/>
      <w:lvlText w:val="%2)"/>
      <w:numFmt w:val="lowerLetter"/>
      <w:start w:val="1"/>
    </w:lvl>
  </w:abstractNum>
  <w:abstractNum w:abstractNumId="261">
    <w:nsid w:val="4D5C4899"/>
    <w:multiLevelType w:val="hybridMultilevel"/>
    <w:lvl w:ilvl="0">
      <w:lvlJc w:val="left"/>
      <w:lvlText w:val="%1."/>
      <w:numFmt w:val="decimal"/>
      <w:start w:val="1"/>
    </w:lvl>
    <w:lvl w:ilvl="1">
      <w:lvlJc w:val="left"/>
      <w:lvlText w:val="%2)"/>
      <w:numFmt w:val="lowerLetter"/>
      <w:start w:val="1"/>
    </w:lvl>
  </w:abstractNum>
  <w:abstractNum w:abstractNumId="262">
    <w:nsid w:val="3C3B72B2"/>
    <w:multiLevelType w:val="hybridMultilevel"/>
    <w:lvl w:ilvl="0">
      <w:lvlJc w:val="left"/>
      <w:lvlText w:val="(%1)"/>
      <w:numFmt w:val="lowerRoman"/>
      <w:start w:val="1"/>
    </w:lvl>
  </w:abstractNum>
  <w:abstractNum w:abstractNumId="263">
    <w:nsid w:val="155EC4C2"/>
    <w:multiLevelType w:val="hybridMultilevel"/>
    <w:lvl w:ilvl="0">
      <w:lvlJc w:val="left"/>
      <w:lvlText w:val="(%1)"/>
      <w:numFmt w:val="lowerRoman"/>
      <w:start w:val="1"/>
    </w:lvl>
  </w:abstractNum>
  <w:abstractNum w:abstractNumId="264">
    <w:nsid w:val="65D2A137"/>
    <w:multiLevelType w:val="hybridMultilevel"/>
    <w:lvl w:ilvl="0">
      <w:lvlJc w:val="left"/>
      <w:lvlText w:val="(%1)"/>
      <w:numFmt w:val="lowerRoman"/>
      <w:start w:val="1"/>
    </w:lvl>
  </w:abstractNum>
  <w:abstractNum w:abstractNumId="265">
    <w:nsid w:val="6EBB1F2A"/>
    <w:multiLevelType w:val="hybridMultilevel"/>
    <w:lvl w:ilvl="0">
      <w:lvlJc w:val="left"/>
      <w:lvlText w:val="(%1)"/>
      <w:numFmt w:val="lowerRoman"/>
      <w:start w:val="1"/>
    </w:lvl>
  </w:abstractNum>
  <w:abstractNum w:abstractNumId="266">
    <w:nsid w:val="6FBF29CB"/>
    <w:multiLevelType w:val="hybridMultilevel"/>
    <w:lvl w:ilvl="0">
      <w:lvlJc w:val="left"/>
      <w:lvlText w:val="(%1)"/>
      <w:numFmt w:val="lowerRoman"/>
      <w:start w:val="1"/>
    </w:lvl>
  </w:abstractNum>
  <w:abstractNum w:abstractNumId="267">
    <w:nsid w:val="550B8808"/>
    <w:multiLevelType w:val="hybridMultilevel"/>
    <w:lvl w:ilvl="0">
      <w:lvlJc w:val="left"/>
      <w:lvlText w:val="(%1)"/>
      <w:numFmt w:val="lowerRoman"/>
      <w:start w:val="1"/>
    </w:lvl>
  </w:abstractNum>
  <w:abstractNum w:abstractNumId="268">
    <w:nsid w:val="34CC3ACF"/>
    <w:multiLevelType w:val="hybridMultilevel"/>
    <w:lvl w:ilvl="0">
      <w:lvlJc w:val="left"/>
      <w:lvlText w:val="(%1)"/>
      <w:numFmt w:val="lowerRoman"/>
      <w:start w:val="1"/>
    </w:lvl>
  </w:abstractNum>
  <w:abstractNum w:abstractNumId="269">
    <w:nsid w:val="4E55626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2019-12-10T03:21:26Z</dcterms:created>
  <dcterms:modified xsi:type="dcterms:W3CDTF">2019-12-10T03:21:26Z</dcterms:modified>
</cp:coreProperties>
</file>